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6A2" w:rsidP="002B46A2" w:rsidRDefault="002B46A2" w14:paraId="63BC939A" w14:textId="77777777">
      <w:pPr>
        <w:pStyle w:val="Geenafstand"/>
      </w:pPr>
    </w:p>
    <w:p w:rsidR="002B46A2" w:rsidP="002B46A2" w:rsidRDefault="002B46A2" w14:paraId="5477698A" w14:textId="77777777">
      <w:pPr>
        <w:pStyle w:val="Geenafstand"/>
      </w:pPr>
      <w:r>
        <w:t>AH 1794</w:t>
      </w:r>
    </w:p>
    <w:p w:rsidR="002B46A2" w:rsidP="002B46A2" w:rsidRDefault="002B46A2" w14:paraId="0418B0DF" w14:textId="77777777">
      <w:pPr>
        <w:pStyle w:val="Geenafstand"/>
      </w:pPr>
      <w:r w:rsidRPr="003565B7">
        <w:t>2026Z07345</w:t>
      </w:r>
    </w:p>
    <w:p w:rsidR="002B46A2" w:rsidP="002B46A2" w:rsidRDefault="002B46A2" w14:paraId="42461767" w14:textId="77777777">
      <w:pPr>
        <w:pStyle w:val="Geenafstand"/>
      </w:pPr>
    </w:p>
    <w:p w:rsidR="002B46A2" w:rsidP="002B46A2" w:rsidRDefault="002B46A2" w14:paraId="15FCB3B2" w14:textId="77777777">
      <w:r w:rsidRPr="00D25B3E">
        <w:t xml:space="preserve">Antwoord van minister Van Veldhoven-van der Meer (Klimaat en Groene Groei) </w:t>
      </w:r>
      <w:r>
        <w:t>en</w:t>
      </w:r>
      <w:r w:rsidRPr="00FA3EDB">
        <w:t xml:space="preserve"> van minister Karremans (Infrastructuur en Waterstaat) (ontvangen </w:t>
      </w:r>
      <w:r>
        <w:t xml:space="preserve"> 28 april 2026)</w:t>
      </w:r>
    </w:p>
    <w:p w:rsidR="002B46A2" w:rsidP="002B46A2" w:rsidRDefault="002B46A2" w14:paraId="1A866F03" w14:textId="77777777"/>
    <w:p w:rsidR="002B46A2" w:rsidP="002B46A2" w:rsidRDefault="002B46A2" w14:paraId="325D742C" w14:textId="77777777">
      <w:pPr>
        <w:pStyle w:val="Geenafstand"/>
      </w:pPr>
    </w:p>
    <w:p w:rsidRPr="002B46A2" w:rsidR="002B46A2" w:rsidP="002B46A2" w:rsidRDefault="002B46A2" w14:paraId="463E8AA9" w14:textId="77777777">
      <w:pPr>
        <w:spacing w:after="200" w:line="276" w:lineRule="auto"/>
      </w:pPr>
      <w:r w:rsidRPr="002B46A2">
        <w:rPr>
          <w:rStyle w:val="Zwaar"/>
          <w:b w:val="0"/>
          <w:bCs w:val="0"/>
        </w:rPr>
        <w:t>1</w:t>
      </w:r>
      <w:r w:rsidRPr="002B46A2">
        <w:rPr>
          <w:rStyle w:val="Zwaar"/>
          <w:b w:val="0"/>
          <w:bCs w:val="0"/>
        </w:rPr>
        <w:br/>
      </w:r>
      <w:r w:rsidRPr="002B46A2">
        <w:t>Bent u bekend met het bericht en hoe beoordeelt u de geschetste situatie?</w:t>
      </w:r>
    </w:p>
    <w:p w:rsidRPr="002B46A2" w:rsidR="002B46A2" w:rsidP="002B46A2" w:rsidRDefault="002B46A2" w14:paraId="685A4497" w14:textId="77777777">
      <w:pPr>
        <w:rPr>
          <w:b/>
          <w:bCs/>
        </w:rPr>
      </w:pPr>
      <w:r w:rsidRPr="002B46A2">
        <w:rPr>
          <w:rStyle w:val="Zwaar"/>
          <w:b w:val="0"/>
          <w:bCs w:val="0"/>
        </w:rPr>
        <w:t>Antwoord</w:t>
      </w:r>
    </w:p>
    <w:p w:rsidR="002B46A2" w:rsidP="002B46A2" w:rsidRDefault="002B46A2" w14:paraId="6A0654D5" w14:textId="77777777">
      <w:r>
        <w:t xml:space="preserve">Ja </w:t>
      </w:r>
    </w:p>
    <w:p w:rsidR="002B46A2" w:rsidP="002B46A2" w:rsidRDefault="002B46A2" w14:paraId="0FF15283" w14:textId="77777777"/>
    <w:p w:rsidR="002B46A2" w:rsidP="002B46A2" w:rsidRDefault="002B46A2" w14:paraId="37F72AFB" w14:textId="77777777">
      <w:r w:rsidRPr="00C76DDC">
        <w:t>Het kabinet deelt de zorgen met betrekking tot de economische gevolgen van</w:t>
      </w:r>
      <w:r>
        <w:t xml:space="preserve"> de verstoringen in wereldwijde energiestromen</w:t>
      </w:r>
      <w:r w:rsidRPr="00C76DDC">
        <w:t>. De internationale oliemarkt staat als gevolg van de oorlog in het Midden-Oosten onder grote druk. De verstoring van de doorvoer via de Straat van Hormuz heeft directe gevolgen voor de beschikbaarheid en prijsvorming van ruwe olie en olieproducten. Tegen deze achtergrond heeft het kabinet besloten op te schalen naar fase 1 (‘</w:t>
      </w:r>
      <w:proofErr w:type="spellStart"/>
      <w:r w:rsidRPr="00C76DDC">
        <w:t>alertering</w:t>
      </w:r>
      <w:proofErr w:type="spellEnd"/>
      <w:r w:rsidRPr="00C76DDC">
        <w:t>’) van het Landelijk Crisisplan Olie. Deze fase stelt het kabinet in staat om de situatie intensiever te volgen en tijdig voorbereid te zijn op een mogelijke verdere verslechtering</w:t>
      </w:r>
      <w:r>
        <w:t>.</w:t>
      </w:r>
      <w:r w:rsidRPr="00C76DDC" w:rsidDel="00673855">
        <w:t xml:space="preserve"> </w:t>
      </w:r>
      <w:r w:rsidRPr="00C76DDC">
        <w:t>De situatie wordt constant en nauwlettend gemonitord en we blijven in contact met marktpartijen, het Internationaal Energie Agentschap, de Europese Commissie en andere lidstaten voor afstemming. </w:t>
      </w:r>
    </w:p>
    <w:p w:rsidR="002B46A2" w:rsidP="002B46A2" w:rsidRDefault="002B46A2" w14:paraId="2038AC49" w14:textId="77777777"/>
    <w:p w:rsidR="002B46A2" w:rsidP="002B46A2" w:rsidRDefault="002B46A2" w14:paraId="393642D6" w14:textId="77777777">
      <w:r>
        <w:t>2</w:t>
      </w:r>
    </w:p>
    <w:p w:rsidRPr="003565B7" w:rsidR="002B46A2" w:rsidP="002B46A2" w:rsidRDefault="002B46A2" w14:paraId="71AEEF2B" w14:textId="77777777">
      <w:r w:rsidRPr="003565B7">
        <w:t>Met welke concrete scenario’s houdt het kabinet momenteel rekening, aangezien het kabinet werkt aan scenario’s en maatregelen in het kader van een mogelijke energiecrisis? </w:t>
      </w:r>
    </w:p>
    <w:p w:rsidR="002B46A2" w:rsidP="002B46A2" w:rsidRDefault="002B46A2" w14:paraId="5F1A463F" w14:textId="77777777"/>
    <w:p w:rsidRPr="00936AE8" w:rsidR="002B46A2" w:rsidP="002B46A2" w:rsidRDefault="002B46A2" w14:paraId="0E05C205" w14:textId="77777777">
      <w:r w:rsidRPr="00936AE8">
        <w:t>Antwoord</w:t>
      </w:r>
    </w:p>
    <w:p w:rsidRPr="00C76DDC" w:rsidR="002B46A2" w:rsidP="002B46A2" w:rsidRDefault="002B46A2" w14:paraId="0DF0F936" w14:textId="77777777">
      <w:r w:rsidRPr="00936AE8">
        <w:t>Het kabinet bereidt zich goed voor, getuige de scenario's</w:t>
      </w:r>
      <w:r w:rsidRPr="00C76DDC">
        <w:t xml:space="preserve"> zoals geschetst in de recente Kamerbrief </w:t>
      </w:r>
      <w:r>
        <w:t>Acties Weerbaarheid</w:t>
      </w:r>
      <w:r w:rsidRPr="00C76DDC">
        <w:t xml:space="preserve"> </w:t>
      </w:r>
      <w:r>
        <w:t>E</w:t>
      </w:r>
      <w:r w:rsidRPr="00C76DDC">
        <w:t>nergieschok</w:t>
      </w:r>
      <w:r>
        <w:t>.</w:t>
      </w:r>
      <w:r>
        <w:rPr>
          <w:rStyle w:val="Voetnootmarkering"/>
        </w:rPr>
        <w:footnoteReference w:id="1"/>
      </w:r>
      <w:r w:rsidRPr="00C76DDC">
        <w:t> Deze variëren van een situatie met beperkte impact tot een scenario met ernstige verstoringen en fysieke tekorten van olie en gas. </w:t>
      </w:r>
    </w:p>
    <w:p w:rsidR="002B46A2" w:rsidP="002B46A2" w:rsidRDefault="002B46A2" w14:paraId="7095335A" w14:textId="77777777"/>
    <w:p w:rsidRPr="00C76DDC" w:rsidR="002B46A2" w:rsidP="002B46A2" w:rsidRDefault="002B46A2" w14:paraId="26E00061" w14:textId="77777777">
      <w:r w:rsidRPr="00C76DDC">
        <w:t>De scenario's geven inzicht in de mogelijke gevolgen voor het energieaanbod, de economie en voor huishoudens en bedrijven en zijn gebaseerd op analyses van het Internationaal Energie Agentschap (IEA), De Nederlandsche Bank (DNB), het Centraal Planbureau (CPB), de Europese Centrale Bank (ECB), de OESO en het IMF. </w:t>
      </w:r>
    </w:p>
    <w:p w:rsidRPr="00C76DDC" w:rsidR="002B46A2" w:rsidP="002B46A2" w:rsidRDefault="002B46A2" w14:paraId="7A7B464D" w14:textId="77777777">
      <w:r w:rsidRPr="00C76DDC">
        <w:t> </w:t>
      </w:r>
    </w:p>
    <w:p w:rsidRPr="00C76DDC" w:rsidR="002B46A2" w:rsidP="002B46A2" w:rsidRDefault="002B46A2" w14:paraId="6644F999" w14:textId="77777777">
      <w:r w:rsidRPr="00C76DDC">
        <w:t>Het kabinet bereidt zich voor op alle scenario's, onder andere door breed maatregelen te inventariseren en uit te werken om bedrijven en huishoudens te ondersteunen en neemt hiervoor signalen uit de samenleving en uit het bedrijfsleven mee.</w:t>
      </w:r>
    </w:p>
    <w:p w:rsidR="002B46A2" w:rsidP="002B46A2" w:rsidRDefault="002B46A2" w14:paraId="7F2845B5" w14:textId="77777777">
      <w:r>
        <w:br/>
        <w:t>3</w:t>
      </w:r>
    </w:p>
    <w:p w:rsidR="002B46A2" w:rsidP="002B46A2" w:rsidRDefault="002B46A2" w14:paraId="47073CDF" w14:textId="77777777">
      <w:r w:rsidRPr="003565B7">
        <w:t>Deelt u de zorg van verschillende energie experts dat Nederland en Europa mogelijk op korte termijn (april/mei) met fysieke tekorten aan diesel en kerosine te maken kunnen krijgen? Kunt u uw antwoord toelichten? </w:t>
      </w:r>
    </w:p>
    <w:p w:rsidR="002B46A2" w:rsidP="002B46A2" w:rsidRDefault="002B46A2" w14:paraId="7BB70442" w14:textId="77777777"/>
    <w:p w:rsidR="002B46A2" w:rsidP="002B46A2" w:rsidRDefault="002B46A2" w14:paraId="372B6298" w14:textId="77777777">
      <w:r>
        <w:t>Antwoord</w:t>
      </w:r>
    </w:p>
    <w:p w:rsidRPr="002A4542" w:rsidR="002B46A2" w:rsidP="002B46A2" w:rsidRDefault="002B46A2" w14:paraId="16723C8F" w14:textId="77777777">
      <w:r w:rsidRPr="002A4542">
        <w:t>Het kabinet begrijpt de zorgen van energie-experts en houdt rekening met mogelijke verstoringen en de economische gevolgen daarvan. Op dit moment voorzien we, ondanks de verstoring, nog geen acuut probleem voor de leveringszekerheid van olie of olieproducten. Maar, hoe langer het conflict duurt en hoe meer energie-infrastructuur beschadigd raakt, hoe groter de impact op de prijzen en de leveringszekerheid.</w:t>
      </w:r>
    </w:p>
    <w:p w:rsidRPr="002A4542" w:rsidR="002B46A2" w:rsidP="002B46A2" w:rsidRDefault="002B46A2" w14:paraId="3789FD89" w14:textId="77777777"/>
    <w:p w:rsidRPr="002A4542" w:rsidR="002B46A2" w:rsidP="002B46A2" w:rsidRDefault="002B46A2" w14:paraId="43D04477" w14:textId="77777777">
      <w:r w:rsidRPr="002A4542">
        <w:t xml:space="preserve">Ter context, de EU is voor circa 23% van haar kerosinegebruik afhankelijk van import. Ongeveer 77% wordt gemaakt in raffinaderijen binnen de EU. Zolang voldoende ruwe olie beschikbaar blijft, kunnen raffinaderijen in de EU op gebruikelijk niveau blijven produceren. Daarnaast beschikken Nederland en andere EU-lidstaten over strategische olievoorraden. Dit dempt het onmiddellijke effect, maar is op de middellange termijn een zorg. </w:t>
      </w:r>
    </w:p>
    <w:p w:rsidRPr="002A4542" w:rsidR="002B46A2" w:rsidP="002B46A2" w:rsidRDefault="002B46A2" w14:paraId="27DF5EF3" w14:textId="77777777"/>
    <w:p w:rsidR="002B46A2" w:rsidP="002B46A2" w:rsidRDefault="002B46A2" w14:paraId="3F4A6253" w14:textId="77777777">
      <w:r w:rsidRPr="002A4542">
        <w:t>Bovendien is de oliemarkt mondiaal en kunnen de prijsverschillen de handel naar, maar ook uit de EU stimuleren.</w:t>
      </w:r>
    </w:p>
    <w:p w:rsidR="002B46A2" w:rsidP="002B46A2" w:rsidRDefault="002B46A2" w14:paraId="23AAE006" w14:textId="77777777"/>
    <w:p w:rsidR="002B46A2" w:rsidP="002B46A2" w:rsidRDefault="002B46A2" w14:paraId="6D60FFCC" w14:textId="77777777">
      <w:r>
        <w:t>4</w:t>
      </w:r>
    </w:p>
    <w:p w:rsidR="002B46A2" w:rsidP="002B46A2" w:rsidRDefault="002B46A2" w14:paraId="3D422919" w14:textId="77777777">
      <w:r w:rsidRPr="003565B7">
        <w:lastRenderedPageBreak/>
        <w:t>Hoe bereidt u zich voor op mogelijke fysieke tekorten aan diesel en kerosine? Worden er mitigerende maatregelen bedacht voor verschillende sectoren?</w:t>
      </w:r>
    </w:p>
    <w:p w:rsidR="002B46A2" w:rsidP="002B46A2" w:rsidRDefault="002B46A2" w14:paraId="2E2F84D1" w14:textId="77777777"/>
    <w:p w:rsidR="002B46A2" w:rsidP="002B46A2" w:rsidRDefault="002B46A2" w14:paraId="70070C81" w14:textId="77777777">
      <w:r>
        <w:t>Antwoord</w:t>
      </w:r>
    </w:p>
    <w:p w:rsidRPr="00C76DDC" w:rsidR="002B46A2" w:rsidP="002B46A2" w:rsidRDefault="002B46A2" w14:paraId="5977B51C" w14:textId="77777777">
      <w:r w:rsidRPr="00C76DDC">
        <w:t>Nederland en Europa beschikken over relatief grote strategische olievoorraden. Bij een gelijkblijvende verstoring van de aanvoer kunnen we met deze voorraden nog maanden vooruit. In het kader van de collectieve actie</w:t>
      </w:r>
      <w:r>
        <w:t>,</w:t>
      </w:r>
      <w:r w:rsidRPr="00C76DDC">
        <w:t xml:space="preserve"> aangekondigd door het Internationaal Energie Agentschap op 11 maart</w:t>
      </w:r>
      <w:r>
        <w:t>,</w:t>
      </w:r>
      <w:r w:rsidRPr="00C76DDC">
        <w:t> bereidt Nederland zich voor op de inzet van een deel van deze voorraden.  </w:t>
      </w:r>
    </w:p>
    <w:p w:rsidRPr="00C76DDC" w:rsidR="002B46A2" w:rsidP="002B46A2" w:rsidRDefault="002B46A2" w14:paraId="606BE3F0" w14:textId="77777777">
      <w:r w:rsidRPr="00C76DDC">
        <w:t> </w:t>
      </w:r>
    </w:p>
    <w:p w:rsidRPr="00C76DDC" w:rsidR="002B46A2" w:rsidP="002B46A2" w:rsidRDefault="002B46A2" w14:paraId="26145631" w14:textId="77777777">
      <w:r w:rsidRPr="00C76DDC">
        <w:t xml:space="preserve">Tegelijkertijd bereidt het </w:t>
      </w:r>
      <w:r>
        <w:t>k</w:t>
      </w:r>
      <w:r w:rsidRPr="00C76DDC">
        <w:t>abinet zich voor op verschillende scenario's, inclusief situaties met dreigende schaarste of tekorten.</w:t>
      </w:r>
      <w:r>
        <w:t xml:space="preserve"> </w:t>
      </w:r>
      <w:r w:rsidRPr="00C76DDC">
        <w:t>Voor een specifieke crisis op het gebied van schaarste van olie en/of olieproducten ligt het Landelijk Crisisplan Olie</w:t>
      </w:r>
      <w:r>
        <w:t xml:space="preserve"> (LCP-O)</w:t>
      </w:r>
      <w:r>
        <w:rPr>
          <w:rStyle w:val="Voetnootmarkering"/>
        </w:rPr>
        <w:footnoteReference w:id="2"/>
      </w:r>
      <w:r w:rsidRPr="00C76DDC">
        <w:t xml:space="preserve"> klaar. </w:t>
      </w:r>
      <w:r>
        <w:t xml:space="preserve">Dit plan is onderdeel van de </w:t>
      </w:r>
      <w:r w:rsidRPr="00C76DDC">
        <w:t>nationale crisisbeheersing</w:t>
      </w:r>
      <w:r>
        <w:t>s</w:t>
      </w:r>
      <w:r w:rsidRPr="00C76DDC">
        <w:t>structuur</w:t>
      </w:r>
      <w:r>
        <w:t xml:space="preserve"> en</w:t>
      </w:r>
      <w:r w:rsidRPr="00C76DDC">
        <w:t xml:space="preserve"> vastgesteld door de</w:t>
      </w:r>
      <w:r>
        <w:t xml:space="preserve"> Tweede</w:t>
      </w:r>
      <w:r w:rsidRPr="00C76DDC">
        <w:t xml:space="preserve"> </w:t>
      </w:r>
      <w:r>
        <w:t>K</w:t>
      </w:r>
      <w:r w:rsidRPr="00C76DDC">
        <w:t>amer.</w:t>
      </w:r>
      <w:r>
        <w:rPr>
          <w:rStyle w:val="Voetnootmarkering"/>
        </w:rPr>
        <w:footnoteReference w:id="3"/>
      </w:r>
      <w:r>
        <w:t xml:space="preserve"> </w:t>
      </w:r>
      <w:r w:rsidRPr="00C76DDC">
        <w:t>In dit plan zijn maatregelen per escalatiefase uitgewerkt, waarbij alle relevante publieke en private actoren worden betrokken. Momenteel bevindt Nederland zich in fase 1 (</w:t>
      </w:r>
      <w:proofErr w:type="spellStart"/>
      <w:r w:rsidRPr="00C76DDC">
        <w:t>alertering</w:t>
      </w:r>
      <w:proofErr w:type="spellEnd"/>
      <w:r w:rsidRPr="00C76DDC">
        <w:t>), waarmee de voorbereiding en coördinatie worden geïntensiveerd. Bij verdere verslechtering van de situatie kan worden opgeschaald naar fase 2 (vroegtijdige waarschuwing), fase 3 (alarmering) en uiteindelijk fase 4 (afkondiging van een oliecrisis of noodsituatie).  </w:t>
      </w:r>
    </w:p>
    <w:p w:rsidRPr="00C76DDC" w:rsidR="002B46A2" w:rsidP="002B46A2" w:rsidRDefault="002B46A2" w14:paraId="753B4DC5" w14:textId="77777777">
      <w:r w:rsidRPr="00C76DDC">
        <w:t> </w:t>
      </w:r>
    </w:p>
    <w:p w:rsidR="002B46A2" w:rsidP="002B46A2" w:rsidRDefault="002B46A2" w14:paraId="7F2372B4" w14:textId="77777777">
      <w:r w:rsidRPr="00C76DDC">
        <w:t>In de recente Kamerbrief</w:t>
      </w:r>
      <w:r>
        <w:t xml:space="preserve"> Acties Weerbaarheid Energieschok</w:t>
      </w:r>
      <w:r w:rsidRPr="00C76DDC">
        <w:t xml:space="preserve"> is een </w:t>
      </w:r>
      <w:r w:rsidRPr="00936AE8">
        <w:t>inventarisatie van mogelijke maatregelen voor een energieschok gedaan.</w:t>
      </w:r>
      <w:r w:rsidRPr="00C76DDC">
        <w:t xml:space="preserve"> In </w:t>
      </w:r>
      <w:r w:rsidRPr="00936AE8">
        <w:t>bijlage 2 van die brief is uiteengezet wat de sectorale doorwerking van de energieschok is.</w:t>
      </w:r>
    </w:p>
    <w:p w:rsidR="002B46A2" w:rsidP="002B46A2" w:rsidRDefault="002B46A2" w14:paraId="0DF45237" w14:textId="77777777"/>
    <w:p w:rsidR="002B46A2" w:rsidP="002B46A2" w:rsidRDefault="002B46A2" w14:paraId="7102ADF7" w14:textId="77777777">
      <w:r>
        <w:t>5</w:t>
      </w:r>
    </w:p>
    <w:p w:rsidRPr="003565B7" w:rsidR="002B46A2" w:rsidP="002B46A2" w:rsidRDefault="002B46A2" w14:paraId="0ED8E075" w14:textId="77777777">
      <w:r w:rsidRPr="003565B7">
        <w:t>Welke maatregelen kunt u treffen om de leveringszekerheid van diesel en kerosine te vergroten? Kan de aanvoer hiervan via alternatieve routes of bronnen worden vergroot? </w:t>
      </w:r>
    </w:p>
    <w:p w:rsidR="002B46A2" w:rsidP="002B46A2" w:rsidRDefault="002B46A2" w14:paraId="3127A892" w14:textId="77777777"/>
    <w:p w:rsidR="002B46A2" w:rsidP="002B46A2" w:rsidRDefault="002B46A2" w14:paraId="597AA821" w14:textId="77777777">
      <w:r>
        <w:t>Antwoord</w:t>
      </w:r>
    </w:p>
    <w:p w:rsidRPr="00C76DDC" w:rsidR="002B46A2" w:rsidP="002B46A2" w:rsidRDefault="002B46A2" w14:paraId="5190D194" w14:textId="77777777">
      <w:r w:rsidRPr="00C76DDC">
        <w:t xml:space="preserve">Alternatieve routes of bronnen voor kerosine en diesel zijn op dit moment beperkt. Het aanbod van kerosine in de twee regio's waarvan Europa afhankelijk </w:t>
      </w:r>
      <w:r w:rsidRPr="00C76DDC">
        <w:lastRenderedPageBreak/>
        <w:t>is, het Midden-Oosten en Azië, is op dit moment verstoord. Hetzelfde geldt, in mindere mate, voor diesel, waarvan het aanbod voor Europa gedeeltelijk verstoord is. De hogere prijzen in Europa trekken wel kerosinevolumes aan ten koste van Azië, maar dit is beperkt. Dieselvolumes worden in grotere mate uit de VS en Azië gehaald in plaats van het Midden-Oosten.  </w:t>
      </w:r>
    </w:p>
    <w:p w:rsidRPr="00C76DDC" w:rsidR="002B46A2" w:rsidP="002B46A2" w:rsidRDefault="002B46A2" w14:paraId="3BC50191" w14:textId="77777777">
      <w:r w:rsidRPr="00C76DDC">
        <w:t> </w:t>
      </w:r>
    </w:p>
    <w:p w:rsidR="002B46A2" w:rsidP="002B46A2" w:rsidRDefault="002B46A2" w14:paraId="0FD9F99C" w14:textId="77777777">
      <w:r w:rsidRPr="00C76DDC">
        <w:t xml:space="preserve">Met de opschaling </w:t>
      </w:r>
      <w:r w:rsidRPr="00936AE8">
        <w:t>naar fase 1 van het LCP-O onderstreept het kabinet dat het de ernst van de ontwikkelingen onderkent en zich voorbereidt op mogelijke verdere verstoringen. Op dit moment is er geen sprake van acute tekorten of directe ingrepen in de markt. Het kabinet monitort de ontwikkelingen</w:t>
      </w:r>
      <w:r w:rsidRPr="00C76DDC">
        <w:t xml:space="preserve"> continu en is voorbereid om, als de situatie daartoe aanleiding geeft, tijdig over te gaan tot verdere opschaling van het crisisniveau. </w:t>
      </w:r>
    </w:p>
    <w:p w:rsidR="002B46A2" w:rsidP="002B46A2" w:rsidRDefault="002B46A2" w14:paraId="384998A9" w14:textId="77777777"/>
    <w:p w:rsidR="002B46A2" w:rsidP="002B46A2" w:rsidRDefault="002B46A2" w14:paraId="7A724DB4" w14:textId="77777777">
      <w:r>
        <w:t>6</w:t>
      </w:r>
    </w:p>
    <w:p w:rsidR="002B46A2" w:rsidP="002B46A2" w:rsidRDefault="002B46A2" w14:paraId="0E1BE915" w14:textId="77777777">
      <w:r>
        <w:t>Wat zouden de economische gevolgen zijn van dergelijke tekorten, in het bijzonder voor de Nederlandse economie en voor de transport- en luchtvaartsector (zowel civiel als militair)?</w:t>
      </w:r>
    </w:p>
    <w:p w:rsidR="002B46A2" w:rsidP="002B46A2" w:rsidRDefault="002B46A2" w14:paraId="5FC97350" w14:textId="77777777"/>
    <w:p w:rsidR="002B46A2" w:rsidP="002B46A2" w:rsidRDefault="002B46A2" w14:paraId="4E59B61A" w14:textId="77777777">
      <w:r>
        <w:t>Antwoord</w:t>
      </w:r>
    </w:p>
    <w:p w:rsidR="002B46A2" w:rsidP="002B46A2" w:rsidRDefault="002B46A2" w14:paraId="62ABEED1" w14:textId="77777777">
      <w:r>
        <w:t>In de recente Kamerbrief Acties Weerbaarheid Energieschok</w:t>
      </w:r>
      <w:r w:rsidRPr="003565B7">
        <w:t xml:space="preserve"> is uiteengezet wat de economische gevolgen zijn van alle mogelijke scenario's van de energieschok voor de Nederlandse economie, maar ook voor specifiek de transport- en luchtvaartsector</w:t>
      </w:r>
      <w:r>
        <w:rPr>
          <w:rStyle w:val="Voetnootmarkering"/>
        </w:rPr>
        <w:footnoteReference w:id="4"/>
      </w:r>
      <w:r w:rsidRPr="003565B7">
        <w:t>.</w:t>
      </w:r>
    </w:p>
    <w:p w:rsidR="002B46A2" w:rsidP="002B46A2" w:rsidRDefault="002B46A2" w14:paraId="78F5ACED" w14:textId="77777777">
      <w:r w:rsidRPr="003565B7">
        <w:t> </w:t>
      </w:r>
    </w:p>
    <w:p w:rsidR="002B46A2" w:rsidP="002B46A2" w:rsidRDefault="002B46A2" w14:paraId="03F7FA9C" w14:textId="77777777">
      <w:r>
        <w:t>7</w:t>
      </w:r>
    </w:p>
    <w:p w:rsidR="002B46A2" w:rsidP="002B46A2" w:rsidRDefault="002B46A2" w14:paraId="5B55E58C" w14:textId="77777777">
      <w:r w:rsidRPr="003565B7">
        <w:t>Is er een mogelijkheid voor Nederlandse raffinaderijen om hun productie van kerosine te vergroten? </w:t>
      </w:r>
    </w:p>
    <w:p w:rsidR="002B46A2" w:rsidP="002B46A2" w:rsidRDefault="002B46A2" w14:paraId="09541284" w14:textId="77777777"/>
    <w:p w:rsidR="002B46A2" w:rsidP="002B46A2" w:rsidRDefault="002B46A2" w14:paraId="7956FF95" w14:textId="77777777">
      <w:r>
        <w:t>Antwoord</w:t>
      </w:r>
    </w:p>
    <w:p w:rsidR="002B46A2" w:rsidP="002B46A2" w:rsidRDefault="002B46A2" w14:paraId="1997E8B9" w14:textId="77777777">
      <w:r w:rsidRPr="003565B7">
        <w:t xml:space="preserve">Momenteel draaien de raffinaderijen op gebruikelijk niveau. Er is aangegeven dat er tot eind juni geen tekort aan ruwe olie </w:t>
      </w:r>
      <w:r>
        <w:t>wordt verwacht</w:t>
      </w:r>
      <w:r w:rsidRPr="003565B7">
        <w:t xml:space="preserve"> om kerosine te maken. Raffinaderijen zullen altijd een mix maken van olieproducten en zullen niet overgaan op het produceren van slechts één product. Ongeveer 10% van de productie in Nederlandse raffinaderijen is kerosine. Als de prijsprikkels zodanig zijn dat het loont om meer kerosine te produceren dan zullen raffinaderijen daarvoor optimaliseren</w:t>
      </w:r>
      <w:r>
        <w:t>, maar dat is in de praktijk beperkt</w:t>
      </w:r>
      <w:r w:rsidRPr="003565B7">
        <w:t xml:space="preserve">. Daarbij moet wel </w:t>
      </w:r>
      <w:r w:rsidRPr="003565B7">
        <w:lastRenderedPageBreak/>
        <w:t xml:space="preserve">gezegd worden dat de flexibiliteit van raffinaderijen om van product te wijzigen naar schatting </w:t>
      </w:r>
      <w:r>
        <w:t>enkele procenten</w:t>
      </w:r>
      <w:r w:rsidRPr="003565B7">
        <w:t xml:space="preserve"> is, wat zou betekenen dat productie van kerosine in Nederlandse raffinaderijen zou kunnen stijgen </w:t>
      </w:r>
      <w:r>
        <w:t>met enkele procenten</w:t>
      </w:r>
      <w:r w:rsidRPr="003565B7">
        <w:t xml:space="preserve">. Daarnaast is de ruimte voor optimaliseren </w:t>
      </w:r>
      <w:r>
        <w:t>zeer</w:t>
      </w:r>
      <w:r w:rsidRPr="003565B7">
        <w:t xml:space="preserve"> afhankelijk van de </w:t>
      </w:r>
      <w:r>
        <w:t>opzet</w:t>
      </w:r>
      <w:r w:rsidRPr="003565B7">
        <w:t xml:space="preserve"> van de raffinaderij en het type ruwe olie d</w:t>
      </w:r>
      <w:r>
        <w:t>at beschikbaar is</w:t>
      </w:r>
      <w:r w:rsidRPr="003565B7">
        <w:t>; lichtere ruwe olie geeft bijvoorbeeld meer kerosine dan zwaardere ruwe olie.</w:t>
      </w:r>
    </w:p>
    <w:p w:rsidR="002B46A2" w:rsidP="002B46A2" w:rsidRDefault="002B46A2" w14:paraId="73C7C2C4" w14:textId="77777777"/>
    <w:p w:rsidR="002B46A2" w:rsidP="002B46A2" w:rsidRDefault="002B46A2" w14:paraId="5187D6EF" w14:textId="77777777"/>
    <w:p w:rsidR="002B46A2" w:rsidP="002B46A2" w:rsidRDefault="002B46A2" w14:paraId="634D60DE" w14:textId="77777777"/>
    <w:p w:rsidR="002C3023" w:rsidRDefault="002C3023" w14:paraId="2A8A20E2" w14:textId="77777777"/>
    <w:sectPr w:rsidR="002C3023" w:rsidSect="002B46A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F695" w14:textId="77777777" w:rsidR="002B46A2" w:rsidRDefault="002B46A2" w:rsidP="002B46A2">
      <w:pPr>
        <w:spacing w:after="0" w:line="240" w:lineRule="auto"/>
      </w:pPr>
      <w:r>
        <w:separator/>
      </w:r>
    </w:p>
  </w:endnote>
  <w:endnote w:type="continuationSeparator" w:id="0">
    <w:p w14:paraId="446E706B" w14:textId="77777777" w:rsidR="002B46A2" w:rsidRDefault="002B46A2" w:rsidP="002B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3A99" w14:textId="77777777" w:rsidR="002B46A2" w:rsidRPr="002B46A2" w:rsidRDefault="002B46A2" w:rsidP="002B46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D2CD" w14:textId="77777777" w:rsidR="002B46A2" w:rsidRPr="002B46A2" w:rsidRDefault="002B46A2" w:rsidP="002B46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D3BF" w14:textId="77777777" w:rsidR="002B46A2" w:rsidRPr="002B46A2" w:rsidRDefault="002B46A2" w:rsidP="002B46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DBC8" w14:textId="77777777" w:rsidR="002B46A2" w:rsidRDefault="002B46A2" w:rsidP="002B46A2">
      <w:pPr>
        <w:spacing w:after="0" w:line="240" w:lineRule="auto"/>
      </w:pPr>
      <w:r>
        <w:separator/>
      </w:r>
    </w:p>
  </w:footnote>
  <w:footnote w:type="continuationSeparator" w:id="0">
    <w:p w14:paraId="5117AE16" w14:textId="77777777" w:rsidR="002B46A2" w:rsidRDefault="002B46A2" w:rsidP="002B46A2">
      <w:pPr>
        <w:spacing w:after="0" w:line="240" w:lineRule="auto"/>
      </w:pPr>
      <w:r>
        <w:continuationSeparator/>
      </w:r>
    </w:p>
  </w:footnote>
  <w:footnote w:id="1">
    <w:p w14:paraId="3ACD2C7F" w14:textId="77777777" w:rsidR="002B46A2" w:rsidRDefault="002B46A2" w:rsidP="002B46A2">
      <w:pPr>
        <w:pStyle w:val="Voetnoottekst"/>
      </w:pPr>
      <w:r>
        <w:rPr>
          <w:rStyle w:val="Voetnootmarkering"/>
        </w:rPr>
        <w:footnoteRef/>
      </w:r>
      <w:r>
        <w:t xml:space="preserve"> Kamerstukken II, 2025/26, 2026Z08364.</w:t>
      </w:r>
    </w:p>
  </w:footnote>
  <w:footnote w:id="2">
    <w:p w14:paraId="6C30C9D1" w14:textId="77777777" w:rsidR="002B46A2" w:rsidRDefault="002B46A2" w:rsidP="002B46A2">
      <w:pPr>
        <w:pStyle w:val="Voetnoottekst"/>
      </w:pPr>
      <w:r>
        <w:rPr>
          <w:rStyle w:val="Voetnootmarkering"/>
        </w:rPr>
        <w:footnoteRef/>
      </w:r>
      <w:r w:rsidRPr="00B027DE">
        <w:rPr>
          <w:sz w:val="14"/>
          <w:szCs w:val="14"/>
        </w:rPr>
        <w:t xml:space="preserve"> </w:t>
      </w:r>
      <w:r w:rsidRPr="000271B5">
        <w:rPr>
          <w:sz w:val="14"/>
          <w:szCs w:val="14"/>
        </w:rPr>
        <w:t>https://www.rijksoverheid.nl/documenten/rapporten/2023/02/03/bijlage-landelijk-crisisplan-olie</w:t>
      </w:r>
    </w:p>
  </w:footnote>
  <w:footnote w:id="3">
    <w:p w14:paraId="26BB5448" w14:textId="77777777" w:rsidR="002B46A2" w:rsidRDefault="002B46A2" w:rsidP="002B46A2">
      <w:pPr>
        <w:pStyle w:val="Voetnoottekst"/>
      </w:pPr>
      <w:r>
        <w:rPr>
          <w:rStyle w:val="Voetnootmarkering"/>
        </w:rPr>
        <w:footnoteRef/>
      </w:r>
      <w:r>
        <w:t xml:space="preserve"> Kamerstukken II, 2022/23, 32852, nr. 227.</w:t>
      </w:r>
    </w:p>
  </w:footnote>
  <w:footnote w:id="4">
    <w:p w14:paraId="7B9D23A5" w14:textId="77777777" w:rsidR="002B46A2" w:rsidRDefault="002B46A2" w:rsidP="002B46A2">
      <w:pPr>
        <w:pStyle w:val="Voetnoottekst"/>
      </w:pPr>
      <w:r>
        <w:rPr>
          <w:rStyle w:val="Voetnootmarkering"/>
        </w:rPr>
        <w:footnoteRef/>
      </w:r>
      <w:r>
        <w:t xml:space="preserve"> Kamerstukken II, 2025/26, 2026Z08364.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C7AB" w14:textId="77777777" w:rsidR="002B46A2" w:rsidRPr="002B46A2" w:rsidRDefault="002B46A2" w:rsidP="002B46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921D" w14:textId="77777777" w:rsidR="002B46A2" w:rsidRPr="002B46A2" w:rsidRDefault="002B46A2" w:rsidP="002B46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5F94" w14:textId="77777777" w:rsidR="002B46A2" w:rsidRPr="002B46A2" w:rsidRDefault="002B46A2" w:rsidP="002B46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A2"/>
    <w:rsid w:val="002B46A2"/>
    <w:rsid w:val="002C3023"/>
    <w:rsid w:val="005E397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25FA"/>
  <w15:chartTrackingRefBased/>
  <w15:docId w15:val="{49A3613D-216C-4E0D-B813-F67706D4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4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4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46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46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46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46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46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46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46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46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46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46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46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46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46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46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46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46A2"/>
    <w:rPr>
      <w:rFonts w:eastAsiaTheme="majorEastAsia" w:cstheme="majorBidi"/>
      <w:color w:val="272727" w:themeColor="text1" w:themeTint="D8"/>
    </w:rPr>
  </w:style>
  <w:style w:type="paragraph" w:styleId="Titel">
    <w:name w:val="Title"/>
    <w:basedOn w:val="Standaard"/>
    <w:next w:val="Standaard"/>
    <w:link w:val="TitelChar"/>
    <w:uiPriority w:val="10"/>
    <w:qFormat/>
    <w:rsid w:val="002B4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46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46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46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46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46A2"/>
    <w:rPr>
      <w:i/>
      <w:iCs/>
      <w:color w:val="404040" w:themeColor="text1" w:themeTint="BF"/>
    </w:rPr>
  </w:style>
  <w:style w:type="paragraph" w:styleId="Lijstalinea">
    <w:name w:val="List Paragraph"/>
    <w:basedOn w:val="Standaard"/>
    <w:uiPriority w:val="34"/>
    <w:qFormat/>
    <w:rsid w:val="002B46A2"/>
    <w:pPr>
      <w:ind w:left="720"/>
      <w:contextualSpacing/>
    </w:pPr>
  </w:style>
  <w:style w:type="character" w:styleId="Intensievebenadrukking">
    <w:name w:val="Intense Emphasis"/>
    <w:basedOn w:val="Standaardalinea-lettertype"/>
    <w:uiPriority w:val="21"/>
    <w:qFormat/>
    <w:rsid w:val="002B46A2"/>
    <w:rPr>
      <w:i/>
      <w:iCs/>
      <w:color w:val="0F4761" w:themeColor="accent1" w:themeShade="BF"/>
    </w:rPr>
  </w:style>
  <w:style w:type="paragraph" w:styleId="Duidelijkcitaat">
    <w:name w:val="Intense Quote"/>
    <w:basedOn w:val="Standaard"/>
    <w:next w:val="Standaard"/>
    <w:link w:val="DuidelijkcitaatChar"/>
    <w:uiPriority w:val="30"/>
    <w:qFormat/>
    <w:rsid w:val="002B4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46A2"/>
    <w:rPr>
      <w:i/>
      <w:iCs/>
      <w:color w:val="0F4761" w:themeColor="accent1" w:themeShade="BF"/>
    </w:rPr>
  </w:style>
  <w:style w:type="character" w:styleId="Intensieveverwijzing">
    <w:name w:val="Intense Reference"/>
    <w:basedOn w:val="Standaardalinea-lettertype"/>
    <w:uiPriority w:val="32"/>
    <w:qFormat/>
    <w:rsid w:val="002B46A2"/>
    <w:rPr>
      <w:b/>
      <w:bCs/>
      <w:smallCaps/>
      <w:color w:val="0F4761" w:themeColor="accent1" w:themeShade="BF"/>
      <w:spacing w:val="5"/>
    </w:rPr>
  </w:style>
  <w:style w:type="paragraph" w:styleId="Koptekst">
    <w:name w:val="header"/>
    <w:basedOn w:val="Standaard"/>
    <w:link w:val="KoptekstChar"/>
    <w:rsid w:val="002B46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B46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B46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B46A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B46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B46A2"/>
    <w:rPr>
      <w:rFonts w:ascii="Verdana" w:hAnsi="Verdana"/>
      <w:noProof/>
      <w:sz w:val="13"/>
      <w:szCs w:val="24"/>
      <w:lang w:eastAsia="nl-NL"/>
    </w:rPr>
  </w:style>
  <w:style w:type="paragraph" w:customStyle="1" w:styleId="Huisstijl-Gegeven">
    <w:name w:val="Huisstijl-Gegeven"/>
    <w:basedOn w:val="Standaard"/>
    <w:link w:val="Huisstijl-GegevenCharChar"/>
    <w:rsid w:val="002B46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B46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B46A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B46A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B46A2"/>
    <w:pPr>
      <w:spacing w:after="0"/>
    </w:pPr>
    <w:rPr>
      <w:b/>
    </w:rPr>
  </w:style>
  <w:style w:type="paragraph" w:customStyle="1" w:styleId="Huisstijl-Paginanummering">
    <w:name w:val="Huisstijl-Paginanummering"/>
    <w:basedOn w:val="Standaard"/>
    <w:rsid w:val="002B46A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B46A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B46A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B46A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B46A2"/>
    <w:rPr>
      <w:b/>
      <w:bCs/>
    </w:rPr>
  </w:style>
  <w:style w:type="character" w:styleId="Voetnootmarkering">
    <w:name w:val="footnote reference"/>
    <w:basedOn w:val="Standaardalinea-lettertype"/>
    <w:semiHidden/>
    <w:unhideWhenUsed/>
    <w:rsid w:val="002B46A2"/>
    <w:rPr>
      <w:vertAlign w:val="superscript"/>
    </w:rPr>
  </w:style>
  <w:style w:type="paragraph" w:styleId="Geenafstand">
    <w:name w:val="No Spacing"/>
    <w:uiPriority w:val="1"/>
    <w:qFormat/>
    <w:rsid w:val="002B46A2"/>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1163</ap:Words>
  <ap:Characters>6401</ap:Characters>
  <ap:DocSecurity>0</ap:DocSecurity>
  <ap:Lines>53</ap:Lines>
  <ap:Paragraphs>15</ap:Paragraphs>
  <ap:ScaleCrop>false</ap:ScaleCrop>
  <ap:LinksUpToDate>false</ap:LinksUpToDate>
  <ap:CharactersWithSpaces>7549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2026-04-28T15:22:00.0000000Z</dcterms:created>
  <dcterms:modified xsi:type="dcterms:W3CDTF">2026-04-28T15:22:00.0000000Z</dcterms:modified>
  <version/>
  <category/>
</coreProperties>
</file>