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6354" w:rsidR="00022A01" w:rsidP="00022A01" w:rsidRDefault="00022A01" w14:paraId="6CBF3860" w14:textId="77777777">
      <w:pPr>
        <w:rPr>
          <w:szCs w:val="18"/>
        </w:rPr>
      </w:pPr>
      <w:r w:rsidRPr="00E96354">
        <w:rPr>
          <w:szCs w:val="18"/>
        </w:rPr>
        <w:t>Geachte Voorzitter,</w:t>
      </w:r>
    </w:p>
    <w:p w:rsidRPr="00E96354" w:rsidR="00022A01" w:rsidP="00022A01" w:rsidRDefault="00022A01" w14:paraId="7EE29AC8" w14:textId="77777777">
      <w:pPr>
        <w:rPr>
          <w:szCs w:val="18"/>
        </w:rPr>
      </w:pPr>
    </w:p>
    <w:p w:rsidR="00022A01" w:rsidP="00022A01" w:rsidRDefault="00022A01" w14:paraId="5658D7AD" w14:textId="00B1E156">
      <w:pPr>
        <w:rPr>
          <w:szCs w:val="18"/>
        </w:rPr>
      </w:pPr>
      <w:r w:rsidRPr="00E96354">
        <w:rPr>
          <w:szCs w:val="18"/>
        </w:rPr>
        <w:t>Op 21 april jl. heeft het kabinet de Kamer geïnformeerd over de voorlopige uitkomsten van de netcongestieaanpak in de FGU-regio. Naar aanleiding van het commissiedebat Netcongestie en elektriciteitsnet van 22 april jl.</w:t>
      </w:r>
      <w:r>
        <w:rPr>
          <w:szCs w:val="18"/>
        </w:rPr>
        <w:t xml:space="preserve"> </w:t>
      </w:r>
      <w:r w:rsidRPr="00E96354">
        <w:rPr>
          <w:szCs w:val="18"/>
        </w:rPr>
        <w:t xml:space="preserve">waarin deze uitkomsten zijn besproken, en ter invulling van </w:t>
      </w:r>
      <w:r w:rsidR="000C759C">
        <w:rPr>
          <w:szCs w:val="18"/>
        </w:rPr>
        <w:t>de toezegging aan</w:t>
      </w:r>
      <w:r w:rsidRPr="00E96354">
        <w:rPr>
          <w:szCs w:val="18"/>
        </w:rPr>
        <w:t xml:space="preserve"> het lid Müller</w:t>
      </w:r>
      <w:r w:rsidR="00C35B6F">
        <w:rPr>
          <w:szCs w:val="18"/>
        </w:rPr>
        <w:t xml:space="preserve">, </w:t>
      </w:r>
      <w:r w:rsidRPr="00E96354">
        <w:rPr>
          <w:szCs w:val="18"/>
        </w:rPr>
        <w:t>informeert het kabinet de Kamer aanvullend door de onderliggende achtergrondrapporten te delen die de besluitvorming hebben gevoed.</w:t>
      </w:r>
      <w:r>
        <w:rPr>
          <w:szCs w:val="18"/>
        </w:rPr>
        <w:t xml:space="preserve"> </w:t>
      </w:r>
      <w:r w:rsidRPr="002C6E06">
        <w:rPr>
          <w:szCs w:val="18"/>
        </w:rPr>
        <w:t xml:space="preserve">Met de aanpak en de gemaakte afspraken geeft het kabinet </w:t>
      </w:r>
      <w:r>
        <w:rPr>
          <w:szCs w:val="18"/>
        </w:rPr>
        <w:t xml:space="preserve">tevens </w:t>
      </w:r>
      <w:r w:rsidRPr="002C6E06">
        <w:rPr>
          <w:szCs w:val="18"/>
        </w:rPr>
        <w:t>invulling aan de motie-Grinwis</w:t>
      </w:r>
      <w:r w:rsidR="00BE0D64">
        <w:rPr>
          <w:rStyle w:val="Voetnootmarkering"/>
          <w:szCs w:val="18"/>
        </w:rPr>
        <w:footnoteReference w:id="1"/>
      </w:r>
      <w:r w:rsidRPr="002C6E06">
        <w:rPr>
          <w:szCs w:val="18"/>
        </w:rPr>
        <w:t>.</w:t>
      </w:r>
      <w:r>
        <w:rPr>
          <w:szCs w:val="18"/>
        </w:rPr>
        <w:t xml:space="preserve"> </w:t>
      </w:r>
    </w:p>
    <w:p w:rsidR="00022A01" w:rsidP="00022A01" w:rsidRDefault="00022A01" w14:paraId="2956ECC7" w14:textId="77777777">
      <w:pPr>
        <w:rPr>
          <w:szCs w:val="18"/>
        </w:rPr>
      </w:pPr>
    </w:p>
    <w:p w:rsidRPr="00E96354" w:rsidR="00022A01" w:rsidP="00022A01" w:rsidRDefault="00022A01" w14:paraId="06C65B79" w14:textId="77777777">
      <w:pPr>
        <w:rPr>
          <w:szCs w:val="18"/>
        </w:rPr>
      </w:pPr>
      <w:r>
        <w:rPr>
          <w:szCs w:val="18"/>
        </w:rPr>
        <w:t>H</w:t>
      </w:r>
      <w:r w:rsidRPr="00E96354">
        <w:rPr>
          <w:szCs w:val="18"/>
        </w:rPr>
        <w:t>et betreft:</w:t>
      </w:r>
    </w:p>
    <w:p w:rsidR="00022A01" w:rsidP="00022A01" w:rsidRDefault="00022A01" w14:paraId="02AFE7E2" w14:textId="77777777">
      <w:pPr>
        <w:pStyle w:val="Lijstalinea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bookmarkStart w:name="OLE_LINK2" w:id="0"/>
      <w:r>
        <w:rPr>
          <w:rFonts w:ascii="Verdana" w:hAnsi="Verdana"/>
          <w:sz w:val="18"/>
          <w:szCs w:val="18"/>
        </w:rPr>
        <w:t>H</w:t>
      </w:r>
      <w:r w:rsidRPr="00E96354">
        <w:rPr>
          <w:rFonts w:ascii="Verdana" w:hAnsi="Verdana"/>
          <w:sz w:val="18"/>
          <w:szCs w:val="18"/>
        </w:rPr>
        <w:t>et validatierapport van Arup over het TenneT-model voor de FGU-regio</w:t>
      </w:r>
      <w:r>
        <w:rPr>
          <w:rFonts w:ascii="Verdana" w:hAnsi="Verdana"/>
          <w:sz w:val="18"/>
          <w:szCs w:val="18"/>
        </w:rPr>
        <w:t>;</w:t>
      </w:r>
    </w:p>
    <w:p w:rsidR="00022A01" w:rsidP="00022A01" w:rsidRDefault="00022A01" w14:paraId="315F820C" w14:textId="66D8795D">
      <w:pPr>
        <w:pStyle w:val="Lijstalinea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</w:t>
      </w:r>
      <w:r w:rsidRPr="00E96354">
        <w:rPr>
          <w:rFonts w:ascii="Verdana" w:hAnsi="Verdana"/>
          <w:sz w:val="18"/>
          <w:szCs w:val="18"/>
        </w:rPr>
        <w:t>et rapport van Berenschot over de gehanteerde aannames</w:t>
      </w:r>
      <w:r>
        <w:rPr>
          <w:rFonts w:ascii="Verdana" w:hAnsi="Verdana"/>
          <w:sz w:val="18"/>
          <w:szCs w:val="18"/>
        </w:rPr>
        <w:t xml:space="preserve"> e</w:t>
      </w:r>
      <w:r w:rsidR="001B5380">
        <w:rPr>
          <w:rFonts w:ascii="Verdana" w:hAnsi="Verdana"/>
          <w:sz w:val="18"/>
          <w:szCs w:val="18"/>
        </w:rPr>
        <w:t xml:space="preserve">n </w:t>
      </w:r>
      <w:r w:rsidR="007C3963">
        <w:rPr>
          <w:rFonts w:ascii="Verdana" w:hAnsi="Verdana"/>
          <w:sz w:val="18"/>
          <w:szCs w:val="18"/>
        </w:rPr>
        <w:t>mogelijkheden om scherper aan de wind te varen;</w:t>
      </w:r>
    </w:p>
    <w:p w:rsidR="00022A01" w:rsidP="00022A01" w:rsidRDefault="00022A01" w14:paraId="380CE200" w14:textId="77777777">
      <w:pPr>
        <w:pStyle w:val="Lijstalinea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E96354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>opgestelde ‘</w:t>
      </w:r>
      <w:r w:rsidRPr="00E96354">
        <w:rPr>
          <w:rFonts w:ascii="Verdana" w:hAnsi="Verdana"/>
          <w:sz w:val="18"/>
          <w:szCs w:val="18"/>
        </w:rPr>
        <w:t>roadmaps</w:t>
      </w:r>
      <w:r>
        <w:rPr>
          <w:rFonts w:ascii="Verdana" w:hAnsi="Verdana"/>
          <w:sz w:val="18"/>
          <w:szCs w:val="18"/>
        </w:rPr>
        <w:t>’</w:t>
      </w:r>
      <w:r w:rsidRPr="00E96354">
        <w:rPr>
          <w:rFonts w:ascii="Verdana" w:hAnsi="Verdana"/>
          <w:sz w:val="18"/>
          <w:szCs w:val="18"/>
        </w:rPr>
        <w:t>: analyses per congestiegebied in de FGU-regio van de opgave en de kansrijke maatregele</w:t>
      </w:r>
      <w:r>
        <w:rPr>
          <w:rFonts w:ascii="Verdana" w:hAnsi="Verdana"/>
          <w:sz w:val="18"/>
          <w:szCs w:val="18"/>
        </w:rPr>
        <w:t>n;</w:t>
      </w:r>
    </w:p>
    <w:p w:rsidR="00022A01" w:rsidP="00022A01" w:rsidRDefault="00022A01" w14:paraId="6146EA19" w14:textId="77777777">
      <w:pPr>
        <w:pStyle w:val="Lijstalinea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</w:t>
      </w:r>
      <w:r w:rsidRPr="00E96354">
        <w:rPr>
          <w:rFonts w:ascii="Verdana" w:hAnsi="Verdana"/>
          <w:sz w:val="18"/>
          <w:szCs w:val="18"/>
        </w:rPr>
        <w:t xml:space="preserve">et afsprakenkader waarin betrokken partijen hun commitments hebben vastgelegd om maatregelen te realiseren, inclusief het addendum van 21 april. </w:t>
      </w:r>
    </w:p>
    <w:bookmarkEnd w:id="0"/>
    <w:p w:rsidRPr="00E96354" w:rsidR="00022A01" w:rsidP="00022A01" w:rsidRDefault="00022A01" w14:paraId="788FA196" w14:textId="77777777">
      <w:pPr>
        <w:rPr>
          <w:szCs w:val="18"/>
        </w:rPr>
      </w:pPr>
    </w:p>
    <w:p w:rsidRPr="00E96354" w:rsidR="00022A01" w:rsidP="00022A01" w:rsidRDefault="00022A01" w14:paraId="3936F5E6" w14:textId="77777777">
      <w:pPr>
        <w:rPr>
          <w:szCs w:val="18"/>
        </w:rPr>
      </w:pPr>
      <w:r w:rsidRPr="00E96354">
        <w:rPr>
          <w:szCs w:val="18"/>
        </w:rPr>
        <w:t>Hoogachtend,</w:t>
      </w:r>
    </w:p>
    <w:p w:rsidR="00022A01" w:rsidP="00022A01" w:rsidRDefault="00022A01" w14:paraId="0C843C85" w14:textId="77777777">
      <w:pPr>
        <w:rPr>
          <w:szCs w:val="18"/>
        </w:rPr>
      </w:pPr>
    </w:p>
    <w:p w:rsidR="00B83D85" w:rsidP="00022A01" w:rsidRDefault="00B83D85" w14:paraId="48697938" w14:textId="77777777">
      <w:pPr>
        <w:rPr>
          <w:szCs w:val="18"/>
        </w:rPr>
      </w:pPr>
    </w:p>
    <w:p w:rsidRPr="00E96354" w:rsidR="00B83D85" w:rsidP="00022A01" w:rsidRDefault="00B83D85" w14:paraId="7BEA6642" w14:textId="77777777">
      <w:pPr>
        <w:rPr>
          <w:szCs w:val="18"/>
        </w:rPr>
      </w:pPr>
    </w:p>
    <w:p w:rsidR="00BD2D73" w:rsidP="00810C93" w:rsidRDefault="00022A01" w14:paraId="38DA46DA" w14:textId="3A5A8329">
      <w:r w:rsidRPr="00E96354">
        <w:rPr>
          <w:szCs w:val="18"/>
        </w:rPr>
        <w:t>Jo-Annes de Bat</w:t>
      </w:r>
      <w:r w:rsidRPr="00E96354">
        <w:rPr>
          <w:szCs w:val="18"/>
        </w:rPr>
        <w:br/>
        <w:t>Staatssecretaris van Economische Zaken en Klimaat</w:t>
      </w:r>
    </w:p>
    <w:sectPr w:rsidR="00BD2D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E1ED" w14:textId="77777777" w:rsidR="00DF2CD6" w:rsidRDefault="00DF2CD6">
      <w:r>
        <w:separator/>
      </w:r>
    </w:p>
    <w:p w14:paraId="73AF213A" w14:textId="77777777" w:rsidR="00DF2CD6" w:rsidRDefault="00DF2CD6"/>
  </w:endnote>
  <w:endnote w:type="continuationSeparator" w:id="0">
    <w:p w14:paraId="695EA220" w14:textId="77777777" w:rsidR="00DF2CD6" w:rsidRDefault="00DF2CD6">
      <w:r>
        <w:continuationSeparator/>
      </w:r>
    </w:p>
    <w:p w14:paraId="6E7E9351" w14:textId="77777777" w:rsidR="00DF2CD6" w:rsidRDefault="00DF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450C6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5134130F" w:rsidR="00527BD4" w:rsidRPr="00645414" w:rsidRDefault="002B47A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A73EDC">
            <w:t>2</w:t>
          </w:r>
          <w:r w:rsidR="004425CC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450C6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3C5817DF" w:rsidR="00527BD4" w:rsidRPr="00ED539E" w:rsidRDefault="002B47A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290CF8">
            <w:t>1</w:t>
          </w:r>
          <w:r w:rsidR="00A13FBD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F54C" w14:textId="77777777" w:rsidR="00DF2CD6" w:rsidRDefault="00DF2CD6">
      <w:r>
        <w:separator/>
      </w:r>
    </w:p>
    <w:p w14:paraId="3C5D4617" w14:textId="77777777" w:rsidR="00DF2CD6" w:rsidRDefault="00DF2CD6"/>
  </w:footnote>
  <w:footnote w:type="continuationSeparator" w:id="0">
    <w:p w14:paraId="5900AD03" w14:textId="77777777" w:rsidR="00DF2CD6" w:rsidRDefault="00DF2CD6">
      <w:r>
        <w:continuationSeparator/>
      </w:r>
    </w:p>
    <w:p w14:paraId="09FA4088" w14:textId="77777777" w:rsidR="00DF2CD6" w:rsidRDefault="00DF2CD6"/>
  </w:footnote>
  <w:footnote w:id="1">
    <w:p w14:paraId="6496DAA6" w14:textId="6275DF6F" w:rsidR="00BE0D64" w:rsidRDefault="00BE0D64">
      <w:pPr>
        <w:pStyle w:val="Voetnoottekst"/>
      </w:pPr>
      <w:r>
        <w:rPr>
          <w:rStyle w:val="Voetnootmarkering"/>
        </w:rPr>
        <w:footnoteRef/>
      </w:r>
      <w:r>
        <w:t xml:space="preserve"> Kamerstukken II 2025/26, </w:t>
      </w:r>
      <w:r w:rsidRPr="00BE0D64">
        <w:t>36800-XXIII</w:t>
      </w:r>
      <w:r>
        <w:t xml:space="preserve">, nr. 48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450C6" w14:paraId="3909255B" w14:textId="77777777" w:rsidTr="00A50CF6">
      <w:tc>
        <w:tcPr>
          <w:tcW w:w="2156" w:type="dxa"/>
        </w:tcPr>
        <w:p w14:paraId="0D48B309" w14:textId="6B32C0CE" w:rsidR="00527BD4" w:rsidRPr="005819CE" w:rsidRDefault="002B47A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Programma Netcongestie (LAN)</w:t>
          </w:r>
        </w:p>
      </w:tc>
    </w:tr>
    <w:tr w:rsidR="004450C6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4450C6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74094FD6" w:rsidR="00527BD4" w:rsidRDefault="002B47A3" w:rsidP="003A5290">
          <w:pPr>
            <w:pStyle w:val="Huisstijl-Kopje"/>
          </w:pPr>
          <w:r>
            <w:t>Ons kenmerk</w:t>
          </w:r>
        </w:p>
        <w:p w14:paraId="35F502D9" w14:textId="473D925A" w:rsidR="00527BD4" w:rsidRPr="005819CE" w:rsidRDefault="002B47A3" w:rsidP="004425CC">
          <w:pPr>
            <w:pStyle w:val="Huisstijl-Kopje"/>
          </w:pPr>
          <w:r>
            <w:rPr>
              <w:b w:val="0"/>
            </w:rPr>
            <w:t>KGG_DGRGG_LAN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106005946</w:t>
          </w:r>
        </w:p>
      </w:tc>
    </w:tr>
  </w:tbl>
  <w:p w14:paraId="711B766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9B7849" w14:textId="77777777" w:rsidR="00527BD4" w:rsidRDefault="00527BD4" w:rsidP="008C356D"/>
  <w:p w14:paraId="78625B03" w14:textId="77777777" w:rsidR="00527BD4" w:rsidRPr="00740712" w:rsidRDefault="00527BD4" w:rsidP="008C356D"/>
  <w:p w14:paraId="704A81C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56129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B8E539A" w14:textId="77777777" w:rsidR="00527BD4" w:rsidRDefault="00527BD4" w:rsidP="004F44C2"/>
  <w:p w14:paraId="0E2A0D98" w14:textId="77777777" w:rsidR="00527BD4" w:rsidRPr="00740712" w:rsidRDefault="00527BD4" w:rsidP="004F44C2"/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450C6" w14:paraId="06993FB5" w14:textId="77777777" w:rsidTr="00751A6A">
      <w:trPr>
        <w:trHeight w:val="2636"/>
      </w:trPr>
      <w:tc>
        <w:tcPr>
          <w:tcW w:w="737" w:type="dxa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1AEDE58D" w:rsidR="00527BD4" w:rsidRDefault="002B47A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9B0A1ED" wp14:editId="2840C74F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450C6" w14:paraId="13D0458E" w14:textId="77777777" w:rsidTr="00A50CF6">
      <w:tc>
        <w:tcPr>
          <w:tcW w:w="2160" w:type="dxa"/>
        </w:tcPr>
        <w:p w14:paraId="6507531A" w14:textId="3ACA1BC9" w:rsidR="00527BD4" w:rsidRPr="005819CE" w:rsidRDefault="002B47A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Programma Netcongestie (LAN)</w:t>
          </w:r>
        </w:p>
        <w:p w14:paraId="650C04C7" w14:textId="65DBC8E8" w:rsidR="00527BD4" w:rsidRPr="00BE5ED9" w:rsidRDefault="002B47A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4A34DA6" w14:textId="77777777" w:rsidR="00EF495B" w:rsidRDefault="002B47A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7E6BDA2" w14:textId="77777777" w:rsidR="00EF495B" w:rsidRPr="005B3814" w:rsidRDefault="002B47A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4999AB2" w14:textId="1FA1E6FC" w:rsidR="00527BD4" w:rsidRPr="00FF50D5" w:rsidRDefault="002B47A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450C6" w14:paraId="4FB02182" w14:textId="77777777" w:rsidTr="00A50CF6">
      <w:trPr>
        <w:trHeight w:hRule="exact" w:val="20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4450C6" w14:paraId="30880088" w14:textId="77777777" w:rsidTr="00A50CF6">
      <w:tc>
        <w:tcPr>
          <w:tcW w:w="2160" w:type="dxa"/>
        </w:tcPr>
        <w:p w14:paraId="3302543D" w14:textId="2513044B" w:rsidR="000C0163" w:rsidRPr="005819CE" w:rsidRDefault="002B47A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3491600" w14:textId="77777777" w:rsidR="00A73EDC" w:rsidRPr="00A73EDC" w:rsidRDefault="002B47A3" w:rsidP="00A73EDC">
          <w:pPr>
            <w:pStyle w:val="Huisstijl-Gegeven"/>
          </w:pPr>
          <w:r>
            <w:t>KGG_DGRGG_LAN</w:t>
          </w:r>
          <w:r w:rsidR="00926AE2">
            <w:t xml:space="preserve"> / </w:t>
          </w:r>
          <w:r w:rsidR="00A73EDC" w:rsidRPr="00A73EDC">
            <w:t>106016660</w:t>
          </w:r>
        </w:p>
        <w:p w14:paraId="74FE33F6" w14:textId="45DDB6DF" w:rsidR="00527BD4" w:rsidRPr="005819CE" w:rsidRDefault="00527BD4" w:rsidP="00A50CF6">
          <w:pPr>
            <w:pStyle w:val="Huisstijl-Gegeven"/>
          </w:pPr>
        </w:p>
        <w:p w14:paraId="571C4B05" w14:textId="7A681442" w:rsidR="00527BD4" w:rsidRPr="005819CE" w:rsidRDefault="002B47A3" w:rsidP="00A50CF6">
          <w:pPr>
            <w:pStyle w:val="Huisstijl-Kopje"/>
          </w:pPr>
          <w:r>
            <w:t>Bijlage(n)</w:t>
          </w:r>
        </w:p>
        <w:p w14:paraId="7376D2F5" w14:textId="5753FE90" w:rsidR="00527BD4" w:rsidRPr="005819CE" w:rsidRDefault="00FF50D5" w:rsidP="00A50CF6">
          <w:pPr>
            <w:pStyle w:val="Huisstijl-Gegeven"/>
          </w:pPr>
          <w:r>
            <w:t>4</w:t>
          </w: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450C6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332A2F83" w:rsidR="00527BD4" w:rsidRPr="00BC3B53" w:rsidRDefault="002B47A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450C6" w14:paraId="5164276F" w14:textId="77777777" w:rsidTr="007610AA">
      <w:tc>
        <w:tcPr>
          <w:tcW w:w="7520" w:type="dxa"/>
          <w:gridSpan w:val="2"/>
        </w:tcPr>
        <w:p w14:paraId="7BF06BCA" w14:textId="4CCA9204" w:rsidR="00527BD4" w:rsidRPr="00983E8F" w:rsidRDefault="00527BD4" w:rsidP="00A50CF6">
          <w:pPr>
            <w:pStyle w:val="Huisstijl-Rubricering"/>
          </w:pPr>
        </w:p>
      </w:tc>
    </w:tr>
    <w:tr w:rsidR="004450C6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320ABB57" w14:textId="77777777" w:rsidR="006E7AC4" w:rsidRDefault="006E7AC4" w:rsidP="006E7AC4">
          <w:pPr>
            <w:pStyle w:val="Huisstijl-NAW"/>
          </w:pPr>
          <w:r>
            <w:t>De Voorzitter van de Tweede Kamer</w:t>
          </w:r>
        </w:p>
        <w:p w14:paraId="60C1CAF3" w14:textId="77777777" w:rsidR="006E7AC4" w:rsidRDefault="006E7AC4" w:rsidP="006E7AC4">
          <w:pPr>
            <w:pStyle w:val="Huisstijl-NAW"/>
          </w:pPr>
          <w:r>
            <w:t>der Staten-Generaal</w:t>
          </w:r>
        </w:p>
        <w:p w14:paraId="0593BE06" w14:textId="77777777" w:rsidR="006E7AC4" w:rsidRDefault="006E7AC4" w:rsidP="006E7AC4">
          <w:pPr>
            <w:pStyle w:val="Huisstijl-NAW"/>
          </w:pPr>
          <w:r>
            <w:t>Prinses Irenestraat 6</w:t>
          </w:r>
        </w:p>
        <w:p w14:paraId="0A499B54" w14:textId="0FED9552" w:rsidR="00527BD4" w:rsidRDefault="006E7AC4" w:rsidP="006E7AC4">
          <w:pPr>
            <w:pStyle w:val="Huisstijl-NAW"/>
          </w:pPr>
          <w:r>
            <w:t>2595 BD  DEN HAAG</w:t>
          </w:r>
        </w:p>
      </w:tc>
    </w:tr>
    <w:tr w:rsidR="004450C6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450C6" w14:paraId="5ED9E2F1" w14:textId="77777777" w:rsidTr="007610AA">
      <w:trPr>
        <w:trHeight w:val="240"/>
      </w:trPr>
      <w:tc>
        <w:tcPr>
          <w:tcW w:w="900" w:type="dxa"/>
        </w:tcPr>
        <w:p w14:paraId="7BB2C1AF" w14:textId="42753BE6" w:rsidR="00527BD4" w:rsidRPr="007709EF" w:rsidRDefault="002B47A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626562C2" w:rsidR="00527BD4" w:rsidRPr="007709EF" w:rsidRDefault="005A7D05" w:rsidP="00A50CF6">
          <w:r>
            <w:t>28 april 2026</w:t>
          </w:r>
        </w:p>
      </w:tc>
    </w:tr>
    <w:tr w:rsidR="004450C6" w14:paraId="35FBB112" w14:textId="77777777" w:rsidTr="007610AA">
      <w:trPr>
        <w:trHeight w:val="240"/>
      </w:trPr>
      <w:tc>
        <w:tcPr>
          <w:tcW w:w="900" w:type="dxa"/>
        </w:tcPr>
        <w:p w14:paraId="67E42000" w14:textId="0A2B5776" w:rsidR="00527BD4" w:rsidRPr="007709EF" w:rsidRDefault="002B47A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19A1310D" w:rsidR="00527BD4" w:rsidRPr="007709EF" w:rsidRDefault="0085760C" w:rsidP="00A50CF6">
          <w:r>
            <w:t>Aanbieden stukken crisisaanpak FGU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4BE4E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7DA7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9E1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CA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65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14E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E3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3CB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9E8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C724C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4041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A69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8B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EB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2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09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41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C80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81225"/>
    <w:multiLevelType w:val="hybridMultilevel"/>
    <w:tmpl w:val="75689B0E"/>
    <w:lvl w:ilvl="0" w:tplc="7C66ED8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07959">
    <w:abstractNumId w:val="10"/>
  </w:num>
  <w:num w:numId="2" w16cid:durableId="904292325">
    <w:abstractNumId w:val="7"/>
  </w:num>
  <w:num w:numId="3" w16cid:durableId="1943495183">
    <w:abstractNumId w:val="6"/>
  </w:num>
  <w:num w:numId="4" w16cid:durableId="595021576">
    <w:abstractNumId w:val="5"/>
  </w:num>
  <w:num w:numId="5" w16cid:durableId="1882785543">
    <w:abstractNumId w:val="4"/>
  </w:num>
  <w:num w:numId="6" w16cid:durableId="2008247997">
    <w:abstractNumId w:val="8"/>
  </w:num>
  <w:num w:numId="7" w16cid:durableId="1850559612">
    <w:abstractNumId w:val="3"/>
  </w:num>
  <w:num w:numId="8" w16cid:durableId="1344088347">
    <w:abstractNumId w:val="2"/>
  </w:num>
  <w:num w:numId="9" w16cid:durableId="356586297">
    <w:abstractNumId w:val="1"/>
  </w:num>
  <w:num w:numId="10" w16cid:durableId="1168907171">
    <w:abstractNumId w:val="0"/>
  </w:num>
  <w:num w:numId="11" w16cid:durableId="2102332289">
    <w:abstractNumId w:val="9"/>
  </w:num>
  <w:num w:numId="12" w16cid:durableId="2070374103">
    <w:abstractNumId w:val="11"/>
  </w:num>
  <w:num w:numId="13" w16cid:durableId="554512243">
    <w:abstractNumId w:val="13"/>
  </w:num>
  <w:num w:numId="14" w16cid:durableId="1013722860">
    <w:abstractNumId w:val="12"/>
  </w:num>
  <w:num w:numId="15" w16cid:durableId="48505590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2A01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759C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380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0DF"/>
    <w:rsid w:val="00275984"/>
    <w:rsid w:val="00280F74"/>
    <w:rsid w:val="002822CA"/>
    <w:rsid w:val="00286998"/>
    <w:rsid w:val="00290CF8"/>
    <w:rsid w:val="00291AB7"/>
    <w:rsid w:val="00292EB2"/>
    <w:rsid w:val="0029422B"/>
    <w:rsid w:val="002A0938"/>
    <w:rsid w:val="002B153C"/>
    <w:rsid w:val="002B47A3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61E4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450C6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A7D0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AC4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396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60C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48C4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3EDC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3D85"/>
    <w:rsid w:val="00B849F5"/>
    <w:rsid w:val="00B91CFC"/>
    <w:rsid w:val="00B93893"/>
    <w:rsid w:val="00B9507E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0D64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35B6F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2CD6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5ED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022A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50D5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BE0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931</ap:Characters>
  <ap:DocSecurity>0</ap:DocSecurity>
  <ap:Lines>7</ap:Lines>
  <ap:Paragraphs>2</ap:Paragraphs>
  <ap:ScaleCrop>false</ap:ScaleCrop>
  <ap:LinksUpToDate>false</ap:LinksUpToDate>
  <ap:CharactersWithSpaces>1098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2026-04-27T19:12:00.0000000Z</dcterms:created>
  <dcterms:modified xsi:type="dcterms:W3CDTF">2026-04-27T19:12:00.0000000Z</dcterms:modified>
  <dc:description>------------------------</dc:description>
  <dc:subject/>
  <keywords/>
  <version/>
  <category/>
</coreProperties>
</file>