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3E54" w:rsidR="00142749" w:rsidP="00E63E54" w:rsidRDefault="008E585E" w14:paraId="1E55172C" w14:textId="77777777">
      <w:pPr>
        <w:rPr>
          <w:rFonts w:ascii="Calibri" w:hAnsi="Calibri" w:cs="Calibri"/>
        </w:rPr>
      </w:pPr>
      <w:r w:rsidRPr="00E63E54">
        <w:rPr>
          <w:rFonts w:ascii="Calibri" w:hAnsi="Calibri" w:cs="Calibri"/>
        </w:rPr>
        <w:t>31477</w:t>
      </w:r>
      <w:r w:rsidRPr="00E63E54" w:rsidR="00142749">
        <w:rPr>
          <w:rFonts w:ascii="Calibri" w:hAnsi="Calibri" w:cs="Calibri"/>
        </w:rPr>
        <w:tab/>
      </w:r>
      <w:r w:rsidRPr="00E63E54" w:rsidR="00142749">
        <w:rPr>
          <w:rFonts w:ascii="Calibri" w:hAnsi="Calibri" w:cs="Calibri"/>
        </w:rPr>
        <w:tab/>
      </w:r>
      <w:r w:rsidRPr="00E63E54" w:rsidR="00142749">
        <w:rPr>
          <w:rFonts w:ascii="Calibri" w:hAnsi="Calibri" w:cs="Calibri"/>
        </w:rPr>
        <w:tab/>
        <w:t xml:space="preserve">Bestrijden witwassen en terrorismefinanciering </w:t>
      </w:r>
    </w:p>
    <w:p w:rsidRPr="00E63E54" w:rsidR="00E63E54" w:rsidP="00E63E54" w:rsidRDefault="008E585E" w14:paraId="649ACE1F" w14:textId="77777777">
      <w:pPr>
        <w:rPr>
          <w:rFonts w:ascii="Calibri" w:hAnsi="Calibri" w:cs="Calibri"/>
        </w:rPr>
      </w:pPr>
      <w:r w:rsidRPr="00E63E54">
        <w:rPr>
          <w:rFonts w:ascii="Calibri" w:hAnsi="Calibri" w:cs="Calibri"/>
        </w:rPr>
        <w:t>24557</w:t>
      </w:r>
      <w:r w:rsidRPr="00E63E54" w:rsidR="00E63E54">
        <w:rPr>
          <w:rFonts w:ascii="Calibri" w:hAnsi="Calibri" w:cs="Calibri"/>
        </w:rPr>
        <w:tab/>
      </w:r>
      <w:r w:rsidRPr="00E63E54" w:rsidR="00E63E54">
        <w:rPr>
          <w:rFonts w:ascii="Calibri" w:hAnsi="Calibri" w:cs="Calibri"/>
        </w:rPr>
        <w:tab/>
      </w:r>
      <w:r w:rsidRPr="00E63E54" w:rsidR="00E63E54">
        <w:rPr>
          <w:rFonts w:ascii="Calibri" w:hAnsi="Calibri" w:cs="Calibri"/>
        </w:rPr>
        <w:tab/>
        <w:t>Kansspelen</w:t>
      </w:r>
    </w:p>
    <w:p w:rsidRPr="00E63E54" w:rsidR="00E63E54" w:rsidP="00E63E54" w:rsidRDefault="00142749" w14:paraId="7B01BCDF" w14:textId="77777777">
      <w:pPr>
        <w:rPr>
          <w:rFonts w:ascii="Calibri" w:hAnsi="Calibri" w:cs="Calibri"/>
          <w:color w:val="000000"/>
        </w:rPr>
      </w:pPr>
      <w:r w:rsidRPr="00E63E54">
        <w:rPr>
          <w:rFonts w:ascii="Calibri" w:hAnsi="Calibri" w:cs="Calibri"/>
        </w:rPr>
        <w:t xml:space="preserve">Nr. </w:t>
      </w:r>
      <w:r w:rsidRPr="00E63E54">
        <w:rPr>
          <w:rFonts w:ascii="Calibri" w:hAnsi="Calibri" w:cs="Calibri"/>
        </w:rPr>
        <w:t>127</w:t>
      </w:r>
      <w:r w:rsidRPr="00E63E54" w:rsidR="00E63E54">
        <w:rPr>
          <w:rFonts w:ascii="Calibri" w:hAnsi="Calibri" w:cs="Calibri"/>
        </w:rPr>
        <w:tab/>
      </w:r>
      <w:r w:rsidRPr="00E63E54" w:rsidR="00E63E54">
        <w:rPr>
          <w:rFonts w:ascii="Calibri" w:hAnsi="Calibri" w:cs="Calibri"/>
        </w:rPr>
        <w:tab/>
      </w:r>
      <w:r w:rsidRPr="00E63E54" w:rsidR="00E63E54">
        <w:rPr>
          <w:rFonts w:ascii="Calibri" w:hAnsi="Calibri" w:cs="Calibri"/>
        </w:rPr>
        <w:tab/>
        <w:t>Brief van de staatssecretaris van Justitie en Veiligheid</w:t>
      </w:r>
    </w:p>
    <w:p w:rsidRPr="00E63E54" w:rsidR="00142749" w:rsidP="00E63E54" w:rsidRDefault="00E63E54" w14:paraId="2EE774CF" w14:textId="47DB73F3">
      <w:pPr>
        <w:rPr>
          <w:rFonts w:ascii="Calibri" w:hAnsi="Calibri" w:cs="Calibri"/>
        </w:rPr>
      </w:pPr>
      <w:r w:rsidRPr="00E63E54">
        <w:rPr>
          <w:rFonts w:ascii="Calibri" w:hAnsi="Calibri" w:cs="Calibri"/>
        </w:rPr>
        <w:t>Aan de Voorzitter van de Tweede Kamer der Staten-Generaal</w:t>
      </w:r>
    </w:p>
    <w:p w:rsidRPr="00E63E54" w:rsidR="00E63E54" w:rsidP="00E63E54" w:rsidRDefault="00E63E54" w14:paraId="098B00D5" w14:textId="4A6CA3C6">
      <w:pPr>
        <w:rPr>
          <w:rFonts w:ascii="Calibri" w:hAnsi="Calibri" w:cs="Calibri"/>
        </w:rPr>
      </w:pPr>
      <w:r w:rsidRPr="00E63E54">
        <w:rPr>
          <w:rFonts w:ascii="Calibri" w:hAnsi="Calibri" w:cs="Calibri"/>
        </w:rPr>
        <w:t>Den Haag, 23 april 2026</w:t>
      </w:r>
    </w:p>
    <w:p w:rsidRPr="00E63E54" w:rsidR="008E585E" w:rsidP="00E63E54" w:rsidRDefault="008E585E" w14:paraId="1B0ECF20" w14:textId="77777777">
      <w:pPr>
        <w:rPr>
          <w:rFonts w:ascii="Calibri" w:hAnsi="Calibri" w:cs="Calibri"/>
        </w:rPr>
      </w:pPr>
    </w:p>
    <w:p w:rsidRPr="00E63E54" w:rsidR="008E585E" w:rsidP="00E63E54" w:rsidRDefault="008E585E" w14:paraId="4F88FCDA" w14:textId="27432F27">
      <w:pPr>
        <w:rPr>
          <w:rFonts w:ascii="Calibri" w:hAnsi="Calibri" w:cs="Calibri"/>
        </w:rPr>
      </w:pPr>
      <w:r w:rsidRPr="00E63E54">
        <w:rPr>
          <w:rFonts w:ascii="Calibri" w:hAnsi="Calibri" w:cs="Calibri"/>
        </w:rPr>
        <w:t xml:space="preserve">Met deze brief informeer ik uw Kamer over onderzoek dat is uitgevoerd naar de risico’s op witwassen en terrorismefinanciering in de kansspelsector. Het gaat om het volgende onderzoek met addendum, uitgevoerd door </w:t>
      </w:r>
      <w:proofErr w:type="spellStart"/>
      <w:r w:rsidRPr="00E63E54">
        <w:rPr>
          <w:rFonts w:ascii="Calibri" w:hAnsi="Calibri" w:cs="Calibri"/>
        </w:rPr>
        <w:t>Dialogic</w:t>
      </w:r>
      <w:proofErr w:type="spellEnd"/>
      <w:r w:rsidRPr="00E63E54">
        <w:rPr>
          <w:rFonts w:ascii="Calibri" w:hAnsi="Calibri" w:cs="Calibri"/>
        </w:rPr>
        <w:t xml:space="preserve"> in opdracht van het Wetenschappelijk Onderzoek- en Datacentrum (WODC):</w:t>
      </w:r>
    </w:p>
    <w:p w:rsidRPr="00E63E54" w:rsidR="008E585E" w:rsidP="00E63E54" w:rsidRDefault="008E585E" w14:paraId="55591528" w14:textId="77777777">
      <w:pPr>
        <w:rPr>
          <w:rFonts w:ascii="Calibri" w:hAnsi="Calibri" w:cs="Calibri"/>
        </w:rPr>
      </w:pPr>
    </w:p>
    <w:p w:rsidRPr="00E63E54" w:rsidR="008E585E" w:rsidP="00E63E54" w:rsidRDefault="008E585E" w14:paraId="558D70D4" w14:textId="77777777">
      <w:pPr>
        <w:numPr>
          <w:ilvl w:val="0"/>
          <w:numId w:val="1"/>
        </w:numPr>
        <w:autoSpaceDN w:val="0"/>
        <w:spacing w:after="0" w:line="240" w:lineRule="atLeast"/>
        <w:textAlignment w:val="baseline"/>
        <w:rPr>
          <w:rFonts w:ascii="Calibri" w:hAnsi="Calibri" w:cs="Calibri"/>
        </w:rPr>
      </w:pPr>
      <w:r w:rsidRPr="00E63E54">
        <w:rPr>
          <w:rFonts w:ascii="Calibri" w:hAnsi="Calibri" w:cs="Calibri"/>
        </w:rPr>
        <w:t xml:space="preserve">Vervolgonderzoek naar risico’s op witwassen en terrorismefinanciering </w:t>
      </w:r>
      <w:proofErr w:type="spellStart"/>
      <w:r w:rsidRPr="00E63E54">
        <w:rPr>
          <w:rFonts w:ascii="Calibri" w:hAnsi="Calibri" w:cs="Calibri"/>
        </w:rPr>
        <w:t>i.h.k.v</w:t>
      </w:r>
      <w:proofErr w:type="spellEnd"/>
      <w:r w:rsidRPr="00E63E54">
        <w:rPr>
          <w:rFonts w:ascii="Calibri" w:hAnsi="Calibri" w:cs="Calibri"/>
        </w:rPr>
        <w:t xml:space="preserve">. de mogelijke AMLR-vrijstelling voor kansspeldiensten. </w:t>
      </w:r>
      <w:r w:rsidRPr="00E63E54">
        <w:rPr>
          <w:rFonts w:ascii="Calibri" w:hAnsi="Calibri" w:cs="Calibri"/>
        </w:rPr>
        <w:br/>
        <w:t xml:space="preserve">Dit onderzoek richtte zich op </w:t>
      </w:r>
      <w:proofErr w:type="spellStart"/>
      <w:r w:rsidRPr="00E63E54">
        <w:rPr>
          <w:rFonts w:ascii="Calibri" w:hAnsi="Calibri" w:cs="Calibri"/>
        </w:rPr>
        <w:t>landgebonden</w:t>
      </w:r>
      <w:proofErr w:type="spellEnd"/>
      <w:r w:rsidRPr="00E63E54">
        <w:rPr>
          <w:rFonts w:ascii="Calibri" w:hAnsi="Calibri" w:cs="Calibri"/>
        </w:rPr>
        <w:t xml:space="preserve"> kansspelen: loterijen, krasloten, speelautomaten en </w:t>
      </w:r>
      <w:proofErr w:type="spellStart"/>
      <w:r w:rsidRPr="00E63E54">
        <w:rPr>
          <w:rFonts w:ascii="Calibri" w:hAnsi="Calibri" w:cs="Calibri"/>
        </w:rPr>
        <w:t>landgebonden</w:t>
      </w:r>
      <w:proofErr w:type="spellEnd"/>
      <w:r w:rsidRPr="00E63E54">
        <w:rPr>
          <w:rFonts w:ascii="Calibri" w:hAnsi="Calibri" w:cs="Calibri"/>
        </w:rPr>
        <w:t xml:space="preserve"> sportweddenschappen. Holland Casino is niet meegenomen in dit onderzoek, omdat Holland Casino onder de huidige en toekomstige wetgeving geen vrijstelling kan ontvangen. </w:t>
      </w:r>
    </w:p>
    <w:p w:rsidRPr="00E63E54" w:rsidR="008E585E" w:rsidP="00E63E54" w:rsidRDefault="008E585E" w14:paraId="2E2E51EE" w14:textId="77777777">
      <w:pPr>
        <w:numPr>
          <w:ilvl w:val="0"/>
          <w:numId w:val="1"/>
        </w:numPr>
        <w:autoSpaceDN w:val="0"/>
        <w:spacing w:after="0" w:line="240" w:lineRule="atLeast"/>
        <w:textAlignment w:val="baseline"/>
        <w:rPr>
          <w:rFonts w:ascii="Calibri" w:hAnsi="Calibri" w:cs="Calibri"/>
        </w:rPr>
      </w:pPr>
      <w:r w:rsidRPr="00E63E54">
        <w:rPr>
          <w:rFonts w:ascii="Calibri" w:hAnsi="Calibri" w:cs="Calibri"/>
        </w:rPr>
        <w:t xml:space="preserve">Risico’s op witwassen en terrorismefinanciering: kansspelen op afstand (addendum). </w:t>
      </w:r>
    </w:p>
    <w:p w:rsidRPr="00E63E54" w:rsidR="008E585E" w:rsidP="00E63E54" w:rsidRDefault="008E585E" w14:paraId="4209D3EE" w14:textId="77777777">
      <w:pPr>
        <w:ind w:left="720"/>
        <w:rPr>
          <w:rFonts w:ascii="Calibri" w:hAnsi="Calibri" w:cs="Calibri"/>
        </w:rPr>
      </w:pPr>
      <w:r w:rsidRPr="00E63E54">
        <w:rPr>
          <w:rFonts w:ascii="Calibri" w:hAnsi="Calibri" w:cs="Calibri"/>
        </w:rPr>
        <w:t xml:space="preserve">Dit onderdeel, dat later als addendum is toegevoegd en op 23 april 2026 openbaar wordt gemaakt, analyseerde specifiek online kansspelen en hun risicoprofiel. Kansspelen op afstand kunnen onder de huidige en toekomstige wetgeving geen vrijstelling ontvangen. </w:t>
      </w:r>
    </w:p>
    <w:p w:rsidRPr="00E63E54" w:rsidR="008E585E" w:rsidP="00E63E54" w:rsidRDefault="008E585E" w14:paraId="0E141B58" w14:textId="77777777">
      <w:pPr>
        <w:ind w:left="720"/>
        <w:rPr>
          <w:rFonts w:ascii="Calibri" w:hAnsi="Calibri" w:cs="Calibri"/>
        </w:rPr>
      </w:pPr>
    </w:p>
    <w:p w:rsidRPr="00E63E54" w:rsidR="008E585E" w:rsidP="00E63E54" w:rsidRDefault="008E585E" w14:paraId="3469B631" w14:textId="77777777">
      <w:pPr>
        <w:rPr>
          <w:rFonts w:ascii="Calibri" w:hAnsi="Calibri" w:cs="Calibri"/>
        </w:rPr>
      </w:pPr>
      <w:r w:rsidRPr="00E63E54">
        <w:rPr>
          <w:rFonts w:ascii="Calibri" w:hAnsi="Calibri" w:cs="Calibri"/>
        </w:rPr>
        <w:t xml:space="preserve">De uitkomsten van deze onderzoeken zijn meegenomen bij de voorbereiding van de uitvoering van het nieuwe Europese pakket aan anti-witwasmaatregelen bestaande uit de Anti-Money </w:t>
      </w:r>
      <w:proofErr w:type="spellStart"/>
      <w:r w:rsidRPr="00E63E54">
        <w:rPr>
          <w:rFonts w:ascii="Calibri" w:hAnsi="Calibri" w:cs="Calibri"/>
        </w:rPr>
        <w:t>Laundering</w:t>
      </w:r>
      <w:proofErr w:type="spellEnd"/>
      <w:r w:rsidRPr="00E63E54">
        <w:rPr>
          <w:rFonts w:ascii="Calibri" w:hAnsi="Calibri" w:cs="Calibri"/>
        </w:rPr>
        <w:t xml:space="preserve"> </w:t>
      </w:r>
      <w:proofErr w:type="spellStart"/>
      <w:r w:rsidRPr="00E63E54">
        <w:rPr>
          <w:rFonts w:ascii="Calibri" w:hAnsi="Calibri" w:cs="Calibri"/>
        </w:rPr>
        <w:t>Regulation</w:t>
      </w:r>
      <w:proofErr w:type="spellEnd"/>
      <w:r w:rsidRPr="00E63E54">
        <w:rPr>
          <w:rFonts w:ascii="Calibri" w:hAnsi="Calibri" w:cs="Calibri"/>
        </w:rPr>
        <w:t xml:space="preserve"> (AMLR, Verordening (EU) 2024/1624), de zesde Anti-Money </w:t>
      </w:r>
      <w:proofErr w:type="spellStart"/>
      <w:r w:rsidRPr="00E63E54">
        <w:rPr>
          <w:rFonts w:ascii="Calibri" w:hAnsi="Calibri" w:cs="Calibri"/>
        </w:rPr>
        <w:t>Laundering</w:t>
      </w:r>
      <w:proofErr w:type="spellEnd"/>
      <w:r w:rsidRPr="00E63E54">
        <w:rPr>
          <w:rFonts w:ascii="Calibri" w:hAnsi="Calibri" w:cs="Calibri"/>
        </w:rPr>
        <w:t xml:space="preserve"> Directive (AMLD6, Richtlijn (EU) 2024/1640) en de oprichting van de Europese Anti-Money </w:t>
      </w:r>
      <w:proofErr w:type="spellStart"/>
      <w:r w:rsidRPr="00E63E54">
        <w:rPr>
          <w:rFonts w:ascii="Calibri" w:hAnsi="Calibri" w:cs="Calibri"/>
        </w:rPr>
        <w:t>Laundering</w:t>
      </w:r>
      <w:proofErr w:type="spellEnd"/>
      <w:r w:rsidRPr="00E63E54">
        <w:rPr>
          <w:rFonts w:ascii="Calibri" w:hAnsi="Calibri" w:cs="Calibri"/>
        </w:rPr>
        <w:t xml:space="preserve"> </w:t>
      </w:r>
      <w:proofErr w:type="spellStart"/>
      <w:r w:rsidRPr="00E63E54">
        <w:rPr>
          <w:rFonts w:ascii="Calibri" w:hAnsi="Calibri" w:cs="Calibri"/>
        </w:rPr>
        <w:t>Authority</w:t>
      </w:r>
      <w:proofErr w:type="spellEnd"/>
      <w:r w:rsidRPr="00E63E54" w:rsidDel="003B0A36">
        <w:rPr>
          <w:rFonts w:ascii="Calibri" w:hAnsi="Calibri" w:cs="Calibri"/>
        </w:rPr>
        <w:t xml:space="preserve"> </w:t>
      </w:r>
      <w:r w:rsidRPr="00E63E54">
        <w:rPr>
          <w:rFonts w:ascii="Calibri" w:hAnsi="Calibri" w:cs="Calibri"/>
        </w:rPr>
        <w:t xml:space="preserve">(AMLA). </w:t>
      </w:r>
    </w:p>
    <w:p w:rsidRPr="00E63E54" w:rsidR="008E585E" w:rsidP="00E63E54" w:rsidRDefault="008E585E" w14:paraId="567F4A9E" w14:textId="77777777">
      <w:pPr>
        <w:rPr>
          <w:rFonts w:ascii="Calibri" w:hAnsi="Calibri" w:cs="Calibri"/>
        </w:rPr>
      </w:pPr>
    </w:p>
    <w:p w:rsidRPr="00E63E54" w:rsidR="008E585E" w:rsidP="00E63E54" w:rsidRDefault="008E585E" w14:paraId="6C5E80EA" w14:textId="77777777">
      <w:pPr>
        <w:rPr>
          <w:rFonts w:ascii="Calibri" w:hAnsi="Calibri" w:cs="Calibri"/>
        </w:rPr>
      </w:pPr>
      <w:r w:rsidRPr="00E63E54">
        <w:rPr>
          <w:rFonts w:ascii="Calibri" w:hAnsi="Calibri" w:cs="Calibri"/>
        </w:rPr>
        <w:t xml:space="preserve">Kansspelen op afstand en Holland Casino komen zowel op basis van de huidige wet- en regelgeving als onder de nieuwe AMLR niet in aanmerking voor vrijstelling van de Europese anti-witwasmaatregelen. Onder de huidige wet- en regelgeving zijn </w:t>
      </w:r>
      <w:proofErr w:type="spellStart"/>
      <w:r w:rsidRPr="00E63E54">
        <w:rPr>
          <w:rFonts w:ascii="Calibri" w:hAnsi="Calibri" w:cs="Calibri"/>
        </w:rPr>
        <w:t>landgebonden</w:t>
      </w:r>
      <w:proofErr w:type="spellEnd"/>
      <w:r w:rsidRPr="00E63E54">
        <w:rPr>
          <w:rFonts w:ascii="Calibri" w:hAnsi="Calibri" w:cs="Calibri"/>
        </w:rPr>
        <w:t xml:space="preserve"> sportweddenschappen, harddraverijen en paardenrennen vrijgesteld (artikel 2 van de Uitvoeringsregeling Wet ter voorkoming van witwassen en </w:t>
      </w:r>
      <w:r w:rsidRPr="00E63E54">
        <w:rPr>
          <w:rFonts w:ascii="Calibri" w:hAnsi="Calibri" w:cs="Calibri"/>
        </w:rPr>
        <w:lastRenderedPageBreak/>
        <w:t xml:space="preserve">financieren van terrorisme). Dit is onder de AMLR niet meer mogelijk. </w:t>
      </w:r>
      <w:bookmarkStart w:name="_Hlk227153037" w:id="0"/>
      <w:r w:rsidRPr="00E63E54">
        <w:rPr>
          <w:rFonts w:ascii="Calibri" w:hAnsi="Calibri" w:cs="Calibri"/>
        </w:rPr>
        <w:t xml:space="preserve">Dit vraagt dus het nodige van de aanbieders van die kansspelen aangezien de genoemde Europese anti-witwasmaatregelen op 10 juli 2027 van kracht worden. Het kabinet werkt, onder meer met inbreng van de Kansspelautoriteit, aan een implementatiewetsvoorstel om voor te laten leggen aan de Afdeling advisering van de Raad van State en aan daaropvolgende algemene maatregelen van bestuur. </w:t>
      </w:r>
    </w:p>
    <w:p w:rsidRPr="00E63E54" w:rsidR="008E585E" w:rsidP="00E63E54" w:rsidRDefault="008E585E" w14:paraId="008471F8" w14:textId="77777777">
      <w:pPr>
        <w:rPr>
          <w:rFonts w:ascii="Calibri" w:hAnsi="Calibri" w:cs="Calibri"/>
        </w:rPr>
      </w:pPr>
    </w:p>
    <w:p w:rsidRPr="00E63E54" w:rsidR="008E585E" w:rsidP="00E63E54" w:rsidRDefault="008E585E" w14:paraId="7414EC5D" w14:textId="77777777">
      <w:pPr>
        <w:rPr>
          <w:rFonts w:ascii="Calibri" w:hAnsi="Calibri" w:cs="Calibri"/>
        </w:rPr>
      </w:pPr>
      <w:r w:rsidRPr="00E63E54">
        <w:rPr>
          <w:rFonts w:ascii="Calibri" w:hAnsi="Calibri" w:cs="Calibri"/>
        </w:rPr>
        <w:t xml:space="preserve">Voor </w:t>
      </w:r>
      <w:proofErr w:type="spellStart"/>
      <w:r w:rsidRPr="00E63E54">
        <w:rPr>
          <w:rFonts w:ascii="Calibri" w:hAnsi="Calibri" w:cs="Calibri"/>
        </w:rPr>
        <w:t>goededoelenloterijen</w:t>
      </w:r>
      <w:proofErr w:type="spellEnd"/>
      <w:r w:rsidRPr="00E63E54">
        <w:rPr>
          <w:rFonts w:ascii="Calibri" w:hAnsi="Calibri" w:cs="Calibri"/>
        </w:rPr>
        <w:t xml:space="preserve">, de Staatsloterij, krasloten, de lotto, speelautomaten, winkelweekacties en kleine kansspelen wil ik de vrijstelling voortzetten die nu ook geldt. Daartoe zal ik op basis van de uitkomsten van bijgevoegde onderzoeken de Europese Commissie in kennis stellen van het Nederlandse voornemen deze deelsectoren vrij te stellen van de AMLR-verplichtingen. Dit vanwege het lage risico op witwassen en terrorismefinanciering in deze sectoren. </w:t>
      </w:r>
      <w:bookmarkEnd w:id="0"/>
      <w:r w:rsidRPr="00E63E54">
        <w:rPr>
          <w:rFonts w:ascii="Calibri" w:hAnsi="Calibri" w:cs="Calibri"/>
        </w:rPr>
        <w:t xml:space="preserve">Het vrijstellen van de genoemde </w:t>
      </w:r>
      <w:proofErr w:type="spellStart"/>
      <w:r w:rsidRPr="00E63E54">
        <w:rPr>
          <w:rFonts w:ascii="Calibri" w:hAnsi="Calibri" w:cs="Calibri"/>
        </w:rPr>
        <w:t>laagrisicosectoren</w:t>
      </w:r>
      <w:proofErr w:type="spellEnd"/>
      <w:r w:rsidRPr="00E63E54">
        <w:rPr>
          <w:rFonts w:ascii="Calibri" w:hAnsi="Calibri" w:cs="Calibri"/>
        </w:rPr>
        <w:t xml:space="preserve"> zorgt voor een proportionele toepassing van de AMLR, waarbij </w:t>
      </w:r>
      <w:proofErr w:type="spellStart"/>
      <w:r w:rsidRPr="00E63E54">
        <w:rPr>
          <w:rFonts w:ascii="Calibri" w:hAnsi="Calibri" w:cs="Calibri"/>
        </w:rPr>
        <w:t>laagrisicosectoren</w:t>
      </w:r>
      <w:proofErr w:type="spellEnd"/>
      <w:r w:rsidRPr="00E63E54">
        <w:rPr>
          <w:rFonts w:ascii="Calibri" w:hAnsi="Calibri" w:cs="Calibri"/>
        </w:rPr>
        <w:t xml:space="preserve"> niet onnodig worden belast en continuïteit wordt gewaarborgd. </w:t>
      </w:r>
    </w:p>
    <w:p w:rsidRPr="00E63E54" w:rsidR="008E585E" w:rsidP="00E63E54" w:rsidRDefault="008E585E" w14:paraId="61BCB19B" w14:textId="77777777">
      <w:pPr>
        <w:rPr>
          <w:rFonts w:ascii="Calibri" w:hAnsi="Calibri" w:cs="Calibri"/>
        </w:rPr>
      </w:pPr>
    </w:p>
    <w:p w:rsidRPr="00E63E54" w:rsidR="008E585E" w:rsidP="00E63E54" w:rsidRDefault="008E585E" w14:paraId="1EF67C6D" w14:textId="77777777">
      <w:pPr>
        <w:rPr>
          <w:rFonts w:ascii="Calibri" w:hAnsi="Calibri" w:cs="Calibri"/>
        </w:rPr>
      </w:pPr>
    </w:p>
    <w:p w:rsidRPr="00E63E54" w:rsidR="008E585E" w:rsidP="00E63E54" w:rsidRDefault="008E585E" w14:paraId="71101166" w14:textId="64F2EEBA">
      <w:pPr>
        <w:pStyle w:val="Geenafstand"/>
      </w:pPr>
      <w:r w:rsidRPr="00E63E54">
        <w:t xml:space="preserve">De </w:t>
      </w:r>
      <w:r w:rsidR="00E63E54">
        <w:t>s</w:t>
      </w:r>
      <w:r w:rsidRPr="00E63E54">
        <w:t xml:space="preserve">taatssecretaris van Justitie en Veiligheid, </w:t>
      </w:r>
    </w:p>
    <w:p w:rsidRPr="00E63E54" w:rsidR="008E585E" w:rsidP="00E63E54" w:rsidRDefault="00E63E54" w14:paraId="265CED62" w14:textId="6A56AB41">
      <w:pPr>
        <w:pStyle w:val="Geenafstand"/>
      </w:pPr>
      <w:r>
        <w:t xml:space="preserve">K.T. </w:t>
      </w:r>
      <w:r w:rsidRPr="00E63E54" w:rsidR="008E585E">
        <w:t>van Bruggen</w:t>
      </w:r>
    </w:p>
    <w:p w:rsidRPr="00E63E54" w:rsidR="00FE0FA3" w:rsidP="00E63E54" w:rsidRDefault="00FE0FA3" w14:paraId="560B96E7" w14:textId="77777777">
      <w:pPr>
        <w:rPr>
          <w:rFonts w:ascii="Calibri" w:hAnsi="Calibri" w:cs="Calibri"/>
        </w:rPr>
      </w:pPr>
    </w:p>
    <w:sectPr w:rsidRPr="00E63E54" w:rsidR="00FE0FA3" w:rsidSect="008E585E">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FA40A" w14:textId="77777777" w:rsidR="008E585E" w:rsidRDefault="008E585E" w:rsidP="008E585E">
      <w:pPr>
        <w:spacing w:after="0" w:line="240" w:lineRule="auto"/>
      </w:pPr>
      <w:r>
        <w:separator/>
      </w:r>
    </w:p>
  </w:endnote>
  <w:endnote w:type="continuationSeparator" w:id="0">
    <w:p w14:paraId="210D33F2" w14:textId="77777777" w:rsidR="008E585E" w:rsidRDefault="008E585E" w:rsidP="008E5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A4D1" w14:textId="77777777" w:rsidR="008E585E" w:rsidRPr="008E585E" w:rsidRDefault="008E585E" w:rsidP="008E58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D854" w14:textId="77777777" w:rsidR="008E585E" w:rsidRPr="008E585E" w:rsidRDefault="008E585E" w:rsidP="008E58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287A" w14:textId="77777777" w:rsidR="008E585E" w:rsidRPr="008E585E" w:rsidRDefault="008E585E" w:rsidP="008E58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159F" w14:textId="77777777" w:rsidR="008E585E" w:rsidRDefault="008E585E" w:rsidP="008E585E">
      <w:pPr>
        <w:spacing w:after="0" w:line="240" w:lineRule="auto"/>
      </w:pPr>
      <w:r>
        <w:separator/>
      </w:r>
    </w:p>
  </w:footnote>
  <w:footnote w:type="continuationSeparator" w:id="0">
    <w:p w14:paraId="3FC7C792" w14:textId="77777777" w:rsidR="008E585E" w:rsidRDefault="008E585E" w:rsidP="008E5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E911" w14:textId="77777777" w:rsidR="008E585E" w:rsidRPr="008E585E" w:rsidRDefault="008E585E" w:rsidP="008E58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D6E0" w14:textId="77777777" w:rsidR="008E585E" w:rsidRPr="008E585E" w:rsidRDefault="008E585E" w:rsidP="008E58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B57D" w14:textId="77777777" w:rsidR="008E585E" w:rsidRPr="008E585E" w:rsidRDefault="008E585E" w:rsidP="008E58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24E2C"/>
    <w:multiLevelType w:val="multilevel"/>
    <w:tmpl w:val="5D82D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8266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5E"/>
    <w:rsid w:val="00142749"/>
    <w:rsid w:val="002E3E61"/>
    <w:rsid w:val="005A3AA6"/>
    <w:rsid w:val="007735C5"/>
    <w:rsid w:val="007A5570"/>
    <w:rsid w:val="008821EE"/>
    <w:rsid w:val="008E585E"/>
    <w:rsid w:val="009722E4"/>
    <w:rsid w:val="00DE2A3D"/>
    <w:rsid w:val="00E63E5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DC8E"/>
  <w15:chartTrackingRefBased/>
  <w15:docId w15:val="{80E6AD80-29DD-4E8A-9ACA-F0DEAADA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5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5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58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58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58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58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58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58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58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58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58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58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58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58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58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58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58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585E"/>
    <w:rPr>
      <w:rFonts w:eastAsiaTheme="majorEastAsia" w:cstheme="majorBidi"/>
      <w:color w:val="272727" w:themeColor="text1" w:themeTint="D8"/>
    </w:rPr>
  </w:style>
  <w:style w:type="paragraph" w:styleId="Titel">
    <w:name w:val="Title"/>
    <w:basedOn w:val="Standaard"/>
    <w:next w:val="Standaard"/>
    <w:link w:val="TitelChar"/>
    <w:uiPriority w:val="10"/>
    <w:qFormat/>
    <w:rsid w:val="008E5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58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58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58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58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585E"/>
    <w:rPr>
      <w:i/>
      <w:iCs/>
      <w:color w:val="404040" w:themeColor="text1" w:themeTint="BF"/>
    </w:rPr>
  </w:style>
  <w:style w:type="paragraph" w:styleId="Lijstalinea">
    <w:name w:val="List Paragraph"/>
    <w:basedOn w:val="Standaard"/>
    <w:uiPriority w:val="34"/>
    <w:qFormat/>
    <w:rsid w:val="008E585E"/>
    <w:pPr>
      <w:ind w:left="720"/>
      <w:contextualSpacing/>
    </w:pPr>
  </w:style>
  <w:style w:type="character" w:styleId="Intensievebenadrukking">
    <w:name w:val="Intense Emphasis"/>
    <w:basedOn w:val="Standaardalinea-lettertype"/>
    <w:uiPriority w:val="21"/>
    <w:qFormat/>
    <w:rsid w:val="008E585E"/>
    <w:rPr>
      <w:i/>
      <w:iCs/>
      <w:color w:val="0F4761" w:themeColor="accent1" w:themeShade="BF"/>
    </w:rPr>
  </w:style>
  <w:style w:type="paragraph" w:styleId="Duidelijkcitaat">
    <w:name w:val="Intense Quote"/>
    <w:basedOn w:val="Standaard"/>
    <w:next w:val="Standaard"/>
    <w:link w:val="DuidelijkcitaatChar"/>
    <w:uiPriority w:val="30"/>
    <w:qFormat/>
    <w:rsid w:val="008E5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585E"/>
    <w:rPr>
      <w:i/>
      <w:iCs/>
      <w:color w:val="0F4761" w:themeColor="accent1" w:themeShade="BF"/>
    </w:rPr>
  </w:style>
  <w:style w:type="character" w:styleId="Intensieveverwijzing">
    <w:name w:val="Intense Reference"/>
    <w:basedOn w:val="Standaardalinea-lettertype"/>
    <w:uiPriority w:val="32"/>
    <w:qFormat/>
    <w:rsid w:val="008E585E"/>
    <w:rPr>
      <w:b/>
      <w:bCs/>
      <w:smallCaps/>
      <w:color w:val="0F4761" w:themeColor="accent1" w:themeShade="BF"/>
      <w:spacing w:val="5"/>
    </w:rPr>
  </w:style>
  <w:style w:type="paragraph" w:customStyle="1" w:styleId="Referentiegegevens">
    <w:name w:val="Referentiegegevens"/>
    <w:basedOn w:val="Standaard"/>
    <w:next w:val="Standaard"/>
    <w:rsid w:val="008E585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E585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E585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E585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E58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585E"/>
  </w:style>
  <w:style w:type="paragraph" w:styleId="Voettekst">
    <w:name w:val="footer"/>
    <w:basedOn w:val="Standaard"/>
    <w:link w:val="VoettekstChar"/>
    <w:uiPriority w:val="99"/>
    <w:unhideWhenUsed/>
    <w:rsid w:val="008E58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585E"/>
  </w:style>
  <w:style w:type="paragraph" w:styleId="Geenafstand">
    <w:name w:val="No Spacing"/>
    <w:uiPriority w:val="1"/>
    <w:qFormat/>
    <w:rsid w:val="00E63E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496</ap:Words>
  <ap:Characters>2734</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2026-04-29T08:17:00.0000000Z</dcterms:created>
  <dcterms:modified xsi:type="dcterms:W3CDTF">2026-04-29T08:17:00.0000000Z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