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8330C" w:rsidR="001A3102" w:rsidP="009D2237" w:rsidRDefault="001A3102" w14:paraId="6F45300A" w14:textId="04E53F16">
      <w:pPr>
        <w:pStyle w:val="LO-normal"/>
        <w:spacing w:line="240" w:lineRule="atLeast"/>
        <w:rPr>
          <w:b/>
        </w:rPr>
      </w:pPr>
      <w:r w:rsidRPr="00C8330C">
        <w:rPr>
          <w:b/>
          <w:bCs/>
        </w:rPr>
        <w:t>Regeling van de Minister van Economische Zaken en Klimaat van                       ,</w:t>
      </w:r>
      <w:r w:rsidR="009D2237">
        <w:rPr>
          <w:b/>
          <w:bCs/>
        </w:rPr>
        <w:t xml:space="preserve"> </w:t>
      </w:r>
      <w:r w:rsidR="00F41519">
        <w:rPr>
          <w:b/>
          <w:bCs/>
        </w:rPr>
        <w:br/>
      </w:r>
      <w:r w:rsidRPr="00C8330C">
        <w:rPr>
          <w:b/>
          <w:bCs/>
        </w:rPr>
        <w:t>nr. WJZ/</w:t>
      </w:r>
      <w:r w:rsidRPr="00810743" w:rsidR="00810743">
        <w:rPr>
          <w:b/>
          <w:bCs/>
        </w:rPr>
        <w:t>105684950</w:t>
      </w:r>
      <w:r w:rsidRPr="00C8330C">
        <w:rPr>
          <w:b/>
          <w:bCs/>
        </w:rPr>
        <w:t xml:space="preserve">, tot wijziging van de Regeling Nationale EZ,-, </w:t>
      </w:r>
      <w:r w:rsidRPr="00C8330C" w:rsidR="00143510">
        <w:rPr>
          <w:b/>
          <w:bCs/>
        </w:rPr>
        <w:t>L</w:t>
      </w:r>
      <w:r w:rsidRPr="00C8330C">
        <w:rPr>
          <w:b/>
          <w:bCs/>
        </w:rPr>
        <w:t xml:space="preserve">VVN- en KGG-subsidies </w:t>
      </w:r>
      <w:r w:rsidRPr="00810743">
        <w:rPr>
          <w:b/>
          <w:bCs/>
        </w:rPr>
        <w:t xml:space="preserve">in verband met </w:t>
      </w:r>
      <w:r w:rsidRPr="00C8330C">
        <w:rPr>
          <w:b/>
          <w:bCs/>
        </w:rPr>
        <w:t xml:space="preserve">de verlenging van de subsidiemodule </w:t>
      </w:r>
      <w:r w:rsidRPr="00810743">
        <w:rPr>
          <w:b/>
          <w:bCs/>
        </w:rPr>
        <w:t xml:space="preserve">Important </w:t>
      </w:r>
      <w:proofErr w:type="spellStart"/>
      <w:r w:rsidRPr="00810743">
        <w:rPr>
          <w:b/>
          <w:bCs/>
        </w:rPr>
        <w:t>Projects</w:t>
      </w:r>
      <w:proofErr w:type="spellEnd"/>
      <w:r w:rsidRPr="00810743">
        <w:rPr>
          <w:b/>
          <w:bCs/>
        </w:rPr>
        <w:t xml:space="preserve"> of Co</w:t>
      </w:r>
      <w:r w:rsidRPr="00C8330C">
        <w:rPr>
          <w:b/>
        </w:rPr>
        <w:t>mmon European Interest</w:t>
      </w:r>
    </w:p>
    <w:p w:rsidRPr="006D621A" w:rsidR="001A3102" w:rsidP="009D2237" w:rsidRDefault="001A3102" w14:paraId="4C50E86B" w14:textId="77777777">
      <w:pPr>
        <w:spacing w:after="0" w:line="240" w:lineRule="atLeast"/>
        <w:rPr>
          <w:rFonts w:ascii="Verdana" w:hAnsi="Verdana" w:cstheme="minorHAnsi"/>
          <w:sz w:val="18"/>
          <w:szCs w:val="18"/>
        </w:rPr>
      </w:pPr>
    </w:p>
    <w:p w:rsidRPr="006D621A" w:rsidR="001A3102" w:rsidP="009D2237" w:rsidRDefault="001A3102" w14:paraId="56F12337" w14:textId="77777777">
      <w:pPr>
        <w:pStyle w:val="LO-normal"/>
        <w:spacing w:line="240" w:lineRule="atLeast"/>
      </w:pPr>
      <w:r w:rsidRPr="006D621A">
        <w:t>De Minister van Economische Zaken en Klimaat,</w:t>
      </w:r>
    </w:p>
    <w:p w:rsidRPr="006D621A" w:rsidR="001A3102" w:rsidP="009D2237" w:rsidRDefault="001A3102" w14:paraId="7BE0E6B8" w14:textId="77777777">
      <w:pPr>
        <w:pStyle w:val="LO-normal"/>
        <w:spacing w:line="240" w:lineRule="atLeast"/>
      </w:pPr>
    </w:p>
    <w:p w:rsidRPr="006D621A" w:rsidR="001A3102" w:rsidP="009D2237" w:rsidRDefault="001A3102" w14:paraId="7E0016B4" w14:textId="77777777">
      <w:pPr>
        <w:pStyle w:val="LO-normal"/>
        <w:spacing w:line="240" w:lineRule="atLeast"/>
      </w:pPr>
      <w:r w:rsidRPr="006D621A">
        <w:t>Gelet op artikel 2, eerste lid, van het Kaderbesluit Nationale EZK- en LNV-subsidies;</w:t>
      </w:r>
      <w:r w:rsidRPr="006D621A">
        <w:br/>
      </w:r>
    </w:p>
    <w:p w:rsidRPr="006D621A" w:rsidR="001A3102" w:rsidP="009D2237" w:rsidRDefault="001A3102" w14:paraId="6473ECF4" w14:textId="77777777">
      <w:pPr>
        <w:spacing w:after="0" w:line="240" w:lineRule="atLeast"/>
        <w:rPr>
          <w:rFonts w:ascii="Verdana" w:hAnsi="Verdana"/>
          <w:bCs/>
          <w:sz w:val="18"/>
          <w:szCs w:val="18"/>
        </w:rPr>
      </w:pPr>
      <w:r w:rsidRPr="006D621A">
        <w:rPr>
          <w:rFonts w:ascii="Verdana" w:hAnsi="Verdana"/>
          <w:bCs/>
          <w:sz w:val="18"/>
          <w:szCs w:val="18"/>
        </w:rPr>
        <w:t>Besluit:</w:t>
      </w:r>
    </w:p>
    <w:p w:rsidRPr="006D621A" w:rsidR="001A3102" w:rsidP="009D2237" w:rsidRDefault="001A3102" w14:paraId="4E562654" w14:textId="77777777">
      <w:pPr>
        <w:spacing w:after="0" w:line="240" w:lineRule="atLeast"/>
        <w:rPr>
          <w:rFonts w:ascii="Verdana" w:hAnsi="Verdana"/>
          <w:bCs/>
          <w:sz w:val="18"/>
          <w:szCs w:val="18"/>
        </w:rPr>
      </w:pPr>
    </w:p>
    <w:p w:rsidRPr="00130E1C" w:rsidR="001A3102" w:rsidP="009D2237" w:rsidRDefault="001A3102" w14:paraId="5A094E9D" w14:textId="77777777">
      <w:pPr>
        <w:spacing w:after="0" w:line="240" w:lineRule="atLeast"/>
        <w:rPr>
          <w:rFonts w:ascii="Verdana" w:hAnsi="Verdana"/>
          <w:b/>
          <w:bCs/>
          <w:sz w:val="18"/>
          <w:szCs w:val="18"/>
        </w:rPr>
      </w:pPr>
      <w:r w:rsidRPr="00130E1C">
        <w:rPr>
          <w:rFonts w:ascii="Verdana" w:hAnsi="Verdana"/>
          <w:b/>
          <w:bCs/>
          <w:sz w:val="18"/>
          <w:szCs w:val="18"/>
        </w:rPr>
        <w:t>Artikel I</w:t>
      </w:r>
    </w:p>
    <w:p w:rsidRPr="006D621A" w:rsidR="001A3102" w:rsidP="009D2237" w:rsidRDefault="001A3102" w14:paraId="3219BEAB" w14:textId="77777777">
      <w:pPr>
        <w:spacing w:after="0" w:line="240" w:lineRule="atLeast"/>
        <w:rPr>
          <w:rFonts w:ascii="Verdana" w:hAnsi="Verdana"/>
          <w:bCs/>
          <w:sz w:val="18"/>
          <w:szCs w:val="18"/>
        </w:rPr>
      </w:pPr>
    </w:p>
    <w:p w:rsidRPr="006D621A" w:rsidR="001A3102" w:rsidP="00C8330C" w:rsidRDefault="001A3102" w14:paraId="20B47399" w14:textId="35EBC7A2">
      <w:pPr>
        <w:spacing w:after="0" w:line="240" w:lineRule="atLeast"/>
        <w:rPr>
          <w:rFonts w:ascii="Verdana" w:hAnsi="Verdana"/>
          <w:bCs/>
          <w:sz w:val="18"/>
          <w:szCs w:val="18"/>
        </w:rPr>
      </w:pPr>
      <w:r w:rsidRPr="006D621A">
        <w:rPr>
          <w:rFonts w:ascii="Verdana" w:hAnsi="Verdana"/>
          <w:bCs/>
          <w:sz w:val="18"/>
          <w:szCs w:val="18"/>
        </w:rPr>
        <w:t xml:space="preserve">In artikel </w:t>
      </w:r>
      <w:r w:rsidRPr="006D621A" w:rsidR="006C249C">
        <w:rPr>
          <w:rFonts w:ascii="Verdana" w:hAnsi="Verdana"/>
          <w:sz w:val="18"/>
        </w:rPr>
        <w:t>3.27.15</w:t>
      </w:r>
      <w:r w:rsidRPr="006D621A">
        <w:rPr>
          <w:rFonts w:ascii="Verdana" w:hAnsi="Verdana"/>
          <w:bCs/>
          <w:sz w:val="18"/>
          <w:szCs w:val="18"/>
        </w:rPr>
        <w:t xml:space="preserve"> van de Regeling Nationale EZ-, LVVN- en KGG-subsidies wordt </w:t>
      </w:r>
      <w:r w:rsidR="009D2237">
        <w:rPr>
          <w:rFonts w:ascii="Verdana" w:hAnsi="Verdana"/>
          <w:bCs/>
          <w:sz w:val="18"/>
          <w:szCs w:val="18"/>
        </w:rPr>
        <w:t>“</w:t>
      </w:r>
      <w:r w:rsidRPr="006D621A">
        <w:rPr>
          <w:rFonts w:ascii="Verdana" w:hAnsi="Verdana"/>
          <w:bCs/>
          <w:sz w:val="18"/>
          <w:szCs w:val="18"/>
        </w:rPr>
        <w:t>23 december 2026</w:t>
      </w:r>
      <w:r w:rsidR="009D2237">
        <w:rPr>
          <w:rFonts w:ascii="Verdana" w:hAnsi="Verdana"/>
          <w:bCs/>
          <w:sz w:val="18"/>
          <w:szCs w:val="18"/>
        </w:rPr>
        <w:t>”</w:t>
      </w:r>
      <w:r w:rsidRPr="006D621A">
        <w:rPr>
          <w:rFonts w:ascii="Verdana" w:hAnsi="Verdana"/>
          <w:bCs/>
          <w:sz w:val="18"/>
          <w:szCs w:val="18"/>
        </w:rPr>
        <w:t xml:space="preserve"> vervangen door </w:t>
      </w:r>
      <w:r w:rsidR="009D2237">
        <w:rPr>
          <w:rFonts w:ascii="Verdana" w:hAnsi="Verdana"/>
          <w:bCs/>
          <w:sz w:val="18"/>
          <w:szCs w:val="18"/>
        </w:rPr>
        <w:t>“</w:t>
      </w:r>
      <w:r w:rsidR="005B6753">
        <w:rPr>
          <w:rFonts w:ascii="Verdana" w:hAnsi="Verdana"/>
          <w:bCs/>
          <w:sz w:val="18"/>
          <w:szCs w:val="18"/>
        </w:rPr>
        <w:t>23</w:t>
      </w:r>
      <w:r w:rsidRPr="006D621A">
        <w:rPr>
          <w:rFonts w:ascii="Verdana" w:hAnsi="Verdana"/>
          <w:bCs/>
          <w:sz w:val="18"/>
          <w:szCs w:val="18"/>
        </w:rPr>
        <w:t xml:space="preserve"> december 20</w:t>
      </w:r>
      <w:r w:rsidR="005B6753">
        <w:rPr>
          <w:rFonts w:ascii="Verdana" w:hAnsi="Verdana"/>
          <w:bCs/>
          <w:sz w:val="18"/>
          <w:szCs w:val="18"/>
        </w:rPr>
        <w:t>31</w:t>
      </w:r>
      <w:r w:rsidR="009D2237">
        <w:rPr>
          <w:rFonts w:ascii="Verdana" w:hAnsi="Verdana"/>
          <w:bCs/>
          <w:sz w:val="18"/>
          <w:szCs w:val="18"/>
        </w:rPr>
        <w:t>”</w:t>
      </w:r>
      <w:r w:rsidRPr="006D621A">
        <w:rPr>
          <w:rFonts w:ascii="Verdana" w:hAnsi="Verdana"/>
          <w:bCs/>
          <w:sz w:val="18"/>
          <w:szCs w:val="18"/>
        </w:rPr>
        <w:t>.</w:t>
      </w:r>
    </w:p>
    <w:p w:rsidRPr="006D621A" w:rsidR="001A3102" w:rsidP="009D2237" w:rsidRDefault="001A3102" w14:paraId="45C38761" w14:textId="77777777">
      <w:pPr>
        <w:spacing w:after="0" w:line="240" w:lineRule="atLeast"/>
        <w:rPr>
          <w:rFonts w:ascii="Verdana" w:hAnsi="Verdana"/>
          <w:bCs/>
          <w:sz w:val="18"/>
          <w:szCs w:val="18"/>
        </w:rPr>
      </w:pPr>
    </w:p>
    <w:p w:rsidRPr="00130E1C" w:rsidR="001A3102" w:rsidP="009D2237" w:rsidRDefault="001A3102" w14:paraId="792D630F" w14:textId="77777777">
      <w:pPr>
        <w:spacing w:after="0" w:line="240" w:lineRule="atLeast"/>
        <w:rPr>
          <w:rFonts w:ascii="Verdana" w:hAnsi="Verdana"/>
          <w:b/>
          <w:sz w:val="18"/>
          <w:szCs w:val="18"/>
        </w:rPr>
      </w:pPr>
      <w:r w:rsidRPr="00130E1C">
        <w:rPr>
          <w:rFonts w:ascii="Verdana" w:hAnsi="Verdana"/>
          <w:b/>
          <w:sz w:val="18"/>
          <w:szCs w:val="18"/>
        </w:rPr>
        <w:t>Artikel II</w:t>
      </w:r>
    </w:p>
    <w:p w:rsidRPr="006D621A" w:rsidR="001A3102" w:rsidP="009D2237" w:rsidRDefault="001A3102" w14:paraId="5D3E39F2" w14:textId="77777777">
      <w:pPr>
        <w:spacing w:after="0" w:line="240" w:lineRule="atLeast"/>
        <w:rPr>
          <w:rFonts w:ascii="Verdana" w:hAnsi="Verdana"/>
          <w:sz w:val="18"/>
          <w:szCs w:val="18"/>
        </w:rPr>
      </w:pPr>
    </w:p>
    <w:p w:rsidR="00CA174E" w:rsidP="00CA174E" w:rsidRDefault="00E8788E" w14:paraId="6D486476" w14:textId="0693702E">
      <w:pPr>
        <w:pStyle w:val="labeled"/>
        <w:shd w:val="clear" w:color="auto" w:fill="FFFFFF"/>
        <w:spacing w:before="0" w:beforeAutospacing="0" w:after="0" w:afterAutospacing="0" w:line="240" w:lineRule="atLeast"/>
        <w:rPr>
          <w:rFonts w:ascii="Verdana" w:hAnsi="Verdana"/>
          <w:sz w:val="18"/>
          <w:szCs w:val="18"/>
        </w:rPr>
      </w:pPr>
      <w:r w:rsidRPr="00803941">
        <w:rPr>
          <w:rFonts w:ascii="Verdana" w:hAnsi="Verdana"/>
          <w:noProof/>
          <w:sz w:val="18"/>
          <w:szCs w:val="18"/>
        </w:rPr>
        <w:t xml:space="preserve">Deze regeling treedt in werking met ingang </w:t>
      </w:r>
      <w:r w:rsidRPr="00803941">
        <w:rPr>
          <w:rFonts w:ascii="Verdana" w:hAnsi="Verdana" w:eastAsia="Calibri"/>
          <w:noProof/>
          <w:sz w:val="18"/>
          <w:szCs w:val="18"/>
        </w:rPr>
        <w:t xml:space="preserve">van </w:t>
      </w:r>
      <w:r w:rsidRPr="006D621A" w:rsidR="00CA174E">
        <w:rPr>
          <w:rFonts w:ascii="Verdana" w:hAnsi="Verdana"/>
          <w:sz w:val="18"/>
          <w:szCs w:val="18"/>
        </w:rPr>
        <w:t xml:space="preserve">22 december 2026. </w:t>
      </w:r>
    </w:p>
    <w:p w:rsidRPr="006D621A" w:rsidR="001A3102" w:rsidP="009D2237" w:rsidRDefault="001A3102" w14:paraId="77BCD40D" w14:textId="77777777">
      <w:pPr>
        <w:spacing w:after="0" w:line="240" w:lineRule="atLeast"/>
        <w:rPr>
          <w:rFonts w:ascii="Verdana" w:hAnsi="Verdana"/>
          <w:sz w:val="18"/>
          <w:szCs w:val="18"/>
        </w:rPr>
      </w:pPr>
    </w:p>
    <w:p w:rsidRPr="006D621A" w:rsidR="001A3102" w:rsidP="009D2237" w:rsidRDefault="001A3102" w14:paraId="221FF7AD" w14:textId="77777777">
      <w:pPr>
        <w:spacing w:after="0" w:line="240" w:lineRule="atLeast"/>
        <w:rPr>
          <w:rFonts w:ascii="Verdana" w:hAnsi="Verdana"/>
          <w:sz w:val="18"/>
          <w:szCs w:val="18"/>
        </w:rPr>
      </w:pPr>
    </w:p>
    <w:p w:rsidRPr="006D621A" w:rsidR="001A3102" w:rsidP="009D2237" w:rsidRDefault="001A3102" w14:paraId="3F6D728D" w14:textId="77777777">
      <w:pPr>
        <w:spacing w:after="0" w:line="240" w:lineRule="atLeast"/>
        <w:rPr>
          <w:rFonts w:ascii="Verdana" w:hAnsi="Verdana"/>
          <w:sz w:val="18"/>
          <w:szCs w:val="18"/>
        </w:rPr>
      </w:pPr>
      <w:r w:rsidRPr="006D621A">
        <w:rPr>
          <w:rFonts w:ascii="Verdana" w:hAnsi="Verdana"/>
          <w:sz w:val="18"/>
          <w:szCs w:val="18"/>
        </w:rPr>
        <w:t>Deze regeling zal met de toelichting in de Staatscourant worden geplaatst.</w:t>
      </w:r>
    </w:p>
    <w:p w:rsidRPr="006D621A" w:rsidR="001A3102" w:rsidP="009D2237" w:rsidRDefault="001A3102" w14:paraId="64D068BB" w14:textId="77777777">
      <w:pPr>
        <w:spacing w:after="0" w:line="240" w:lineRule="atLeast"/>
        <w:rPr>
          <w:rFonts w:ascii="Verdana" w:hAnsi="Verdana"/>
          <w:sz w:val="18"/>
          <w:szCs w:val="18"/>
        </w:rPr>
      </w:pPr>
    </w:p>
    <w:p w:rsidRPr="006D621A" w:rsidR="001A3102" w:rsidP="009D2237" w:rsidRDefault="001A3102" w14:paraId="2A7AFB15" w14:textId="77777777">
      <w:pPr>
        <w:spacing w:after="0" w:line="240" w:lineRule="atLeast"/>
        <w:rPr>
          <w:rFonts w:ascii="Verdana" w:hAnsi="Verdana"/>
          <w:sz w:val="18"/>
          <w:szCs w:val="18"/>
        </w:rPr>
      </w:pPr>
      <w:r w:rsidRPr="006D621A">
        <w:rPr>
          <w:rFonts w:ascii="Verdana" w:hAnsi="Verdana"/>
          <w:sz w:val="18"/>
          <w:szCs w:val="18"/>
        </w:rPr>
        <w:t>'s-Gravenhage,</w:t>
      </w:r>
    </w:p>
    <w:p w:rsidRPr="006D621A" w:rsidR="001A3102" w:rsidP="009D2237" w:rsidRDefault="001A3102" w14:paraId="4AFF0ED9" w14:textId="77777777">
      <w:pPr>
        <w:spacing w:after="0" w:line="240" w:lineRule="atLeast"/>
        <w:rPr>
          <w:rFonts w:ascii="Verdana" w:hAnsi="Verdana"/>
          <w:sz w:val="18"/>
          <w:szCs w:val="18"/>
        </w:rPr>
      </w:pPr>
    </w:p>
    <w:p w:rsidRPr="006D621A" w:rsidR="001A3102" w:rsidP="009D2237" w:rsidRDefault="001A3102" w14:paraId="35E979D8" w14:textId="0C48B399">
      <w:pPr>
        <w:spacing w:after="0" w:line="240" w:lineRule="atLeast"/>
        <w:rPr>
          <w:rFonts w:ascii="Verdana" w:hAnsi="Verdana"/>
          <w:sz w:val="18"/>
          <w:szCs w:val="18"/>
        </w:rPr>
      </w:pPr>
      <w:r w:rsidRPr="006D621A">
        <w:rPr>
          <w:rFonts w:ascii="Verdana" w:hAnsi="Verdana"/>
          <w:sz w:val="18"/>
          <w:szCs w:val="18"/>
        </w:rPr>
        <w:t>De Minister van Economische Zaken en Klimaat,</w:t>
      </w:r>
    </w:p>
    <w:p w:rsidRPr="006D621A" w:rsidR="001A3102" w:rsidP="009D2237" w:rsidRDefault="001A3102" w14:paraId="58F4133B" w14:textId="77777777">
      <w:pPr>
        <w:spacing w:after="0" w:line="240" w:lineRule="atLeast"/>
        <w:rPr>
          <w:rFonts w:ascii="Verdana" w:hAnsi="Verdana"/>
          <w:bCs/>
          <w:sz w:val="18"/>
          <w:szCs w:val="18"/>
        </w:rPr>
      </w:pPr>
    </w:p>
    <w:p w:rsidRPr="006D621A" w:rsidR="001A3102" w:rsidP="009D2237" w:rsidRDefault="001A3102" w14:paraId="2692AE61" w14:textId="77777777">
      <w:pPr>
        <w:spacing w:after="0" w:line="240" w:lineRule="atLeast"/>
        <w:rPr>
          <w:rFonts w:ascii="Verdana" w:hAnsi="Verdana"/>
          <w:sz w:val="18"/>
          <w:szCs w:val="18"/>
        </w:rPr>
      </w:pPr>
      <w:r w:rsidRPr="006D621A">
        <w:rPr>
          <w:rFonts w:ascii="Verdana" w:hAnsi="Verdana"/>
          <w:sz w:val="18"/>
          <w:szCs w:val="18"/>
        </w:rPr>
        <w:br w:type="page"/>
      </w:r>
    </w:p>
    <w:p w:rsidRPr="00C8330C" w:rsidR="001A3102" w:rsidP="009D2237" w:rsidRDefault="001A3102" w14:paraId="643880F3" w14:textId="77777777">
      <w:pPr>
        <w:spacing w:after="0" w:line="240" w:lineRule="atLeast"/>
        <w:rPr>
          <w:rFonts w:ascii="Verdana" w:hAnsi="Verdana"/>
          <w:b/>
          <w:sz w:val="18"/>
          <w:szCs w:val="18"/>
        </w:rPr>
      </w:pPr>
      <w:r w:rsidRPr="00C8330C">
        <w:rPr>
          <w:rFonts w:ascii="Verdana" w:hAnsi="Verdana"/>
          <w:b/>
          <w:sz w:val="18"/>
          <w:szCs w:val="18"/>
        </w:rPr>
        <w:lastRenderedPageBreak/>
        <w:t>TOELICHTING</w:t>
      </w:r>
    </w:p>
    <w:p w:rsidRPr="006D621A" w:rsidR="001A3102" w:rsidP="009D2237" w:rsidRDefault="001A3102" w14:paraId="66B7CF94" w14:textId="77777777">
      <w:pPr>
        <w:spacing w:after="0" w:line="240" w:lineRule="atLeast"/>
        <w:rPr>
          <w:rFonts w:ascii="Verdana" w:hAnsi="Verdana"/>
          <w:bCs/>
          <w:sz w:val="18"/>
          <w:szCs w:val="18"/>
        </w:rPr>
      </w:pPr>
    </w:p>
    <w:p w:rsidRPr="00130E1C" w:rsidR="001A3102" w:rsidP="00C8330C" w:rsidRDefault="001A3102" w14:paraId="34A350C9" w14:textId="77777777">
      <w:pPr>
        <w:spacing w:after="0" w:line="240" w:lineRule="atLeast"/>
        <w:rPr>
          <w:rFonts w:ascii="Verdana" w:hAnsi="Verdana"/>
          <w:b/>
          <w:iCs/>
          <w:sz w:val="18"/>
          <w:szCs w:val="18"/>
        </w:rPr>
      </w:pPr>
      <w:r w:rsidRPr="00130E1C">
        <w:rPr>
          <w:rFonts w:ascii="Verdana" w:hAnsi="Verdana"/>
          <w:b/>
          <w:iCs/>
          <w:sz w:val="18"/>
          <w:szCs w:val="18"/>
        </w:rPr>
        <w:t>1. Aanleiding</w:t>
      </w:r>
    </w:p>
    <w:p w:rsidRPr="006D621A" w:rsidR="00713FD1" w:rsidP="00C8330C" w:rsidRDefault="00713FD1" w14:paraId="14165731" w14:textId="1AEE54BC">
      <w:pPr>
        <w:spacing w:after="0" w:line="240" w:lineRule="atLeast"/>
        <w:rPr>
          <w:rFonts w:ascii="Verdana" w:hAnsi="Verdana"/>
          <w:sz w:val="18"/>
          <w:szCs w:val="18"/>
        </w:rPr>
      </w:pPr>
      <w:r w:rsidRPr="006D621A">
        <w:rPr>
          <w:rFonts w:ascii="Verdana" w:hAnsi="Verdana"/>
          <w:sz w:val="18"/>
          <w:szCs w:val="18"/>
        </w:rPr>
        <w:t xml:space="preserve">De onderhavige wijzigingsregeling voorziet in de verlenging van de subsidiemodule Important </w:t>
      </w:r>
      <w:proofErr w:type="spellStart"/>
      <w:r w:rsidRPr="006D621A">
        <w:rPr>
          <w:rFonts w:ascii="Verdana" w:hAnsi="Verdana"/>
          <w:sz w:val="18"/>
          <w:szCs w:val="18"/>
        </w:rPr>
        <w:t>Projects</w:t>
      </w:r>
      <w:proofErr w:type="spellEnd"/>
      <w:r w:rsidRPr="006D621A">
        <w:rPr>
          <w:rFonts w:ascii="Verdana" w:hAnsi="Verdana"/>
          <w:sz w:val="18"/>
          <w:szCs w:val="18"/>
        </w:rPr>
        <w:t xml:space="preserve"> of Common European Interest (hierna: IPCEI)</w:t>
      </w:r>
      <w:r w:rsidRPr="006D621A">
        <w:rPr>
          <w:rFonts w:ascii="Verdana" w:hAnsi="Verdana" w:eastAsia="Verdana" w:cs="Verdana"/>
          <w:sz w:val="18"/>
          <w:szCs w:val="18"/>
        </w:rPr>
        <w:t>, opgenomen in titel 3.27 van de Regeling nationale EZ-, LVVN- en KGG-subsidies</w:t>
      </w:r>
      <w:r w:rsidRPr="006D621A">
        <w:rPr>
          <w:rFonts w:ascii="Verdana" w:hAnsi="Verdana"/>
          <w:sz w:val="18"/>
          <w:szCs w:val="18"/>
        </w:rPr>
        <w:t xml:space="preserve"> (hierna: RNES). </w:t>
      </w:r>
    </w:p>
    <w:p w:rsidRPr="006D621A" w:rsidR="001A3102" w:rsidP="009D2237" w:rsidRDefault="001A3102" w14:paraId="6E516F35" w14:textId="77777777">
      <w:pPr>
        <w:spacing w:after="0" w:line="240" w:lineRule="atLeast"/>
        <w:rPr>
          <w:rFonts w:ascii="Verdana" w:hAnsi="Verdana" w:eastAsia="Calibri"/>
          <w:sz w:val="18"/>
          <w:szCs w:val="18"/>
        </w:rPr>
      </w:pPr>
    </w:p>
    <w:p w:rsidRPr="00130E1C" w:rsidR="001A3102" w:rsidP="009D2237" w:rsidRDefault="001A3102" w14:paraId="452434B9" w14:textId="0ADF4F74">
      <w:pPr>
        <w:spacing w:after="0" w:line="240" w:lineRule="atLeast"/>
        <w:rPr>
          <w:rFonts w:ascii="Verdana" w:hAnsi="Verdana"/>
          <w:b/>
          <w:sz w:val="18"/>
          <w:szCs w:val="18"/>
        </w:rPr>
      </w:pPr>
      <w:r w:rsidRPr="00130E1C">
        <w:rPr>
          <w:rFonts w:ascii="Verdana" w:hAnsi="Verdana"/>
          <w:b/>
          <w:iCs/>
          <w:sz w:val="18"/>
          <w:szCs w:val="18"/>
        </w:rPr>
        <w:t>2. De subsidiemodule IPCEI</w:t>
      </w:r>
      <w:r w:rsidRPr="00130E1C">
        <w:rPr>
          <w:rFonts w:ascii="Verdana" w:hAnsi="Verdana"/>
          <w:b/>
          <w:iCs/>
          <w:sz w:val="18"/>
          <w:szCs w:val="18"/>
        </w:rPr>
        <w:br/>
      </w:r>
    </w:p>
    <w:p w:rsidRPr="00130E1C" w:rsidR="003B2F29" w:rsidP="009D2237" w:rsidRDefault="001A3102" w14:paraId="3EEE0CDB" w14:textId="0F127F5F">
      <w:pPr>
        <w:spacing w:after="0" w:line="240" w:lineRule="atLeast"/>
        <w:rPr>
          <w:rFonts w:ascii="Verdana" w:hAnsi="Verdana"/>
          <w:b/>
          <w:sz w:val="18"/>
          <w:szCs w:val="18"/>
        </w:rPr>
      </w:pPr>
      <w:r w:rsidRPr="00130E1C">
        <w:rPr>
          <w:rFonts w:ascii="Verdana" w:hAnsi="Verdana"/>
          <w:b/>
          <w:sz w:val="18"/>
          <w:szCs w:val="18"/>
        </w:rPr>
        <w:t xml:space="preserve">2.1 </w:t>
      </w:r>
      <w:r w:rsidRPr="00130E1C" w:rsidR="003B2F29">
        <w:rPr>
          <w:rFonts w:ascii="Verdana" w:hAnsi="Verdana"/>
          <w:b/>
          <w:sz w:val="18"/>
          <w:szCs w:val="18"/>
        </w:rPr>
        <w:t>Achtergrond</w:t>
      </w:r>
      <w:r w:rsidR="00143510">
        <w:rPr>
          <w:rFonts w:ascii="Verdana" w:hAnsi="Verdana"/>
          <w:b/>
          <w:sz w:val="18"/>
          <w:szCs w:val="18"/>
        </w:rPr>
        <w:t xml:space="preserve"> en</w:t>
      </w:r>
      <w:r w:rsidRPr="00130E1C" w:rsidR="003B2F29">
        <w:rPr>
          <w:rFonts w:ascii="Verdana" w:hAnsi="Verdana"/>
          <w:b/>
          <w:sz w:val="18"/>
          <w:szCs w:val="18"/>
        </w:rPr>
        <w:t xml:space="preserve"> doel van de subsidiemodule IPCEI </w:t>
      </w:r>
    </w:p>
    <w:p w:rsidR="009D2237" w:rsidP="009D2237" w:rsidRDefault="008C1DD5" w14:paraId="64F977D7" w14:textId="2F3FB2AC">
      <w:pPr>
        <w:spacing w:after="0" w:line="240" w:lineRule="atLeast"/>
        <w:rPr>
          <w:rFonts w:ascii="Verdana" w:hAnsi="Verdana"/>
          <w:sz w:val="18"/>
          <w:szCs w:val="18"/>
        </w:rPr>
      </w:pPr>
      <w:r w:rsidRPr="00411EB0">
        <w:rPr>
          <w:rFonts w:ascii="Verdana" w:hAnsi="Verdana"/>
          <w:sz w:val="18"/>
          <w:szCs w:val="18"/>
        </w:rPr>
        <w:t xml:space="preserve">De subsidiemodule IPCEI geeft invulling aan de ambitie van het kabinet om </w:t>
      </w:r>
      <w:r w:rsidRPr="00411EB0" w:rsidR="001A3102">
        <w:rPr>
          <w:rFonts w:ascii="Verdana" w:hAnsi="Verdana"/>
          <w:sz w:val="18"/>
          <w:szCs w:val="18"/>
        </w:rPr>
        <w:t>Nederlandse ondernemingen of onderzoeksorganisaties financieel te ondersteunen om deel te kunnen nemen aan verschillende IPCEI, in het Nederlands Belangrijke Projecten van Gemeenschappelijk Europees Belang genoemd</w:t>
      </w:r>
      <w:r w:rsidR="00C8330C">
        <w:rPr>
          <w:rFonts w:ascii="Verdana" w:hAnsi="Verdana"/>
          <w:sz w:val="18"/>
          <w:szCs w:val="18"/>
        </w:rPr>
        <w:t xml:space="preserve">. </w:t>
      </w:r>
      <w:r w:rsidRPr="00411EB0" w:rsidR="001A3102">
        <w:rPr>
          <w:rFonts w:ascii="Verdana" w:hAnsi="Verdana"/>
          <w:sz w:val="18"/>
          <w:szCs w:val="18"/>
          <w:shd w:val="clear" w:color="auto" w:fill="FFFFFF"/>
        </w:rPr>
        <w:t xml:space="preserve">Een </w:t>
      </w:r>
      <w:r w:rsidR="009D2237">
        <w:rPr>
          <w:rFonts w:ascii="Verdana" w:hAnsi="Verdana"/>
          <w:sz w:val="18"/>
          <w:szCs w:val="18"/>
          <w:shd w:val="clear" w:color="auto" w:fill="FFFFFF"/>
        </w:rPr>
        <w:t>IPCEI</w:t>
      </w:r>
      <w:r w:rsidRPr="00411EB0" w:rsidR="001A3102">
        <w:rPr>
          <w:rFonts w:ascii="Verdana" w:hAnsi="Verdana"/>
          <w:sz w:val="18"/>
          <w:szCs w:val="18"/>
        </w:rPr>
        <w:t xml:space="preserve"> bestaat uit meerdere nationale belangrijke projecten van ondernemingen of onderzoeksorganisaties uit diverse lidstaten van de Europese Unie of de Europese Economische ruimte die complementair zijn aan elkaar. Daarbij gaat het om een groep afzonderlijke nationale projecten die zijn opgenomen in een gemeenschappelijke structuur, routekaart of programma, welke op dezelfde doelstelling is gericht en op een coherente, systemische benadering is gebaseerd. Binnen een </w:t>
      </w:r>
      <w:r w:rsidR="009D2237">
        <w:rPr>
          <w:rFonts w:ascii="Verdana" w:hAnsi="Verdana"/>
          <w:sz w:val="18"/>
          <w:szCs w:val="18"/>
        </w:rPr>
        <w:t>IPCEI</w:t>
      </w:r>
      <w:r w:rsidRPr="00411EB0" w:rsidR="001A3102">
        <w:rPr>
          <w:rFonts w:ascii="Verdana" w:hAnsi="Verdana"/>
          <w:sz w:val="18"/>
          <w:szCs w:val="18"/>
        </w:rPr>
        <w:t xml:space="preserve"> worden dus zogenaamde nationale deelprojecten binnen de diverse lidstaten van de Europese Unie uitgevoerd. Hieronder </w:t>
      </w:r>
      <w:r w:rsidR="009D2237">
        <w:rPr>
          <w:rFonts w:ascii="Verdana" w:hAnsi="Verdana"/>
          <w:sz w:val="18"/>
          <w:szCs w:val="18"/>
        </w:rPr>
        <w:t>worden</w:t>
      </w:r>
      <w:r w:rsidRPr="00411EB0" w:rsidR="001A3102">
        <w:rPr>
          <w:rFonts w:ascii="Verdana" w:hAnsi="Verdana"/>
          <w:sz w:val="18"/>
          <w:szCs w:val="18"/>
        </w:rPr>
        <w:t xml:space="preserve"> ook </w:t>
      </w:r>
      <w:r w:rsidR="00C8330C">
        <w:rPr>
          <w:rFonts w:ascii="Verdana" w:hAnsi="Verdana"/>
          <w:sz w:val="18"/>
          <w:szCs w:val="18"/>
        </w:rPr>
        <w:t>deelprojecten</w:t>
      </w:r>
      <w:r w:rsidRPr="00411EB0" w:rsidR="001A3102">
        <w:rPr>
          <w:rFonts w:ascii="Verdana" w:hAnsi="Verdana"/>
          <w:sz w:val="18"/>
          <w:szCs w:val="18"/>
        </w:rPr>
        <w:t xml:space="preserve"> </w:t>
      </w:r>
      <w:r w:rsidR="009D2237">
        <w:rPr>
          <w:rFonts w:ascii="Verdana" w:hAnsi="Verdana"/>
          <w:sz w:val="18"/>
          <w:szCs w:val="18"/>
        </w:rPr>
        <w:t>inbegrepen</w:t>
      </w:r>
      <w:r w:rsidRPr="00411EB0" w:rsidR="009D2237">
        <w:rPr>
          <w:rFonts w:ascii="Verdana" w:hAnsi="Verdana"/>
          <w:sz w:val="18"/>
          <w:szCs w:val="18"/>
        </w:rPr>
        <w:t xml:space="preserve"> </w:t>
      </w:r>
      <w:r w:rsidRPr="00411EB0" w:rsidR="001A3102">
        <w:rPr>
          <w:rFonts w:ascii="Verdana" w:hAnsi="Verdana"/>
          <w:sz w:val="18"/>
          <w:szCs w:val="18"/>
        </w:rPr>
        <w:t>die uitgevoerd worden door Nederlandse ondernemingen of onderzoeksorganisaties</w:t>
      </w:r>
      <w:r w:rsidR="00C8330C">
        <w:rPr>
          <w:rFonts w:ascii="Verdana" w:hAnsi="Verdana"/>
          <w:sz w:val="18"/>
          <w:szCs w:val="18"/>
        </w:rPr>
        <w:t xml:space="preserve"> binnen een IPCEI</w:t>
      </w:r>
      <w:r w:rsidRPr="00411EB0" w:rsidR="001A3102">
        <w:rPr>
          <w:rFonts w:ascii="Verdana" w:hAnsi="Verdana"/>
          <w:sz w:val="18"/>
          <w:szCs w:val="18"/>
        </w:rPr>
        <w:t xml:space="preserve">. De onderdelen van een </w:t>
      </w:r>
      <w:r w:rsidR="009D2237">
        <w:rPr>
          <w:rFonts w:ascii="Verdana" w:hAnsi="Verdana"/>
          <w:sz w:val="18"/>
          <w:szCs w:val="18"/>
        </w:rPr>
        <w:t>IPCEI</w:t>
      </w:r>
      <w:r w:rsidRPr="00411EB0" w:rsidR="001A3102">
        <w:rPr>
          <w:rFonts w:ascii="Verdana" w:hAnsi="Verdana"/>
          <w:sz w:val="18"/>
          <w:szCs w:val="18"/>
        </w:rPr>
        <w:t xml:space="preserve"> mogen betrekking hebben op verschillende niveaus van de leveringsketen, maar moeten complementair zijn en een aanzienlijke toegevoegde waarde hebben in hun bijdrage aan de verwezenlijking van belangrijke Europese doelstellingen. </w:t>
      </w:r>
    </w:p>
    <w:p w:rsidR="009D2237" w:rsidP="009D2237" w:rsidRDefault="009D2237" w14:paraId="59CBCBF5" w14:textId="77777777">
      <w:pPr>
        <w:spacing w:after="0" w:line="240" w:lineRule="atLeast"/>
        <w:rPr>
          <w:rFonts w:ascii="Verdana" w:hAnsi="Verdana"/>
          <w:sz w:val="18"/>
          <w:szCs w:val="18"/>
        </w:rPr>
      </w:pPr>
    </w:p>
    <w:p w:rsidRPr="00411EB0" w:rsidR="00D91FEE" w:rsidP="009D2237" w:rsidRDefault="00D8430C" w14:paraId="0D4E412F" w14:textId="10A65A6E">
      <w:pPr>
        <w:spacing w:after="0" w:line="240" w:lineRule="atLeast"/>
        <w:rPr>
          <w:rFonts w:ascii="Verdana" w:hAnsi="Verdana" w:eastAsia="Verdana" w:cs="Verdana"/>
          <w:sz w:val="18"/>
          <w:szCs w:val="18"/>
        </w:rPr>
      </w:pPr>
      <w:r w:rsidRPr="00411EB0">
        <w:rPr>
          <w:rFonts w:ascii="Verdana" w:hAnsi="Verdana"/>
          <w:sz w:val="18"/>
        </w:rPr>
        <w:t>Op grond van de subsidiemodule IPCEI wordt op aanvraag subsidie verstrekt aan één of meer in Nederland gevestigde ondernemingen of onderzoeksorganisaties uit een Europees samenwerkingsverband voor het uitvoeren van een Nederlands belangrijk project</w:t>
      </w:r>
      <w:r w:rsidRPr="00411EB0">
        <w:rPr>
          <w:rFonts w:ascii="Verdana" w:hAnsi="Verdana"/>
          <w:sz w:val="18"/>
          <w:shd w:val="clear" w:color="auto" w:fill="FFFFFF"/>
        </w:rPr>
        <w:t xml:space="preserve"> </w:t>
      </w:r>
      <w:r w:rsidR="00C8330C">
        <w:rPr>
          <w:rFonts w:ascii="Verdana" w:hAnsi="Verdana"/>
          <w:sz w:val="18"/>
          <w:shd w:val="clear" w:color="auto" w:fill="FFFFFF"/>
        </w:rPr>
        <w:t xml:space="preserve">(lees: deelproject van een IPCEI) </w:t>
      </w:r>
      <w:r w:rsidRPr="00411EB0">
        <w:rPr>
          <w:rFonts w:ascii="Verdana" w:hAnsi="Verdana"/>
          <w:sz w:val="18"/>
          <w:shd w:val="clear" w:color="auto" w:fill="FFFFFF"/>
        </w:rPr>
        <w:t>dat gericht is op het verwezenlijken van één of meer van de doelstellingen van de Europese Unie, bedoeld in paragraaf 3.2.1, onderdeel 14, van het IPCEI-steunkader</w:t>
      </w:r>
      <w:r w:rsidRPr="00411EB0" w:rsidR="00D825D8">
        <w:rPr>
          <w:rStyle w:val="Voetnootmarkering"/>
          <w:rFonts w:ascii="Verdana" w:hAnsi="Verdana"/>
          <w:sz w:val="18"/>
          <w:shd w:val="clear" w:color="auto" w:fill="FFFFFF"/>
        </w:rPr>
        <w:footnoteReference w:id="1"/>
      </w:r>
      <w:r w:rsidRPr="00411EB0">
        <w:rPr>
          <w:rFonts w:ascii="Verdana" w:hAnsi="Verdana"/>
          <w:sz w:val="18"/>
          <w:shd w:val="clear" w:color="auto" w:fill="FFFFFF"/>
        </w:rPr>
        <w:t xml:space="preserve">. </w:t>
      </w:r>
      <w:r w:rsidRPr="00411EB0" w:rsidR="00D91FEE">
        <w:rPr>
          <w:rFonts w:ascii="Verdana" w:hAnsi="Verdana" w:eastAsia="Verdana" w:cs="Verdana"/>
          <w:sz w:val="18"/>
          <w:szCs w:val="18"/>
        </w:rPr>
        <w:t>Voor een uitgebreidere achtergrond van deze subsidiemodule wordt verwezen naar paragraaf 1.1 van de algemene toelichting van de wijzigingsregeling waarmee deze subsidiemodule is ingevoerd</w:t>
      </w:r>
      <w:r w:rsidRPr="00411EB0" w:rsidR="00D91FEE">
        <w:rPr>
          <w:rStyle w:val="Voetnootmarkering"/>
          <w:rFonts w:ascii="Verdana" w:hAnsi="Verdana" w:eastAsia="Verdana" w:cs="Verdana"/>
          <w:sz w:val="18"/>
          <w:szCs w:val="18"/>
        </w:rPr>
        <w:footnoteReference w:id="2"/>
      </w:r>
      <w:r w:rsidRPr="00411EB0" w:rsidR="00D91FEE">
        <w:rPr>
          <w:rFonts w:ascii="Verdana" w:hAnsi="Verdana" w:eastAsia="Verdana" w:cs="Verdana"/>
          <w:sz w:val="18"/>
          <w:szCs w:val="18"/>
        </w:rPr>
        <w:t xml:space="preserve"> (hierna: de invoeringsregeling). </w:t>
      </w:r>
    </w:p>
    <w:p w:rsidRPr="00411EB0" w:rsidR="009C150D" w:rsidP="009D2237" w:rsidRDefault="009C150D" w14:paraId="14EF5C76" w14:textId="77777777">
      <w:pPr>
        <w:spacing w:after="0" w:line="240" w:lineRule="atLeast"/>
        <w:rPr>
          <w:rFonts w:ascii="Verdana" w:hAnsi="Verdana"/>
          <w:sz w:val="18"/>
          <w:szCs w:val="18"/>
          <w:shd w:val="clear" w:color="auto" w:fill="FFFFFF"/>
        </w:rPr>
      </w:pPr>
    </w:p>
    <w:p w:rsidRPr="00992A20" w:rsidR="00D75CF6" w:rsidP="009D2237" w:rsidRDefault="00C27EB6" w14:paraId="1CA6B024" w14:textId="0BC3C09A">
      <w:pPr>
        <w:spacing w:after="0" w:line="240" w:lineRule="atLeast"/>
        <w:rPr>
          <w:rFonts w:ascii="Verdana" w:hAnsi="Verdana"/>
          <w:sz w:val="18"/>
          <w:szCs w:val="18"/>
        </w:rPr>
      </w:pPr>
      <w:r w:rsidRPr="00411EB0">
        <w:rPr>
          <w:rFonts w:ascii="Verdana" w:hAnsi="Verdana"/>
          <w:sz w:val="18"/>
          <w:szCs w:val="18"/>
          <w:shd w:val="clear" w:color="auto" w:fill="FFFFFF"/>
        </w:rPr>
        <w:t xml:space="preserve">De subsidiemodule </w:t>
      </w:r>
      <w:r w:rsidRPr="00411EB0" w:rsidR="009C150D">
        <w:rPr>
          <w:rFonts w:ascii="Verdana" w:hAnsi="Verdana"/>
          <w:sz w:val="18"/>
          <w:szCs w:val="18"/>
          <w:shd w:val="clear" w:color="auto" w:fill="FFFFFF"/>
        </w:rPr>
        <w:t xml:space="preserve">IPCEI </w:t>
      </w:r>
      <w:r w:rsidRPr="00411EB0">
        <w:rPr>
          <w:rFonts w:ascii="Verdana" w:hAnsi="Verdana"/>
          <w:sz w:val="18"/>
          <w:szCs w:val="18"/>
          <w:shd w:val="clear" w:color="auto" w:fill="FFFFFF"/>
        </w:rPr>
        <w:t xml:space="preserve">was vanaf medio december 2021 tot en met heden al meerdere malen opengesteld </w:t>
      </w:r>
      <w:r w:rsidRPr="00411EB0">
        <w:rPr>
          <w:rFonts w:ascii="Verdana" w:hAnsi="Verdana"/>
          <w:sz w:val="18"/>
          <w:szCs w:val="18"/>
        </w:rPr>
        <w:t xml:space="preserve">voor Nederlandse belangrijke projecten </w:t>
      </w:r>
      <w:r w:rsidR="00177EE1">
        <w:rPr>
          <w:rFonts w:ascii="Verdana" w:hAnsi="Verdana"/>
          <w:sz w:val="18"/>
          <w:szCs w:val="18"/>
        </w:rPr>
        <w:t xml:space="preserve">(als deelproject van een IPCEI) </w:t>
      </w:r>
      <w:r w:rsidRPr="00411EB0">
        <w:rPr>
          <w:rFonts w:ascii="Verdana" w:hAnsi="Verdana"/>
          <w:sz w:val="18"/>
          <w:szCs w:val="18"/>
        </w:rPr>
        <w:t>die voorgaande doelstellingen zouden kunnen verwezenlijken op de volgende deelgebied</w:t>
      </w:r>
      <w:r w:rsidRPr="00411EB0" w:rsidR="00BF00F8">
        <w:rPr>
          <w:rFonts w:ascii="Verdana" w:hAnsi="Verdana"/>
          <w:sz w:val="18"/>
          <w:szCs w:val="18"/>
        </w:rPr>
        <w:t>en</w:t>
      </w:r>
      <w:r w:rsidRPr="00411EB0">
        <w:rPr>
          <w:rFonts w:ascii="Verdana" w:hAnsi="Verdana"/>
          <w:sz w:val="18"/>
          <w:szCs w:val="18"/>
        </w:rPr>
        <w:t>:</w:t>
      </w:r>
      <w:r w:rsidRPr="00411EB0" w:rsidR="006E6F13">
        <w:rPr>
          <w:rFonts w:ascii="Verdana" w:hAnsi="Verdana"/>
          <w:sz w:val="18"/>
          <w:szCs w:val="18"/>
        </w:rPr>
        <w:t xml:space="preserve"> </w:t>
      </w:r>
      <w:proofErr w:type="spellStart"/>
      <w:r w:rsidRPr="00411EB0" w:rsidR="00D8430C">
        <w:rPr>
          <w:rFonts w:ascii="Verdana" w:hAnsi="Verdana"/>
          <w:sz w:val="18"/>
          <w:szCs w:val="18"/>
        </w:rPr>
        <w:t>cloud</w:t>
      </w:r>
      <w:proofErr w:type="spellEnd"/>
      <w:r w:rsidRPr="00411EB0" w:rsidR="00D8430C">
        <w:rPr>
          <w:rFonts w:ascii="Verdana" w:hAnsi="Verdana"/>
          <w:sz w:val="18"/>
          <w:szCs w:val="18"/>
        </w:rPr>
        <w:t xml:space="preserve"> infrastructuur en services, micro-elektronica en halfgeleiders</w:t>
      </w:r>
      <w:r w:rsidRPr="00411EB0">
        <w:rPr>
          <w:rFonts w:ascii="Verdana" w:hAnsi="Verdana"/>
          <w:sz w:val="18"/>
          <w:szCs w:val="18"/>
        </w:rPr>
        <w:t xml:space="preserve">, </w:t>
      </w:r>
      <w:r w:rsidRPr="00411EB0" w:rsidR="006E6F13">
        <w:rPr>
          <w:rFonts w:ascii="Verdana" w:hAnsi="Verdana"/>
          <w:sz w:val="18"/>
        </w:rPr>
        <w:t>waterstoftechnologie, waterstofproductie door elektrolyse, waterstofimport- en opslag en waterstoftoepassingen in mobiliteit en transport</w:t>
      </w:r>
      <w:r w:rsidRPr="00411EB0" w:rsidR="00143510">
        <w:rPr>
          <w:rFonts w:ascii="Verdana" w:hAnsi="Verdana"/>
          <w:sz w:val="18"/>
        </w:rPr>
        <w:t>.</w:t>
      </w:r>
      <w:r w:rsidRPr="00411EB0" w:rsidR="00D91FEE">
        <w:rPr>
          <w:rFonts w:ascii="Verdana" w:hAnsi="Verdana"/>
          <w:sz w:val="18"/>
        </w:rPr>
        <w:t xml:space="preserve"> </w:t>
      </w:r>
      <w:r w:rsidR="00177EE1">
        <w:rPr>
          <w:rFonts w:ascii="Verdana" w:hAnsi="Verdana"/>
          <w:sz w:val="18"/>
        </w:rPr>
        <w:t>Daarnaast</w:t>
      </w:r>
      <w:r w:rsidRPr="00411EB0" w:rsidR="009C150D">
        <w:rPr>
          <w:rFonts w:ascii="Verdana" w:hAnsi="Verdana"/>
          <w:sz w:val="18"/>
        </w:rPr>
        <w:t xml:space="preserve"> </w:t>
      </w:r>
      <w:r w:rsidR="00F731E5">
        <w:rPr>
          <w:rFonts w:ascii="Verdana" w:hAnsi="Verdana"/>
          <w:sz w:val="18"/>
        </w:rPr>
        <w:t>is</w:t>
      </w:r>
      <w:r w:rsidRPr="00411EB0" w:rsidR="00F731E5">
        <w:rPr>
          <w:rFonts w:ascii="Verdana" w:hAnsi="Verdana"/>
          <w:sz w:val="18"/>
        </w:rPr>
        <w:t xml:space="preserve"> </w:t>
      </w:r>
      <w:r w:rsidRPr="00411EB0" w:rsidR="009C150D">
        <w:rPr>
          <w:rFonts w:ascii="Verdana" w:hAnsi="Verdana"/>
          <w:sz w:val="18"/>
        </w:rPr>
        <w:t xml:space="preserve">voor de subsidiemodule IPCEI </w:t>
      </w:r>
      <w:r w:rsidRPr="00411EB0" w:rsidR="00B23EFE">
        <w:rPr>
          <w:rFonts w:ascii="Verdana" w:hAnsi="Verdana"/>
          <w:sz w:val="18"/>
        </w:rPr>
        <w:t xml:space="preserve">ook een </w:t>
      </w:r>
      <w:r w:rsidRPr="00411EB0" w:rsidR="003054B4">
        <w:rPr>
          <w:rFonts w:ascii="Verdana" w:hAnsi="Verdana"/>
          <w:sz w:val="18"/>
        </w:rPr>
        <w:t xml:space="preserve">aantal </w:t>
      </w:r>
      <w:r w:rsidRPr="00411EB0" w:rsidR="00B23EFE">
        <w:rPr>
          <w:rFonts w:ascii="Verdana" w:hAnsi="Verdana"/>
          <w:sz w:val="18"/>
        </w:rPr>
        <w:t>openstelling</w:t>
      </w:r>
      <w:r w:rsidRPr="00411EB0" w:rsidR="00143510">
        <w:rPr>
          <w:rFonts w:ascii="Verdana" w:hAnsi="Verdana"/>
          <w:sz w:val="18"/>
        </w:rPr>
        <w:t>en</w:t>
      </w:r>
      <w:r w:rsidRPr="00411EB0" w:rsidR="00B23EFE">
        <w:rPr>
          <w:rFonts w:ascii="Verdana" w:hAnsi="Verdana"/>
          <w:sz w:val="18"/>
        </w:rPr>
        <w:t xml:space="preserve"> voorzien </w:t>
      </w:r>
      <w:r w:rsidRPr="00411EB0" w:rsidR="007C3946">
        <w:rPr>
          <w:rFonts w:ascii="Verdana" w:hAnsi="Verdana"/>
          <w:sz w:val="18"/>
        </w:rPr>
        <w:t xml:space="preserve">op </w:t>
      </w:r>
      <w:r w:rsidRPr="00411EB0" w:rsidR="003054B4">
        <w:rPr>
          <w:rFonts w:ascii="Verdana" w:hAnsi="Verdana"/>
          <w:sz w:val="18"/>
        </w:rPr>
        <w:t>nieuwe</w:t>
      </w:r>
      <w:r w:rsidRPr="00411EB0" w:rsidR="00B23EFE">
        <w:rPr>
          <w:rFonts w:ascii="Verdana" w:hAnsi="Verdana"/>
          <w:sz w:val="18"/>
        </w:rPr>
        <w:t xml:space="preserve"> deelgebied</w:t>
      </w:r>
      <w:r w:rsidRPr="00411EB0" w:rsidR="00143510">
        <w:rPr>
          <w:rFonts w:ascii="Verdana" w:hAnsi="Verdana"/>
          <w:sz w:val="18"/>
        </w:rPr>
        <w:t xml:space="preserve">en. </w:t>
      </w:r>
      <w:r w:rsidRPr="00992A20" w:rsidR="00D75CF6">
        <w:rPr>
          <w:rFonts w:ascii="Verdana" w:hAnsi="Verdana"/>
          <w:sz w:val="18"/>
          <w:szCs w:val="18"/>
        </w:rPr>
        <w:t>Voor deze (en eventuele toekomstige) deelgebieden zijn de subsidiabele activiteiten en overige transparante en objectieve voorwaarden opgenomen in de subsidiemodule IPCEI, die (zo nodig) bij een specifieke openstelling aangepast kunnen worden.</w:t>
      </w:r>
    </w:p>
    <w:p w:rsidR="00D75CF6" w:rsidP="009D2237" w:rsidRDefault="00D75CF6" w14:paraId="41C008C7" w14:textId="77777777">
      <w:pPr>
        <w:spacing w:after="0" w:line="240" w:lineRule="atLeast"/>
        <w:rPr>
          <w:rFonts w:ascii="Verdana" w:hAnsi="Verdana"/>
          <w:iCs/>
          <w:sz w:val="18"/>
          <w:szCs w:val="18"/>
        </w:rPr>
      </w:pPr>
    </w:p>
    <w:p w:rsidR="00415949" w:rsidP="00C8330C" w:rsidRDefault="00613D3F" w14:paraId="7077C557" w14:textId="1C707F11">
      <w:pPr>
        <w:spacing w:after="0" w:line="240" w:lineRule="atLeast"/>
        <w:rPr>
          <w:rFonts w:ascii="Verdana" w:hAnsi="Verdana"/>
          <w:sz w:val="18"/>
          <w:szCs w:val="18"/>
        </w:rPr>
      </w:pPr>
      <w:r w:rsidRPr="00130E1C">
        <w:rPr>
          <w:rFonts w:ascii="Verdana" w:hAnsi="Verdana"/>
          <w:b/>
          <w:sz w:val="18"/>
          <w:szCs w:val="18"/>
        </w:rPr>
        <w:t>2.2</w:t>
      </w:r>
      <w:r w:rsidRPr="00130E1C" w:rsidR="007414A5">
        <w:rPr>
          <w:rFonts w:ascii="Verdana" w:hAnsi="Verdana"/>
          <w:b/>
          <w:sz w:val="18"/>
          <w:szCs w:val="18"/>
        </w:rPr>
        <w:t xml:space="preserve"> </w:t>
      </w:r>
      <w:r w:rsidRPr="00130E1C" w:rsidR="001A3102">
        <w:rPr>
          <w:rFonts w:ascii="Verdana" w:hAnsi="Verdana"/>
          <w:b/>
          <w:sz w:val="18"/>
          <w:szCs w:val="18"/>
        </w:rPr>
        <w:t>Verlen</w:t>
      </w:r>
      <w:r w:rsidRPr="00130E1C" w:rsidR="007414A5">
        <w:rPr>
          <w:rFonts w:ascii="Verdana" w:hAnsi="Verdana"/>
          <w:b/>
          <w:sz w:val="18"/>
          <w:szCs w:val="18"/>
        </w:rPr>
        <w:t>g</w:t>
      </w:r>
      <w:r w:rsidRPr="00130E1C" w:rsidR="001A3102">
        <w:rPr>
          <w:rFonts w:ascii="Verdana" w:hAnsi="Verdana"/>
          <w:b/>
          <w:sz w:val="18"/>
          <w:szCs w:val="18"/>
        </w:rPr>
        <w:t>ing van de subsidiemodule IPCEI</w:t>
      </w:r>
      <w:r w:rsidR="00AD1AD9">
        <w:rPr>
          <w:rFonts w:ascii="Verdana" w:hAnsi="Verdana"/>
          <w:sz w:val="18"/>
          <w:szCs w:val="18"/>
        </w:rPr>
        <w:t xml:space="preserve"> </w:t>
      </w:r>
    </w:p>
    <w:p w:rsidRPr="006D621A" w:rsidR="00613D3F" w:rsidP="00C8330C" w:rsidRDefault="00713FD1" w14:paraId="38E775DB" w14:textId="0F4F6A83">
      <w:pPr>
        <w:spacing w:after="0" w:line="240" w:lineRule="atLeast"/>
        <w:rPr>
          <w:rFonts w:ascii="Verdana" w:hAnsi="Verdana"/>
          <w:sz w:val="18"/>
          <w:szCs w:val="18"/>
        </w:rPr>
      </w:pPr>
      <w:r w:rsidRPr="006D621A">
        <w:rPr>
          <w:rFonts w:ascii="Verdana" w:hAnsi="Verdana"/>
          <w:sz w:val="18"/>
          <w:szCs w:val="18"/>
        </w:rPr>
        <w:t xml:space="preserve">In artikel 4.10, tweede lid, van de Comptabiliteitswet 2016 is bepaald dat subsidieregelingen een vervaltermijn van maximaal vijf jaren bevatten. De subsidiemodule IPCEI heeft een vervaldatum van 23 december 2026. Om hieronder vermelde redenen is besloten deze vervaldatum voor deze subsidiemodule te verlengen met </w:t>
      </w:r>
      <w:r w:rsidR="005469C3">
        <w:rPr>
          <w:rFonts w:ascii="Verdana" w:hAnsi="Verdana"/>
          <w:sz w:val="18"/>
          <w:szCs w:val="18"/>
        </w:rPr>
        <w:t>ten hoogste vijf</w:t>
      </w:r>
      <w:r w:rsidR="00A6637C">
        <w:rPr>
          <w:rFonts w:ascii="Verdana" w:hAnsi="Verdana"/>
          <w:sz w:val="18"/>
          <w:szCs w:val="18"/>
        </w:rPr>
        <w:t xml:space="preserve"> </w:t>
      </w:r>
      <w:r w:rsidRPr="006D621A">
        <w:rPr>
          <w:rFonts w:ascii="Verdana" w:hAnsi="Verdana"/>
          <w:sz w:val="18"/>
          <w:szCs w:val="18"/>
        </w:rPr>
        <w:t xml:space="preserve">jaar, tot </w:t>
      </w:r>
      <w:r w:rsidR="005469C3">
        <w:rPr>
          <w:rFonts w:ascii="Verdana" w:hAnsi="Verdana"/>
          <w:sz w:val="18"/>
          <w:szCs w:val="18"/>
        </w:rPr>
        <w:t>23</w:t>
      </w:r>
      <w:r w:rsidRPr="006D621A">
        <w:rPr>
          <w:rFonts w:ascii="Verdana" w:hAnsi="Verdana"/>
          <w:sz w:val="18"/>
          <w:szCs w:val="18"/>
        </w:rPr>
        <w:t xml:space="preserve"> december </w:t>
      </w:r>
      <w:r w:rsidR="005469C3">
        <w:rPr>
          <w:rFonts w:ascii="Verdana" w:hAnsi="Verdana"/>
          <w:sz w:val="18"/>
          <w:szCs w:val="18"/>
        </w:rPr>
        <w:t xml:space="preserve">2031. </w:t>
      </w:r>
      <w:r w:rsidRPr="006D621A">
        <w:rPr>
          <w:rFonts w:ascii="Verdana" w:hAnsi="Verdana"/>
          <w:sz w:val="18"/>
          <w:szCs w:val="18"/>
        </w:rPr>
        <w:t>Op grond van artikel 4.10, zevende lid, van de Comptabiliteitswet 2016 is het ontwerp van deze wijzigingsregeling op [PM, datum] aan de Tweede Kamer overgelegd.</w:t>
      </w:r>
      <w:r w:rsidR="00AD1AD9">
        <w:rPr>
          <w:rFonts w:ascii="Verdana" w:hAnsi="Verdana"/>
          <w:sz w:val="18"/>
          <w:szCs w:val="18"/>
        </w:rPr>
        <w:t xml:space="preserve"> </w:t>
      </w:r>
    </w:p>
    <w:p w:rsidR="005469C3" w:rsidP="00C8330C" w:rsidRDefault="005469C3" w14:paraId="71424DE7" w14:textId="77777777">
      <w:pPr>
        <w:spacing w:after="0" w:line="240" w:lineRule="atLeast"/>
        <w:rPr>
          <w:rFonts w:ascii="Verdana" w:hAnsi="Verdana"/>
          <w:sz w:val="18"/>
          <w:szCs w:val="18"/>
        </w:rPr>
      </w:pPr>
    </w:p>
    <w:p w:rsidR="00664531" w:rsidP="00C8330C" w:rsidRDefault="00A6637C" w14:paraId="64E03067" w14:textId="77777777">
      <w:pPr>
        <w:spacing w:after="0" w:line="240" w:lineRule="atLeast"/>
        <w:rPr>
          <w:rFonts w:ascii="Verdana" w:hAnsi="Verdana"/>
          <w:iCs/>
          <w:sz w:val="18"/>
          <w:szCs w:val="18"/>
        </w:rPr>
      </w:pPr>
      <w:r>
        <w:rPr>
          <w:rFonts w:ascii="Verdana" w:hAnsi="Verdana"/>
          <w:sz w:val="18"/>
          <w:szCs w:val="18"/>
        </w:rPr>
        <w:lastRenderedPageBreak/>
        <w:t xml:space="preserve">Naar verwachting zal in de loop van 2027 </w:t>
      </w:r>
      <w:r w:rsidR="00C8330C">
        <w:rPr>
          <w:rFonts w:ascii="Verdana" w:hAnsi="Verdana"/>
          <w:sz w:val="18"/>
          <w:szCs w:val="18"/>
        </w:rPr>
        <w:t xml:space="preserve">een </w:t>
      </w:r>
      <w:r>
        <w:rPr>
          <w:rFonts w:ascii="Verdana" w:hAnsi="Verdana"/>
          <w:sz w:val="18"/>
          <w:szCs w:val="18"/>
        </w:rPr>
        <w:t xml:space="preserve">evaluatie uitgevoerd worden van de subsidiemodule IPCEI. </w:t>
      </w:r>
      <w:r w:rsidR="00953967">
        <w:rPr>
          <w:rFonts w:ascii="Verdana" w:hAnsi="Verdana"/>
          <w:sz w:val="18"/>
          <w:szCs w:val="18"/>
        </w:rPr>
        <w:t>Het is echter gewenst om d</w:t>
      </w:r>
      <w:r w:rsidRPr="006D621A" w:rsidR="00613D3F">
        <w:rPr>
          <w:rFonts w:ascii="Verdana" w:hAnsi="Verdana"/>
          <w:sz w:val="18"/>
          <w:szCs w:val="18"/>
        </w:rPr>
        <w:t xml:space="preserve">e horizonbepaling van de subsidiemodule IPCEI </w:t>
      </w:r>
      <w:r>
        <w:rPr>
          <w:rFonts w:ascii="Verdana" w:hAnsi="Verdana"/>
          <w:sz w:val="18"/>
          <w:szCs w:val="18"/>
        </w:rPr>
        <w:t xml:space="preserve">al voorafgaand aan de evaluatie </w:t>
      </w:r>
      <w:r w:rsidR="00953967">
        <w:rPr>
          <w:rFonts w:ascii="Verdana" w:hAnsi="Verdana"/>
          <w:sz w:val="18"/>
          <w:szCs w:val="18"/>
        </w:rPr>
        <w:t>te</w:t>
      </w:r>
      <w:r w:rsidRPr="006D621A" w:rsidR="00613D3F">
        <w:rPr>
          <w:rFonts w:ascii="Verdana" w:hAnsi="Verdana"/>
          <w:sz w:val="18"/>
          <w:szCs w:val="18"/>
        </w:rPr>
        <w:t xml:space="preserve"> verleng</w:t>
      </w:r>
      <w:r w:rsidR="00953967">
        <w:rPr>
          <w:rFonts w:ascii="Verdana" w:hAnsi="Verdana"/>
          <w:sz w:val="18"/>
          <w:szCs w:val="18"/>
        </w:rPr>
        <w:t xml:space="preserve">en om ervoor te zorgen </w:t>
      </w:r>
      <w:r w:rsidRPr="006D621A" w:rsidR="00613D3F">
        <w:rPr>
          <w:rFonts w:ascii="Verdana" w:hAnsi="Verdana"/>
          <w:sz w:val="18"/>
          <w:szCs w:val="18"/>
        </w:rPr>
        <w:t>dat de subsidiemodule IPCEI</w:t>
      </w:r>
      <w:r>
        <w:rPr>
          <w:rFonts w:ascii="Verdana" w:hAnsi="Verdana"/>
          <w:sz w:val="18"/>
          <w:szCs w:val="18"/>
        </w:rPr>
        <w:t>,</w:t>
      </w:r>
      <w:r w:rsidRPr="006D621A" w:rsidR="00613D3F">
        <w:rPr>
          <w:rFonts w:ascii="Verdana" w:hAnsi="Verdana"/>
          <w:sz w:val="18"/>
          <w:szCs w:val="18"/>
        </w:rPr>
        <w:t xml:space="preserve"> in afwachting van het evaluatieproces</w:t>
      </w:r>
      <w:r>
        <w:rPr>
          <w:rFonts w:ascii="Verdana" w:hAnsi="Verdana"/>
          <w:sz w:val="18"/>
          <w:szCs w:val="18"/>
        </w:rPr>
        <w:t>,</w:t>
      </w:r>
      <w:r w:rsidRPr="006D621A" w:rsidR="00613D3F">
        <w:rPr>
          <w:rFonts w:ascii="Verdana" w:hAnsi="Verdana"/>
          <w:sz w:val="18"/>
          <w:szCs w:val="18"/>
        </w:rPr>
        <w:t xml:space="preserve"> </w:t>
      </w:r>
      <w:r w:rsidRPr="006D621A" w:rsidR="006F64D5">
        <w:rPr>
          <w:rFonts w:ascii="Verdana" w:hAnsi="Verdana"/>
          <w:sz w:val="18"/>
          <w:szCs w:val="18"/>
        </w:rPr>
        <w:t xml:space="preserve">gebruikt </w:t>
      </w:r>
      <w:r w:rsidR="00D91FEE">
        <w:rPr>
          <w:rFonts w:ascii="Verdana" w:hAnsi="Verdana"/>
          <w:sz w:val="18"/>
          <w:szCs w:val="18"/>
        </w:rPr>
        <w:t>kan blijven</w:t>
      </w:r>
      <w:r w:rsidRPr="006D621A" w:rsidR="006F64D5">
        <w:rPr>
          <w:rFonts w:ascii="Verdana" w:hAnsi="Verdana"/>
          <w:sz w:val="18"/>
          <w:szCs w:val="18"/>
        </w:rPr>
        <w:t xml:space="preserve"> worden voor de afronding van </w:t>
      </w:r>
      <w:r w:rsidRPr="006D621A" w:rsidR="00613D3F">
        <w:rPr>
          <w:rFonts w:ascii="Verdana" w:hAnsi="Verdana"/>
          <w:sz w:val="18"/>
          <w:szCs w:val="18"/>
        </w:rPr>
        <w:t xml:space="preserve">al gestarte </w:t>
      </w:r>
      <w:r w:rsidRPr="006D621A" w:rsidR="006F64D5">
        <w:rPr>
          <w:rFonts w:ascii="Verdana" w:hAnsi="Verdana"/>
          <w:sz w:val="18"/>
          <w:szCs w:val="18"/>
        </w:rPr>
        <w:t xml:space="preserve">en binnenkort te starten </w:t>
      </w:r>
      <w:r w:rsidRPr="006D621A" w:rsidR="00613D3F">
        <w:rPr>
          <w:rFonts w:ascii="Verdana" w:hAnsi="Verdana"/>
          <w:sz w:val="18"/>
          <w:szCs w:val="18"/>
        </w:rPr>
        <w:t xml:space="preserve">Europese en Nederlandse </w:t>
      </w:r>
      <w:r w:rsidR="00B26B84">
        <w:rPr>
          <w:rFonts w:ascii="Verdana" w:hAnsi="Verdana"/>
          <w:sz w:val="18"/>
          <w:szCs w:val="18"/>
        </w:rPr>
        <w:t>projecten</w:t>
      </w:r>
      <w:r w:rsidRPr="006D621A" w:rsidR="006F64D5">
        <w:rPr>
          <w:rFonts w:ascii="Verdana" w:hAnsi="Verdana"/>
          <w:sz w:val="18"/>
          <w:szCs w:val="18"/>
        </w:rPr>
        <w:t>.</w:t>
      </w:r>
      <w:r w:rsidRPr="006D621A" w:rsidR="00613D3F">
        <w:rPr>
          <w:rFonts w:ascii="Verdana" w:hAnsi="Verdana"/>
          <w:sz w:val="18"/>
          <w:szCs w:val="18"/>
        </w:rPr>
        <w:t xml:space="preserve"> Indien later uit de evaluatie mocht blijken dat aanpassing van de subsidiemodule IPCEI noodzakelijk is, zullen deze aanpassingen worden doorgevoerd. Tot dusverre zijn er vanuit de doelgroep en de uitvoering geen signalen gekomen waaruit zou volgen dat het doel van de subsidiemodule IPCEI bij (ongewijzigde) voortzetting niet zou worden bereikt. Uit de praktijk blijkt namelijk dat de subsidiemodule IPCEI invulling geeft aan brede Europese doelstellingen en Nederlandse </w:t>
      </w:r>
      <w:r w:rsidRPr="006D621A" w:rsidR="006F64D5">
        <w:rPr>
          <w:rFonts w:ascii="Verdana" w:hAnsi="Verdana"/>
          <w:sz w:val="18"/>
          <w:szCs w:val="18"/>
        </w:rPr>
        <w:t xml:space="preserve">doelstellingen betreffende </w:t>
      </w:r>
      <w:r w:rsidR="0059389E">
        <w:rPr>
          <w:rFonts w:ascii="Verdana" w:hAnsi="Verdana"/>
          <w:sz w:val="18"/>
          <w:szCs w:val="18"/>
        </w:rPr>
        <w:t xml:space="preserve">het verbeteren van </w:t>
      </w:r>
      <w:r w:rsidR="005469C3">
        <w:rPr>
          <w:rFonts w:ascii="Verdana" w:hAnsi="Verdana"/>
          <w:sz w:val="18"/>
          <w:szCs w:val="18"/>
        </w:rPr>
        <w:t xml:space="preserve">het </w:t>
      </w:r>
      <w:r w:rsidR="0059389E">
        <w:rPr>
          <w:rFonts w:ascii="Verdana" w:hAnsi="Verdana"/>
          <w:sz w:val="18"/>
          <w:szCs w:val="18"/>
        </w:rPr>
        <w:t>v</w:t>
      </w:r>
      <w:r w:rsidRPr="006D621A" w:rsidR="00613D3F">
        <w:rPr>
          <w:rFonts w:ascii="Verdana" w:hAnsi="Verdana"/>
          <w:sz w:val="18"/>
          <w:szCs w:val="18"/>
        </w:rPr>
        <w:t xml:space="preserve">erdienvermogen, </w:t>
      </w:r>
      <w:r w:rsidR="005469C3">
        <w:rPr>
          <w:rFonts w:ascii="Verdana" w:hAnsi="Verdana"/>
          <w:sz w:val="18"/>
          <w:szCs w:val="18"/>
        </w:rPr>
        <w:t xml:space="preserve">de </w:t>
      </w:r>
      <w:r w:rsidRPr="006D621A" w:rsidR="00613D3F">
        <w:rPr>
          <w:rFonts w:ascii="Verdana" w:hAnsi="Verdana"/>
          <w:sz w:val="18"/>
          <w:szCs w:val="18"/>
        </w:rPr>
        <w:t xml:space="preserve">weerbaarheid, </w:t>
      </w:r>
      <w:r w:rsidR="005469C3">
        <w:rPr>
          <w:rFonts w:ascii="Verdana" w:hAnsi="Verdana"/>
          <w:sz w:val="18"/>
          <w:szCs w:val="18"/>
        </w:rPr>
        <w:t xml:space="preserve">de </w:t>
      </w:r>
      <w:r w:rsidRPr="006D621A" w:rsidR="00613D3F">
        <w:rPr>
          <w:rFonts w:ascii="Verdana" w:hAnsi="Verdana"/>
          <w:sz w:val="18"/>
          <w:szCs w:val="18"/>
        </w:rPr>
        <w:t xml:space="preserve">digitalisering en </w:t>
      </w:r>
      <w:r w:rsidR="005469C3">
        <w:rPr>
          <w:rFonts w:ascii="Verdana" w:hAnsi="Verdana"/>
          <w:sz w:val="18"/>
          <w:szCs w:val="18"/>
        </w:rPr>
        <w:t xml:space="preserve">de </w:t>
      </w:r>
      <w:r w:rsidRPr="006D621A" w:rsidR="00613D3F">
        <w:rPr>
          <w:rFonts w:ascii="Verdana" w:hAnsi="Verdana"/>
          <w:sz w:val="18"/>
          <w:szCs w:val="18"/>
        </w:rPr>
        <w:t>verduurzaming</w:t>
      </w:r>
      <w:r w:rsidR="005469C3">
        <w:rPr>
          <w:rFonts w:ascii="Verdana" w:hAnsi="Verdana"/>
          <w:sz w:val="18"/>
          <w:szCs w:val="18"/>
        </w:rPr>
        <w:t>,</w:t>
      </w:r>
      <w:r w:rsidRPr="006D621A" w:rsidR="006F64D5">
        <w:rPr>
          <w:rFonts w:ascii="Verdana" w:hAnsi="Verdana"/>
          <w:sz w:val="18"/>
          <w:szCs w:val="18"/>
        </w:rPr>
        <w:t xml:space="preserve"> via het leveren van </w:t>
      </w:r>
      <w:r w:rsidRPr="006D621A" w:rsidR="00613D3F">
        <w:rPr>
          <w:rFonts w:ascii="Verdana" w:hAnsi="Verdana"/>
          <w:iCs/>
          <w:sz w:val="18"/>
          <w:szCs w:val="18"/>
        </w:rPr>
        <w:t xml:space="preserve">voorspelbaarheid en toegang van Nederlandse ondernemingen en onderzoeksorganisaties tot </w:t>
      </w:r>
      <w:proofErr w:type="spellStart"/>
      <w:r w:rsidR="00C8330C">
        <w:rPr>
          <w:rFonts w:ascii="Verdana" w:hAnsi="Verdana"/>
          <w:iCs/>
          <w:sz w:val="18"/>
          <w:szCs w:val="18"/>
        </w:rPr>
        <w:t>IPCEI’s</w:t>
      </w:r>
      <w:proofErr w:type="spellEnd"/>
      <w:r w:rsidR="00C8330C">
        <w:rPr>
          <w:rFonts w:ascii="Verdana" w:hAnsi="Verdana"/>
          <w:iCs/>
          <w:sz w:val="18"/>
          <w:szCs w:val="18"/>
        </w:rPr>
        <w:t xml:space="preserve">. </w:t>
      </w:r>
    </w:p>
    <w:p w:rsidR="00664531" w:rsidP="00C8330C" w:rsidRDefault="00664531" w14:paraId="5F364DEB" w14:textId="77777777">
      <w:pPr>
        <w:spacing w:after="0" w:line="240" w:lineRule="atLeast"/>
        <w:rPr>
          <w:rFonts w:ascii="Verdana" w:hAnsi="Verdana"/>
          <w:iCs/>
          <w:sz w:val="18"/>
          <w:szCs w:val="18"/>
        </w:rPr>
      </w:pPr>
    </w:p>
    <w:p w:rsidRPr="007C0A7D" w:rsidR="000327A4" w:rsidP="00C8330C" w:rsidRDefault="001A3102" w14:paraId="23336AEA" w14:textId="331C4957">
      <w:pPr>
        <w:spacing w:after="0" w:line="240" w:lineRule="atLeast"/>
        <w:rPr>
          <w:rFonts w:ascii="Verdana" w:hAnsi="Verdana"/>
          <w:sz w:val="18"/>
          <w:szCs w:val="18"/>
        </w:rPr>
      </w:pPr>
      <w:r w:rsidRPr="007C0A7D">
        <w:rPr>
          <w:rFonts w:ascii="Verdana" w:hAnsi="Verdana"/>
          <w:sz w:val="18"/>
          <w:szCs w:val="18"/>
        </w:rPr>
        <w:t xml:space="preserve">In de gevallen dat </w:t>
      </w:r>
      <w:r w:rsidRPr="007C0A7D" w:rsidR="004C79DD">
        <w:rPr>
          <w:rFonts w:ascii="Verdana" w:hAnsi="Verdana"/>
          <w:sz w:val="18"/>
          <w:szCs w:val="18"/>
        </w:rPr>
        <w:t xml:space="preserve">deelname </w:t>
      </w:r>
      <w:r w:rsidRPr="007C0A7D" w:rsidR="00643CC1">
        <w:rPr>
          <w:rFonts w:ascii="Verdana" w:hAnsi="Verdana"/>
          <w:sz w:val="18"/>
          <w:szCs w:val="18"/>
        </w:rPr>
        <w:t xml:space="preserve">van Nederland </w:t>
      </w:r>
      <w:r w:rsidR="00232541">
        <w:rPr>
          <w:rFonts w:ascii="Verdana" w:hAnsi="Verdana"/>
          <w:sz w:val="18"/>
          <w:szCs w:val="18"/>
        </w:rPr>
        <w:t xml:space="preserve">aan een IPCEI </w:t>
      </w:r>
      <w:r w:rsidRPr="007C0A7D">
        <w:rPr>
          <w:rFonts w:ascii="Verdana" w:hAnsi="Verdana"/>
          <w:sz w:val="18"/>
          <w:szCs w:val="18"/>
        </w:rPr>
        <w:t>gewenst lijkt te zijn</w:t>
      </w:r>
      <w:r w:rsidRPr="007C0A7D" w:rsidR="004C79DD">
        <w:rPr>
          <w:rFonts w:ascii="Verdana" w:hAnsi="Verdana"/>
          <w:sz w:val="18"/>
          <w:szCs w:val="18"/>
        </w:rPr>
        <w:t>, zal</w:t>
      </w:r>
      <w:r w:rsidRPr="007C0A7D">
        <w:rPr>
          <w:rFonts w:ascii="Verdana" w:hAnsi="Verdana"/>
          <w:sz w:val="18"/>
          <w:szCs w:val="18"/>
        </w:rPr>
        <w:t xml:space="preserve"> </w:t>
      </w:r>
      <w:r w:rsidRPr="007C0A7D" w:rsidR="00643CC1">
        <w:rPr>
          <w:rFonts w:ascii="Verdana" w:hAnsi="Verdana"/>
          <w:sz w:val="18"/>
          <w:szCs w:val="18"/>
        </w:rPr>
        <w:t xml:space="preserve">bezien worden of </w:t>
      </w:r>
      <w:r w:rsidRPr="007C0A7D">
        <w:rPr>
          <w:rFonts w:ascii="Verdana" w:hAnsi="Verdana"/>
          <w:sz w:val="18"/>
          <w:szCs w:val="18"/>
        </w:rPr>
        <w:t xml:space="preserve">budget </w:t>
      </w:r>
      <w:r w:rsidRPr="007C0A7D" w:rsidR="00643CC1">
        <w:rPr>
          <w:rFonts w:ascii="Verdana" w:hAnsi="Verdana"/>
          <w:sz w:val="18"/>
          <w:szCs w:val="18"/>
        </w:rPr>
        <w:t xml:space="preserve">beschikbaar kan worden gemaakt om </w:t>
      </w:r>
      <w:r w:rsidRPr="007C0A7D">
        <w:rPr>
          <w:rFonts w:ascii="Verdana" w:hAnsi="Verdana"/>
          <w:sz w:val="18"/>
          <w:szCs w:val="18"/>
        </w:rPr>
        <w:t>Nederlands</w:t>
      </w:r>
      <w:r w:rsidRPr="007C0A7D" w:rsidR="002E7004">
        <w:rPr>
          <w:rFonts w:ascii="Verdana" w:hAnsi="Verdana"/>
          <w:sz w:val="18"/>
          <w:szCs w:val="18"/>
        </w:rPr>
        <w:t>e</w:t>
      </w:r>
      <w:r w:rsidRPr="007C0A7D">
        <w:rPr>
          <w:rFonts w:ascii="Verdana" w:hAnsi="Verdana"/>
          <w:sz w:val="18"/>
          <w:szCs w:val="18"/>
        </w:rPr>
        <w:t xml:space="preserve"> belangrijk</w:t>
      </w:r>
      <w:r w:rsidRPr="007C0A7D" w:rsidR="00643CC1">
        <w:rPr>
          <w:rFonts w:ascii="Verdana" w:hAnsi="Verdana"/>
          <w:sz w:val="18"/>
          <w:szCs w:val="18"/>
        </w:rPr>
        <w:t>e</w:t>
      </w:r>
      <w:r w:rsidRPr="007C0A7D">
        <w:rPr>
          <w:rFonts w:ascii="Verdana" w:hAnsi="Verdana"/>
          <w:sz w:val="18"/>
          <w:szCs w:val="18"/>
        </w:rPr>
        <w:t xml:space="preserve"> project</w:t>
      </w:r>
      <w:r w:rsidRPr="007C0A7D" w:rsidR="00643CC1">
        <w:rPr>
          <w:rFonts w:ascii="Verdana" w:hAnsi="Verdana"/>
          <w:sz w:val="18"/>
          <w:szCs w:val="18"/>
        </w:rPr>
        <w:t xml:space="preserve">en </w:t>
      </w:r>
      <w:r w:rsidR="00CA174E">
        <w:rPr>
          <w:rFonts w:ascii="Verdana" w:hAnsi="Verdana"/>
          <w:sz w:val="18"/>
          <w:szCs w:val="18"/>
        </w:rPr>
        <w:t xml:space="preserve">(als deelproject van een IPCEI) </w:t>
      </w:r>
      <w:r w:rsidRPr="007C0A7D" w:rsidR="00643CC1">
        <w:rPr>
          <w:rFonts w:ascii="Verdana" w:hAnsi="Verdana"/>
          <w:sz w:val="18"/>
          <w:szCs w:val="18"/>
        </w:rPr>
        <w:t xml:space="preserve">te stimuleren. Een dergelijk </w:t>
      </w:r>
      <w:r w:rsidRPr="007C0A7D">
        <w:rPr>
          <w:rFonts w:ascii="Verdana" w:hAnsi="Verdana"/>
          <w:sz w:val="18"/>
          <w:szCs w:val="18"/>
        </w:rPr>
        <w:t xml:space="preserve">budget </w:t>
      </w:r>
      <w:r w:rsidRPr="007C0A7D" w:rsidR="00643CC1">
        <w:rPr>
          <w:rFonts w:ascii="Verdana" w:hAnsi="Verdana"/>
          <w:sz w:val="18"/>
          <w:szCs w:val="18"/>
        </w:rPr>
        <w:t xml:space="preserve">zal </w:t>
      </w:r>
      <w:r w:rsidRPr="007C0A7D">
        <w:rPr>
          <w:rFonts w:ascii="Verdana" w:hAnsi="Verdana"/>
          <w:sz w:val="18"/>
          <w:szCs w:val="18"/>
        </w:rPr>
        <w:t>in de gebruikelijke begrotingsbehandeling voor goedkeuring voorgelegd</w:t>
      </w:r>
      <w:r w:rsidRPr="007C0A7D" w:rsidR="00643CC1">
        <w:rPr>
          <w:rFonts w:ascii="Verdana" w:hAnsi="Verdana"/>
          <w:sz w:val="18"/>
          <w:szCs w:val="18"/>
        </w:rPr>
        <w:t xml:space="preserve"> worden </w:t>
      </w:r>
      <w:r w:rsidRPr="007C0A7D">
        <w:rPr>
          <w:rFonts w:ascii="Verdana" w:hAnsi="Verdana"/>
          <w:sz w:val="18"/>
          <w:szCs w:val="18"/>
        </w:rPr>
        <w:t>aan de Tweede en Eerste Kamer.</w:t>
      </w:r>
    </w:p>
    <w:p w:rsidR="000327A4" w:rsidP="00C8330C" w:rsidRDefault="000327A4" w14:paraId="17BA3DE4" w14:textId="77777777">
      <w:pPr>
        <w:spacing w:after="0" w:line="240" w:lineRule="atLeast"/>
        <w:rPr>
          <w:rFonts w:ascii="Verdana" w:hAnsi="Verdana"/>
          <w:sz w:val="18"/>
          <w:szCs w:val="18"/>
        </w:rPr>
      </w:pPr>
    </w:p>
    <w:p w:rsidRPr="00130E1C" w:rsidR="001A3102" w:rsidP="009D2237" w:rsidRDefault="005C6261" w14:paraId="4715F5EC" w14:textId="02B8B52E">
      <w:pPr>
        <w:pStyle w:val="LO-normal"/>
        <w:spacing w:line="240" w:lineRule="atLeast"/>
        <w:rPr>
          <w:b/>
          <w:iCs/>
        </w:rPr>
      </w:pPr>
      <w:bookmarkStart w:name="_Hlk90304937" w:id="0"/>
      <w:r w:rsidRPr="00130E1C">
        <w:rPr>
          <w:b/>
          <w:iCs/>
        </w:rPr>
        <w:t>3</w:t>
      </w:r>
      <w:r w:rsidRPr="00130E1C" w:rsidR="001A3102">
        <w:rPr>
          <w:b/>
          <w:iCs/>
        </w:rPr>
        <w:t>. Staatssteun</w:t>
      </w:r>
    </w:p>
    <w:bookmarkEnd w:id="0"/>
    <w:p w:rsidRPr="006D621A" w:rsidR="000E3843" w:rsidP="00C8330C" w:rsidRDefault="008A0DEB" w14:paraId="5E0742DA" w14:textId="7F954576">
      <w:pPr>
        <w:spacing w:after="0" w:line="240" w:lineRule="atLeast"/>
        <w:rPr>
          <w:rFonts w:ascii="Verdana" w:hAnsi="Verdana"/>
          <w:sz w:val="18"/>
        </w:rPr>
      </w:pPr>
      <w:r w:rsidRPr="006D621A">
        <w:rPr>
          <w:rFonts w:ascii="Verdana" w:hAnsi="Verdana"/>
          <w:sz w:val="18"/>
          <w:szCs w:val="18"/>
        </w:rPr>
        <w:t>De subsidie op grond van de subsidiemodule IPCEI bevat, met uitzondering van niet-economische activiteiten staatssteun, die</w:t>
      </w:r>
      <w:r w:rsidR="00D473CA">
        <w:rPr>
          <w:rFonts w:ascii="Verdana" w:hAnsi="Verdana"/>
          <w:sz w:val="18"/>
          <w:szCs w:val="18"/>
        </w:rPr>
        <w:t>,</w:t>
      </w:r>
      <w:r w:rsidRPr="006D621A">
        <w:rPr>
          <w:rFonts w:ascii="Verdana" w:hAnsi="Verdana"/>
          <w:sz w:val="18"/>
          <w:szCs w:val="18"/>
        </w:rPr>
        <w:t xml:space="preserve"> afhankelijk v</w:t>
      </w:r>
      <w:r w:rsidRPr="006D621A" w:rsidR="003D5F03">
        <w:rPr>
          <w:rFonts w:ascii="Verdana" w:hAnsi="Verdana"/>
          <w:sz w:val="18"/>
          <w:szCs w:val="18"/>
        </w:rPr>
        <w:t>an</w:t>
      </w:r>
      <w:r w:rsidRPr="006D621A">
        <w:rPr>
          <w:rFonts w:ascii="Verdana" w:hAnsi="Verdana"/>
          <w:sz w:val="18"/>
          <w:szCs w:val="18"/>
        </w:rPr>
        <w:t xml:space="preserve"> het soort </w:t>
      </w:r>
      <w:r w:rsidR="00D473CA">
        <w:rPr>
          <w:rFonts w:ascii="Verdana" w:hAnsi="Verdana"/>
          <w:sz w:val="18"/>
          <w:szCs w:val="18"/>
        </w:rPr>
        <w:t>IPCEI</w:t>
      </w:r>
      <w:r w:rsidRPr="006D621A">
        <w:rPr>
          <w:rFonts w:ascii="Verdana" w:hAnsi="Verdana"/>
          <w:sz w:val="18"/>
          <w:szCs w:val="18"/>
        </w:rPr>
        <w:t xml:space="preserve"> en </w:t>
      </w:r>
      <w:r w:rsidRPr="006D621A" w:rsidR="003D5F03">
        <w:rPr>
          <w:rFonts w:ascii="Verdana" w:hAnsi="Verdana"/>
          <w:sz w:val="18"/>
          <w:szCs w:val="18"/>
        </w:rPr>
        <w:t xml:space="preserve">de </w:t>
      </w:r>
      <w:r w:rsidRPr="006D621A">
        <w:rPr>
          <w:rFonts w:ascii="Verdana" w:hAnsi="Verdana"/>
          <w:sz w:val="18"/>
          <w:szCs w:val="18"/>
        </w:rPr>
        <w:t>betrokken subsidieontvanger</w:t>
      </w:r>
      <w:r w:rsidR="00D473CA">
        <w:rPr>
          <w:rFonts w:ascii="Verdana" w:hAnsi="Verdana"/>
          <w:sz w:val="18"/>
          <w:szCs w:val="18"/>
        </w:rPr>
        <w:t>,</w:t>
      </w:r>
      <w:r w:rsidRPr="006D621A">
        <w:rPr>
          <w:rFonts w:ascii="Verdana" w:hAnsi="Verdana"/>
          <w:sz w:val="18"/>
          <w:szCs w:val="18"/>
        </w:rPr>
        <w:t xml:space="preserve"> wordt gerechtvaardigd door het IPCEI steunkader</w:t>
      </w:r>
      <w:r w:rsidRPr="006D621A" w:rsidR="00A81DDC">
        <w:rPr>
          <w:rStyle w:val="Voetnootmarkering"/>
          <w:rFonts w:ascii="Verdana" w:hAnsi="Verdana"/>
          <w:sz w:val="18"/>
          <w:szCs w:val="18"/>
        </w:rPr>
        <w:footnoteReference w:id="3"/>
      </w:r>
      <w:r w:rsidRPr="006D621A">
        <w:rPr>
          <w:rFonts w:ascii="Verdana" w:hAnsi="Verdana"/>
          <w:sz w:val="18"/>
          <w:szCs w:val="18"/>
        </w:rPr>
        <w:t xml:space="preserve"> of </w:t>
      </w:r>
      <w:r w:rsidR="00D00824">
        <w:rPr>
          <w:rFonts w:ascii="Verdana" w:hAnsi="Verdana"/>
          <w:sz w:val="18"/>
          <w:szCs w:val="18"/>
        </w:rPr>
        <w:t>a</w:t>
      </w:r>
      <w:r w:rsidRPr="006D621A">
        <w:rPr>
          <w:rFonts w:ascii="Verdana" w:hAnsi="Verdana"/>
          <w:sz w:val="18"/>
          <w:szCs w:val="18"/>
        </w:rPr>
        <w:t>lgemene groepsvrijstellingsverordening</w:t>
      </w:r>
      <w:r w:rsidRPr="006D621A" w:rsidR="00477A55">
        <w:rPr>
          <w:rStyle w:val="Voetnootmarkering"/>
          <w:rFonts w:ascii="Verdana" w:hAnsi="Verdana"/>
          <w:sz w:val="18"/>
          <w:szCs w:val="18"/>
        </w:rPr>
        <w:footnoteReference w:id="4"/>
      </w:r>
      <w:r w:rsidRPr="006D621A" w:rsidR="003D5F03">
        <w:rPr>
          <w:rFonts w:ascii="Verdana" w:hAnsi="Verdana"/>
          <w:sz w:val="18"/>
          <w:szCs w:val="18"/>
        </w:rPr>
        <w:t xml:space="preserve"> (zie </w:t>
      </w:r>
      <w:r w:rsidRPr="006D621A" w:rsidR="000E3843">
        <w:rPr>
          <w:rFonts w:ascii="Verdana" w:hAnsi="Verdana"/>
          <w:sz w:val="18"/>
          <w:szCs w:val="18"/>
        </w:rPr>
        <w:t>a</w:t>
      </w:r>
      <w:r w:rsidRPr="006D621A" w:rsidR="000E3843">
        <w:rPr>
          <w:rFonts w:ascii="Verdana" w:hAnsi="Verdana"/>
          <w:sz w:val="18"/>
        </w:rPr>
        <w:t>rtikel 3.27.14 van de RNES).</w:t>
      </w:r>
    </w:p>
    <w:p w:rsidRPr="006D621A" w:rsidR="000E3843" w:rsidP="00C8330C" w:rsidRDefault="000E3843" w14:paraId="3333F89A" w14:textId="77777777">
      <w:pPr>
        <w:spacing w:after="0" w:line="240" w:lineRule="atLeast"/>
        <w:rPr>
          <w:rFonts w:ascii="Verdana" w:hAnsi="Verdana"/>
          <w:sz w:val="18"/>
        </w:rPr>
      </w:pPr>
    </w:p>
    <w:p w:rsidR="008E123C" w:rsidP="008E123C" w:rsidRDefault="008E123C" w14:paraId="4A335E44" w14:textId="6A2E6F28">
      <w:pPr>
        <w:spacing w:after="0" w:line="240" w:lineRule="atLeast"/>
        <w:rPr>
          <w:rFonts w:ascii="Verdana" w:hAnsi="Verdana"/>
          <w:sz w:val="18"/>
          <w:szCs w:val="18"/>
        </w:rPr>
      </w:pPr>
      <w:r>
        <w:rPr>
          <w:rFonts w:ascii="Verdana" w:hAnsi="Verdana"/>
          <w:sz w:val="18"/>
          <w:szCs w:val="18"/>
        </w:rPr>
        <w:t xml:space="preserve">De verlenging van de vervaldatum van de subsidiemodule IPCEI brengt geen verandering in de staatssteunaspecten, omdat de voorwaarden van deze subsidiemodule ongewijzigd blijven. Indien </w:t>
      </w:r>
      <w:r w:rsidRPr="008E123C">
        <w:rPr>
          <w:rFonts w:ascii="Verdana" w:hAnsi="Verdana"/>
          <w:sz w:val="18"/>
          <w:szCs w:val="18"/>
        </w:rPr>
        <w:t xml:space="preserve">binnen de looptijd van de verlengde horizonbepaling van de subsidiemodule IPCEI het toepasselijke Europese staatssteunkader </w:t>
      </w:r>
      <w:r w:rsidR="00D3188D">
        <w:rPr>
          <w:rFonts w:ascii="Verdana" w:hAnsi="Verdana"/>
          <w:sz w:val="18"/>
          <w:szCs w:val="18"/>
        </w:rPr>
        <w:t>wordt</w:t>
      </w:r>
      <w:r w:rsidRPr="008E123C">
        <w:rPr>
          <w:rFonts w:ascii="Verdana" w:hAnsi="Verdana"/>
          <w:sz w:val="18"/>
          <w:szCs w:val="18"/>
        </w:rPr>
        <w:t xml:space="preserve"> gewijzigd, zal de subsidiemodule IPCEI alleen na die datum worden opengesteld, </w:t>
      </w:r>
      <w:r w:rsidR="00374F53">
        <w:rPr>
          <w:rFonts w:ascii="Verdana" w:hAnsi="Verdana"/>
          <w:sz w:val="18"/>
          <w:szCs w:val="18"/>
        </w:rPr>
        <w:t>als</w:t>
      </w:r>
      <w:r w:rsidRPr="008E123C">
        <w:rPr>
          <w:rFonts w:ascii="Verdana" w:hAnsi="Verdana"/>
          <w:sz w:val="18"/>
          <w:szCs w:val="18"/>
        </w:rPr>
        <w:t xml:space="preserve"> hiervoor in het staatssteun</w:t>
      </w:r>
      <w:r w:rsidR="00374F53">
        <w:rPr>
          <w:rFonts w:ascii="Verdana" w:hAnsi="Verdana"/>
          <w:sz w:val="18"/>
          <w:szCs w:val="18"/>
        </w:rPr>
        <w:t>kader</w:t>
      </w:r>
      <w:r w:rsidRPr="008E123C">
        <w:rPr>
          <w:rFonts w:ascii="Verdana" w:hAnsi="Verdana"/>
          <w:sz w:val="18"/>
          <w:szCs w:val="18"/>
        </w:rPr>
        <w:t xml:space="preserve"> een rechtvaardigingsgrond gevonden kan worden. Ook zal de subsidiemodule IPCEI in dat geval hierop worden aangepast door de andere of nieuwe rechtvaardigingsgrond te noemen en, zo nodig, inhoudelijke wijzigingen als gevolg van de nieuwe Europese staatsteunkader aan te brengen.</w:t>
      </w:r>
    </w:p>
    <w:p w:rsidR="008E123C" w:rsidP="008E123C" w:rsidRDefault="008E123C" w14:paraId="7F276BCE" w14:textId="77777777">
      <w:pPr>
        <w:spacing w:after="0" w:line="240" w:lineRule="atLeast"/>
        <w:rPr>
          <w:rFonts w:ascii="Verdana" w:hAnsi="Verdana"/>
          <w:sz w:val="18"/>
          <w:szCs w:val="18"/>
        </w:rPr>
      </w:pPr>
    </w:p>
    <w:p w:rsidRPr="00130E1C" w:rsidR="00A22C35" w:rsidP="00C8330C" w:rsidRDefault="00A22C35" w14:paraId="3133E755" w14:textId="77777777">
      <w:pPr>
        <w:spacing w:after="0" w:line="240" w:lineRule="atLeast"/>
        <w:outlineLvl w:val="0"/>
        <w:rPr>
          <w:rFonts w:ascii="Verdana" w:hAnsi="Verdana"/>
          <w:b/>
          <w:bCs/>
          <w:sz w:val="18"/>
          <w:szCs w:val="18"/>
        </w:rPr>
      </w:pPr>
      <w:r w:rsidRPr="00130E1C">
        <w:rPr>
          <w:rFonts w:ascii="Verdana" w:hAnsi="Verdana"/>
          <w:b/>
          <w:bCs/>
          <w:sz w:val="18"/>
          <w:szCs w:val="18"/>
        </w:rPr>
        <w:t>4. Regeldruk</w:t>
      </w:r>
    </w:p>
    <w:p w:rsidR="00A22C35" w:rsidP="00C8330C" w:rsidRDefault="00A22C35" w14:paraId="2F3E6FE3" w14:textId="2FA4355D">
      <w:pPr>
        <w:spacing w:after="0" w:line="240" w:lineRule="atLeast"/>
        <w:outlineLvl w:val="0"/>
        <w:rPr>
          <w:rFonts w:ascii="Verdana" w:hAnsi="Verdana"/>
          <w:sz w:val="18"/>
          <w:szCs w:val="18"/>
        </w:rPr>
      </w:pPr>
      <w:r w:rsidRPr="006D621A">
        <w:rPr>
          <w:rFonts w:ascii="Verdana" w:hAnsi="Verdana"/>
          <w:sz w:val="18"/>
          <w:szCs w:val="18"/>
        </w:rPr>
        <w:t xml:space="preserve">De wijziging van de vervaltermijn leidt niet tot wijziging van informatieverplichtingen; inhoudelijk verandert de </w:t>
      </w:r>
      <w:r w:rsidRPr="006D621A" w:rsidR="008A0DEB">
        <w:rPr>
          <w:rFonts w:ascii="Verdana" w:hAnsi="Verdana"/>
          <w:sz w:val="18"/>
          <w:szCs w:val="18"/>
        </w:rPr>
        <w:t>subsidie</w:t>
      </w:r>
      <w:r w:rsidRPr="006D621A">
        <w:rPr>
          <w:rFonts w:ascii="Verdana" w:hAnsi="Verdana"/>
          <w:sz w:val="18"/>
          <w:szCs w:val="18"/>
        </w:rPr>
        <w:t xml:space="preserve">module </w:t>
      </w:r>
      <w:r w:rsidRPr="006D621A" w:rsidR="008A0DEB">
        <w:rPr>
          <w:rFonts w:ascii="Verdana" w:hAnsi="Verdana"/>
          <w:sz w:val="18"/>
          <w:szCs w:val="18"/>
        </w:rPr>
        <w:t xml:space="preserve">IPCEI </w:t>
      </w:r>
      <w:r w:rsidRPr="006D621A">
        <w:rPr>
          <w:rFonts w:ascii="Verdana" w:hAnsi="Verdana"/>
          <w:sz w:val="18"/>
          <w:szCs w:val="18"/>
        </w:rPr>
        <w:t>niet. Derhalve leidt deze wijziging ook niet tot een toe- of afname van de regeldruk bij de gebruikers van de subsidiemodule IPCEI.</w:t>
      </w:r>
    </w:p>
    <w:p w:rsidRPr="006D621A" w:rsidR="00BB669D" w:rsidP="00C8330C" w:rsidRDefault="00BB669D" w14:paraId="124E8B57" w14:textId="77777777">
      <w:pPr>
        <w:spacing w:after="0" w:line="240" w:lineRule="atLeast"/>
        <w:outlineLvl w:val="0"/>
        <w:rPr>
          <w:rFonts w:ascii="Verdana" w:hAnsi="Verdana"/>
          <w:sz w:val="18"/>
          <w:szCs w:val="18"/>
        </w:rPr>
      </w:pPr>
    </w:p>
    <w:p w:rsidRPr="00BB669D" w:rsidR="001A3102" w:rsidP="00C8330C" w:rsidRDefault="008A0DEB" w14:paraId="6039F5E0" w14:textId="4EA13238">
      <w:pPr>
        <w:spacing w:after="0" w:line="240" w:lineRule="atLeast"/>
        <w:rPr>
          <w:rFonts w:ascii="Verdana" w:hAnsi="Verdana" w:eastAsia="Verdana" w:cs="Verdana"/>
          <w:b/>
          <w:sz w:val="18"/>
          <w:szCs w:val="18"/>
          <w:lang w:eastAsia="zh-CN" w:bidi="hi-IN"/>
        </w:rPr>
      </w:pPr>
      <w:r w:rsidRPr="00130E1C">
        <w:rPr>
          <w:rFonts w:ascii="Verdana" w:hAnsi="Verdana"/>
          <w:b/>
          <w:sz w:val="18"/>
        </w:rPr>
        <w:t>5</w:t>
      </w:r>
      <w:r w:rsidRPr="00130E1C" w:rsidR="001A3102">
        <w:rPr>
          <w:rFonts w:ascii="Verdana" w:hAnsi="Verdana"/>
          <w:b/>
          <w:sz w:val="18"/>
        </w:rPr>
        <w:t>. Inwerkingtreding</w:t>
      </w:r>
    </w:p>
    <w:p w:rsidR="00F60F30" w:rsidP="009D2237" w:rsidRDefault="001A3102" w14:paraId="418B2792" w14:textId="0D827689">
      <w:pPr>
        <w:spacing w:after="0" w:line="240" w:lineRule="atLeast"/>
        <w:rPr>
          <w:rStyle w:val="Voetnoottekens"/>
          <w:rFonts w:ascii="Verdana" w:hAnsi="Verdana"/>
          <w:sz w:val="18"/>
          <w:szCs w:val="18"/>
        </w:rPr>
      </w:pPr>
      <w:r w:rsidRPr="006D621A">
        <w:rPr>
          <w:rFonts w:ascii="Verdana" w:hAnsi="Verdana"/>
          <w:sz w:val="18"/>
          <w:szCs w:val="18"/>
        </w:rPr>
        <w:t xml:space="preserve">Deze regeling treedt in werking met ingang van </w:t>
      </w:r>
      <w:r w:rsidRPr="006D621A" w:rsidR="00DB420A">
        <w:rPr>
          <w:rFonts w:ascii="Verdana" w:hAnsi="Verdana"/>
          <w:sz w:val="18"/>
          <w:szCs w:val="18"/>
        </w:rPr>
        <w:t>22 december 2026</w:t>
      </w:r>
      <w:r w:rsidR="000F001E">
        <w:rPr>
          <w:rFonts w:ascii="Verdana" w:hAnsi="Verdana"/>
          <w:sz w:val="18"/>
          <w:szCs w:val="18"/>
        </w:rPr>
        <w:t>,</w:t>
      </w:r>
      <w:r w:rsidRPr="000F001E" w:rsidR="000F001E">
        <w:rPr>
          <w:rStyle w:val="Voetnoottekens"/>
          <w:rFonts w:ascii="Verdana" w:hAnsi="Verdana"/>
          <w:sz w:val="18"/>
          <w:szCs w:val="18"/>
        </w:rPr>
        <w:t xml:space="preserve"> </w:t>
      </w:r>
      <w:r w:rsidR="000F001E">
        <w:rPr>
          <w:rStyle w:val="Voetnoottekens"/>
          <w:rFonts w:ascii="Verdana" w:hAnsi="Verdana"/>
          <w:sz w:val="18"/>
          <w:szCs w:val="18"/>
        </w:rPr>
        <w:t>één dag voor de datum waarop de subsidiemodule IPCEI zou vervallen</w:t>
      </w:r>
      <w:r w:rsidRPr="006D621A">
        <w:rPr>
          <w:rFonts w:ascii="Verdana" w:hAnsi="Verdana"/>
          <w:sz w:val="18"/>
          <w:szCs w:val="18"/>
        </w:rPr>
        <w:t xml:space="preserve">. </w:t>
      </w:r>
      <w:r w:rsidRPr="006D621A">
        <w:rPr>
          <w:rStyle w:val="Voetnoottekens"/>
          <w:rFonts w:ascii="Verdana" w:hAnsi="Verdana"/>
          <w:sz w:val="18"/>
          <w:szCs w:val="18"/>
        </w:rPr>
        <w:t xml:space="preserve">Met deze datum wordt </w:t>
      </w:r>
      <w:r w:rsidR="00D00824">
        <w:rPr>
          <w:rStyle w:val="Voetnoottekens"/>
          <w:rFonts w:ascii="Verdana" w:hAnsi="Verdana"/>
          <w:sz w:val="18"/>
          <w:szCs w:val="18"/>
        </w:rPr>
        <w:t>deels afgeweken van</w:t>
      </w:r>
      <w:r w:rsidR="00F60F30">
        <w:rPr>
          <w:rStyle w:val="Voetnoottekens"/>
          <w:rFonts w:ascii="Verdana" w:hAnsi="Verdana"/>
          <w:sz w:val="18"/>
          <w:szCs w:val="18"/>
        </w:rPr>
        <w:t xml:space="preserve"> </w:t>
      </w:r>
      <w:r w:rsidRPr="006D621A" w:rsidR="00D00824">
        <w:rPr>
          <w:rStyle w:val="Voetnoottekens"/>
          <w:rFonts w:ascii="Verdana" w:hAnsi="Verdana"/>
          <w:sz w:val="18"/>
          <w:szCs w:val="18"/>
        </w:rPr>
        <w:t>de systematiek van de vaste verandermomenten, inhoudende dat ministeriële regelingen met ingang van de eerste dag van elk kwartaal in werking treden</w:t>
      </w:r>
      <w:r w:rsidR="00D00824">
        <w:rPr>
          <w:rStyle w:val="Voetnoottekens"/>
          <w:rFonts w:ascii="Verdana" w:hAnsi="Verdana"/>
          <w:sz w:val="18"/>
          <w:szCs w:val="18"/>
        </w:rPr>
        <w:t xml:space="preserve"> en</w:t>
      </w:r>
      <w:r w:rsidR="00F60F30">
        <w:rPr>
          <w:rStyle w:val="Voetnoottekens"/>
          <w:rFonts w:ascii="Verdana" w:hAnsi="Verdana"/>
          <w:sz w:val="18"/>
          <w:szCs w:val="18"/>
        </w:rPr>
        <w:t xml:space="preserve"> twee maanden voor inwerkingtreding bekend moeten worden gemaakt. </w:t>
      </w:r>
      <w:r w:rsidR="002C765C">
        <w:rPr>
          <w:rStyle w:val="Voetnoottekens"/>
          <w:rFonts w:ascii="Verdana" w:hAnsi="Verdana"/>
          <w:sz w:val="18"/>
          <w:szCs w:val="18"/>
        </w:rPr>
        <w:t>D</w:t>
      </w:r>
      <w:r w:rsidR="00664531">
        <w:rPr>
          <w:rStyle w:val="Voetnoottekens"/>
          <w:rFonts w:ascii="Verdana" w:hAnsi="Verdana"/>
          <w:sz w:val="18"/>
          <w:szCs w:val="18"/>
        </w:rPr>
        <w:t>it</w:t>
      </w:r>
      <w:r w:rsidR="008474B3">
        <w:rPr>
          <w:rStyle w:val="Voetnoottekens"/>
          <w:rFonts w:ascii="Verdana" w:hAnsi="Verdana"/>
          <w:sz w:val="18"/>
          <w:szCs w:val="18"/>
        </w:rPr>
        <w:t xml:space="preserve"> wordt gerechtvaardigd door het feit dat de </w:t>
      </w:r>
      <w:r w:rsidR="002C765C">
        <w:rPr>
          <w:rStyle w:val="Voetnoottekens"/>
          <w:rFonts w:ascii="Verdana" w:hAnsi="Verdana"/>
          <w:sz w:val="18"/>
          <w:szCs w:val="18"/>
        </w:rPr>
        <w:t>doelgroep van deze regeling gebaat</w:t>
      </w:r>
      <w:r w:rsidR="008474B3">
        <w:rPr>
          <w:rStyle w:val="Voetnoottekens"/>
          <w:rFonts w:ascii="Verdana" w:hAnsi="Verdana"/>
          <w:sz w:val="18"/>
          <w:szCs w:val="18"/>
        </w:rPr>
        <w:t xml:space="preserve"> is</w:t>
      </w:r>
      <w:r w:rsidR="00664531">
        <w:rPr>
          <w:rStyle w:val="Voetnoottekens"/>
          <w:rFonts w:ascii="Verdana" w:hAnsi="Verdana"/>
          <w:sz w:val="18"/>
          <w:szCs w:val="18"/>
        </w:rPr>
        <w:t xml:space="preserve"> </w:t>
      </w:r>
      <w:r w:rsidR="00374F53">
        <w:rPr>
          <w:rStyle w:val="Voetnoottekens"/>
          <w:rFonts w:ascii="Verdana" w:hAnsi="Verdana"/>
          <w:sz w:val="18"/>
          <w:szCs w:val="18"/>
        </w:rPr>
        <w:t>met</w:t>
      </w:r>
      <w:r w:rsidR="00664531">
        <w:rPr>
          <w:rStyle w:val="Voetnoottekens"/>
          <w:rFonts w:ascii="Verdana" w:hAnsi="Verdana"/>
          <w:sz w:val="18"/>
          <w:szCs w:val="18"/>
        </w:rPr>
        <w:t xml:space="preserve"> de afwijkende inwerkingtredingsdatum</w:t>
      </w:r>
      <w:r w:rsidR="002C765C">
        <w:rPr>
          <w:rStyle w:val="Voetnoottekens"/>
          <w:rFonts w:ascii="Verdana" w:hAnsi="Verdana"/>
          <w:sz w:val="18"/>
          <w:szCs w:val="18"/>
        </w:rPr>
        <w:t xml:space="preserve">. </w:t>
      </w:r>
    </w:p>
    <w:p w:rsidR="00F60F30" w:rsidP="009D2237" w:rsidRDefault="00F60F30" w14:paraId="03F83030" w14:textId="23DF1DE9">
      <w:pPr>
        <w:spacing w:after="0" w:line="240" w:lineRule="atLeast"/>
        <w:rPr>
          <w:rStyle w:val="Voetnoottekens"/>
          <w:rFonts w:ascii="Verdana" w:hAnsi="Verdana"/>
          <w:sz w:val="18"/>
          <w:szCs w:val="18"/>
        </w:rPr>
      </w:pPr>
      <w:r>
        <w:rPr>
          <w:rStyle w:val="Voetnoottekens"/>
          <w:rFonts w:ascii="Verdana" w:hAnsi="Verdana"/>
          <w:sz w:val="18"/>
          <w:szCs w:val="18"/>
        </w:rPr>
        <w:t xml:space="preserve"> </w:t>
      </w:r>
    </w:p>
    <w:p w:rsidRPr="006D621A" w:rsidR="00FC3CB6" w:rsidP="009D2237" w:rsidRDefault="001A3102" w14:paraId="562D334E" w14:textId="4069C92F">
      <w:pPr>
        <w:pStyle w:val="LO-normal"/>
        <w:spacing w:line="240" w:lineRule="atLeast"/>
      </w:pPr>
      <w:r w:rsidRPr="006D621A">
        <w:rPr>
          <w:rStyle w:val="Voetnoottekens"/>
        </w:rPr>
        <w:t xml:space="preserve">De Minister </w:t>
      </w:r>
      <w:r w:rsidRPr="006D621A" w:rsidR="00DB420A">
        <w:rPr>
          <w:rStyle w:val="Voetnoottekens"/>
        </w:rPr>
        <w:t>van Economische Zaken en</w:t>
      </w:r>
      <w:r w:rsidRPr="006D621A">
        <w:rPr>
          <w:rStyle w:val="Voetnoottekens"/>
        </w:rPr>
        <w:t xml:space="preserve"> Klimaat,</w:t>
      </w:r>
    </w:p>
    <w:sectPr w:rsidRPr="006D621A" w:rsidR="00FC3CB6" w:rsidSect="00F41519">
      <w:footerReference w:type="default" r:id="rId7"/>
      <w:pgSz w:w="11906" w:h="16838"/>
      <w:pgMar w:top="1417" w:right="1417" w:bottom="1134" w:left="1417" w:header="708" w:footer="47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78C4B" w14:textId="77777777" w:rsidR="00AA7F80" w:rsidRDefault="00AA7F80" w:rsidP="001A3102">
      <w:pPr>
        <w:spacing w:after="0" w:line="240" w:lineRule="auto"/>
      </w:pPr>
      <w:r>
        <w:separator/>
      </w:r>
    </w:p>
  </w:endnote>
  <w:endnote w:type="continuationSeparator" w:id="0">
    <w:p w14:paraId="6A79F38D" w14:textId="77777777" w:rsidR="00AA7F80" w:rsidRDefault="00AA7F80" w:rsidP="001A3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1A3102" w14:paraId="76FC5C72" w14:textId="77777777" w:rsidTr="0037556B">
      <w:trPr>
        <w:trHeight w:hRule="exact" w:val="240"/>
      </w:trPr>
      <w:tc>
        <w:tcPr>
          <w:tcW w:w="7601" w:type="dxa"/>
        </w:tcPr>
        <w:p w14:paraId="39C50B47" w14:textId="6E7E2DDA" w:rsidR="001A3102" w:rsidRDefault="001A3102" w:rsidP="0037556B">
          <w:pPr>
            <w:pStyle w:val="Huisstijl-Rubricering"/>
          </w:pPr>
        </w:p>
      </w:tc>
      <w:tc>
        <w:tcPr>
          <w:tcW w:w="2170" w:type="dxa"/>
        </w:tcPr>
        <w:p w14:paraId="574E6EC5" w14:textId="741DE23C" w:rsidR="001A3102" w:rsidRPr="00CB7ABA" w:rsidRDefault="001A3102" w:rsidP="0037556B">
          <w:pPr>
            <w:pStyle w:val="Huisstijl-Paginanummering"/>
          </w:pPr>
          <w:r w:rsidRPr="00CB7ABA">
            <w:t xml:space="preserve">Pagina </w:t>
          </w:r>
          <w:r w:rsidRPr="00CB7ABA">
            <w:fldChar w:fldCharType="begin"/>
          </w:r>
          <w:r w:rsidRPr="00CB7ABA">
            <w:instrText xml:space="preserve"> PAGE   \* MERGEFORMAT </w:instrText>
          </w:r>
          <w:r w:rsidRPr="00CB7ABA">
            <w:fldChar w:fldCharType="separate"/>
          </w:r>
          <w:r>
            <w:t>1</w:t>
          </w:r>
          <w:r w:rsidRPr="00CB7ABA">
            <w:fldChar w:fldCharType="end"/>
          </w:r>
          <w:r w:rsidRPr="00CB7ABA">
            <w:t xml:space="preserve"> van</w:t>
          </w:r>
          <w:r w:rsidRPr="00CB7ABA">
            <w:rPr>
              <w:rStyle w:val="Huisstijl-GegevenCharChar"/>
            </w:rPr>
            <w:t xml:space="preserve"> </w:t>
          </w:r>
          <w:fldSimple w:instr=" SECTIONPAGES   \* MERGEFORMAT ">
            <w:r w:rsidR="009D7D44">
              <w:t>3</w:t>
            </w:r>
          </w:fldSimple>
        </w:p>
      </w:tc>
    </w:tr>
  </w:tbl>
  <w:p w14:paraId="4A737C4C" w14:textId="77777777" w:rsidR="001A3102" w:rsidRPr="0037556B" w:rsidRDefault="001A3102">
    <w:pPr>
      <w:pStyle w:val="Voetteks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CA133" w14:textId="77777777" w:rsidR="00AA7F80" w:rsidRDefault="00AA7F80" w:rsidP="001A3102">
      <w:pPr>
        <w:spacing w:after="0" w:line="240" w:lineRule="auto"/>
      </w:pPr>
      <w:r>
        <w:separator/>
      </w:r>
    </w:p>
  </w:footnote>
  <w:footnote w:type="continuationSeparator" w:id="0">
    <w:p w14:paraId="304EF06E" w14:textId="77777777" w:rsidR="00AA7F80" w:rsidRDefault="00AA7F80" w:rsidP="001A3102">
      <w:pPr>
        <w:spacing w:after="0" w:line="240" w:lineRule="auto"/>
      </w:pPr>
      <w:r>
        <w:continuationSeparator/>
      </w:r>
    </w:p>
  </w:footnote>
  <w:footnote w:id="1">
    <w:p w14:paraId="04EB1F6A" w14:textId="23144CDF" w:rsidR="00D825D8" w:rsidRPr="0065145D" w:rsidRDefault="00D825D8">
      <w:pPr>
        <w:pStyle w:val="Voetnoottekst"/>
        <w:rPr>
          <w:rFonts w:ascii="Verdana" w:hAnsi="Verdana"/>
          <w:sz w:val="13"/>
          <w:szCs w:val="13"/>
        </w:rPr>
      </w:pPr>
      <w:r w:rsidRPr="0065145D">
        <w:rPr>
          <w:rStyle w:val="Voetnootmarkering"/>
          <w:rFonts w:ascii="Verdana" w:hAnsi="Verdana"/>
          <w:sz w:val="13"/>
          <w:szCs w:val="13"/>
        </w:rPr>
        <w:footnoteRef/>
      </w:r>
      <w:r w:rsidRPr="0065145D">
        <w:rPr>
          <w:rFonts w:ascii="Verdana" w:hAnsi="Verdana"/>
          <w:sz w:val="13"/>
          <w:szCs w:val="13"/>
        </w:rPr>
        <w:t xml:space="preserve"> </w:t>
      </w:r>
      <w:r w:rsidRPr="0065145D">
        <w:rPr>
          <w:rFonts w:ascii="Verdana" w:hAnsi="Verdana" w:cs="Arial"/>
          <w:sz w:val="13"/>
          <w:szCs w:val="13"/>
        </w:rPr>
        <w:t>Mededeling van de Commissie betreffende criteria voor de beoordeling van de verenigbaarheid met de interne markt van staatssteun ter bevordering van de verwezenlijking van belangrijke projecten van gemeenschappelijk Europees belang, PBEU 2021 C 528/02.</w:t>
      </w:r>
    </w:p>
  </w:footnote>
  <w:footnote w:id="2">
    <w:p w14:paraId="0E275DA7" w14:textId="77777777" w:rsidR="00D91FEE" w:rsidRPr="0065145D" w:rsidRDefault="00D91FEE" w:rsidP="00D91FEE">
      <w:pPr>
        <w:rPr>
          <w:rFonts w:ascii="Verdana" w:hAnsi="Verdana"/>
          <w:sz w:val="13"/>
          <w:szCs w:val="13"/>
        </w:rPr>
      </w:pPr>
      <w:r w:rsidRPr="0065145D">
        <w:rPr>
          <w:rStyle w:val="Voetnootmarkering"/>
          <w:rFonts w:ascii="Verdana" w:hAnsi="Verdana"/>
          <w:sz w:val="13"/>
          <w:szCs w:val="13"/>
        </w:rPr>
        <w:footnoteRef/>
      </w:r>
      <w:r w:rsidRPr="0065145D">
        <w:rPr>
          <w:rFonts w:ascii="Verdana" w:hAnsi="Verdana"/>
          <w:sz w:val="13"/>
          <w:szCs w:val="13"/>
        </w:rPr>
        <w:t xml:space="preserve"> Regeling van de Minister van Economische Zaken en Klimaat van 16 december 2021, nr. WJZ/ 21303634, tot wijziging van de Regeling Nationale EZK- en LNV-subsidies en de Regeling openstelling EZK- en LNV-subsidies 2021 in verband met de invoering van de subsidiemodule Important </w:t>
      </w:r>
      <w:proofErr w:type="spellStart"/>
      <w:r w:rsidRPr="0065145D">
        <w:rPr>
          <w:rFonts w:ascii="Verdana" w:hAnsi="Verdana"/>
          <w:sz w:val="13"/>
          <w:szCs w:val="13"/>
        </w:rPr>
        <w:t>Projects</w:t>
      </w:r>
      <w:proofErr w:type="spellEnd"/>
      <w:r w:rsidRPr="0065145D">
        <w:rPr>
          <w:rFonts w:ascii="Verdana" w:hAnsi="Verdana"/>
          <w:sz w:val="13"/>
          <w:szCs w:val="13"/>
        </w:rPr>
        <w:t xml:space="preserve"> of Common European Interest (IPCEI) (</w:t>
      </w:r>
      <w:proofErr w:type="spellStart"/>
      <w:r w:rsidRPr="0065145D">
        <w:rPr>
          <w:rFonts w:ascii="Verdana" w:hAnsi="Verdana"/>
          <w:sz w:val="13"/>
          <w:szCs w:val="13"/>
        </w:rPr>
        <w:t>Stcrt</w:t>
      </w:r>
      <w:proofErr w:type="spellEnd"/>
      <w:r w:rsidRPr="0065145D">
        <w:rPr>
          <w:rFonts w:ascii="Verdana" w:hAnsi="Verdana"/>
          <w:sz w:val="13"/>
          <w:szCs w:val="13"/>
        </w:rPr>
        <w:t>. 2021, 50262).</w:t>
      </w:r>
    </w:p>
    <w:p w14:paraId="17407E47" w14:textId="77777777" w:rsidR="00D91FEE" w:rsidRPr="0065145D" w:rsidRDefault="00D91FEE" w:rsidP="00D91FEE">
      <w:pPr>
        <w:pStyle w:val="Voetnoottekst"/>
        <w:rPr>
          <w:sz w:val="13"/>
          <w:szCs w:val="13"/>
        </w:rPr>
      </w:pPr>
    </w:p>
  </w:footnote>
  <w:footnote w:id="3">
    <w:p w14:paraId="33BE01AD" w14:textId="20E2A00D" w:rsidR="00A81DDC" w:rsidRPr="0065145D" w:rsidRDefault="00A81DDC">
      <w:pPr>
        <w:pStyle w:val="Voetnoottekst"/>
        <w:rPr>
          <w:rFonts w:ascii="Verdana" w:hAnsi="Verdana"/>
          <w:sz w:val="13"/>
          <w:szCs w:val="13"/>
        </w:rPr>
      </w:pPr>
      <w:r w:rsidRPr="0065145D">
        <w:rPr>
          <w:rStyle w:val="Voetnootmarkering"/>
          <w:rFonts w:ascii="Verdana" w:hAnsi="Verdana"/>
          <w:sz w:val="13"/>
          <w:szCs w:val="13"/>
        </w:rPr>
        <w:footnoteRef/>
      </w:r>
      <w:r w:rsidRPr="0065145D">
        <w:rPr>
          <w:rFonts w:ascii="Verdana" w:hAnsi="Verdana"/>
          <w:sz w:val="13"/>
          <w:szCs w:val="13"/>
        </w:rPr>
        <w:t xml:space="preserve"> </w:t>
      </w:r>
      <w:r w:rsidRPr="0065145D">
        <w:rPr>
          <w:rFonts w:ascii="Verdana" w:hAnsi="Verdana" w:cs="Arial"/>
          <w:sz w:val="13"/>
          <w:szCs w:val="13"/>
        </w:rPr>
        <w:t>Mededeling van de Commissie betreffende criteria voor de beoordeling van de verenigbaarheid met de interne markt van staatssteun ter bevordering van de verwezenlijking van belangrijke projecten van gemeenschappelijk Europees belang, PBEU 2021 C 528/02.</w:t>
      </w:r>
    </w:p>
  </w:footnote>
  <w:footnote w:id="4">
    <w:p w14:paraId="3E15DE90" w14:textId="068FB58C" w:rsidR="00477A55" w:rsidRPr="0065145D" w:rsidRDefault="00477A55" w:rsidP="00477A55">
      <w:pPr>
        <w:pStyle w:val="LO-normal"/>
        <w:widowControl w:val="0"/>
        <w:autoSpaceDE w:val="0"/>
        <w:autoSpaceDN w:val="0"/>
        <w:adjustRightInd w:val="0"/>
        <w:rPr>
          <w:rFonts w:cs="Arial"/>
          <w:sz w:val="13"/>
          <w:szCs w:val="13"/>
        </w:rPr>
      </w:pPr>
      <w:r w:rsidRPr="0065145D">
        <w:rPr>
          <w:rStyle w:val="Voetnootmarkering"/>
          <w:sz w:val="13"/>
          <w:szCs w:val="13"/>
        </w:rPr>
        <w:footnoteRef/>
      </w:r>
      <w:r w:rsidRPr="0065145D">
        <w:rPr>
          <w:sz w:val="13"/>
          <w:szCs w:val="13"/>
        </w:rPr>
        <w:t xml:space="preserve"> </w:t>
      </w:r>
      <w:r w:rsidRPr="0065145D">
        <w:rPr>
          <w:rFonts w:cs="Arial"/>
          <w:sz w:val="13"/>
          <w:szCs w:val="13"/>
        </w:rPr>
        <w:t>verordening (EU) nr. 651/2014 van de Commissie van 17 juni 2014 waarbij bepaalde categorieën steun op grond van de artikelen 107 en 108 van het Verdrag met de interne markt verenigbaar worden verklaard (</w:t>
      </w:r>
      <w:proofErr w:type="spellStart"/>
      <w:r w:rsidRPr="0065145D">
        <w:rPr>
          <w:rFonts w:cs="Arial"/>
          <w:sz w:val="13"/>
          <w:szCs w:val="13"/>
        </w:rPr>
        <w:t>PbEU</w:t>
      </w:r>
      <w:proofErr w:type="spellEnd"/>
      <w:r w:rsidRPr="0065145D">
        <w:rPr>
          <w:rFonts w:cs="Arial"/>
          <w:sz w:val="13"/>
          <w:szCs w:val="13"/>
        </w:rPr>
        <w:t xml:space="preserve"> 2014, L 187).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E1A"/>
    <w:multiLevelType w:val="hybridMultilevel"/>
    <w:tmpl w:val="BA32B09E"/>
    <w:lvl w:ilvl="0" w:tplc="631CB2C4">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82E4AA7"/>
    <w:multiLevelType w:val="hybridMultilevel"/>
    <w:tmpl w:val="6E3EDF70"/>
    <w:lvl w:ilvl="0" w:tplc="E97848CE">
      <w:start w:val="8"/>
      <w:numFmt w:val="bullet"/>
      <w:lvlText w:val=""/>
      <w:lvlJc w:val="left"/>
      <w:pPr>
        <w:ind w:left="708" w:hanging="360"/>
      </w:pPr>
      <w:rPr>
        <w:rFonts w:ascii="Wingdings" w:eastAsia="Aptos" w:hAnsi="Wingdings" w:cs="Times New Roman" w:hint="default"/>
      </w:rPr>
    </w:lvl>
    <w:lvl w:ilvl="1" w:tplc="04130003">
      <w:start w:val="1"/>
      <w:numFmt w:val="bullet"/>
      <w:lvlText w:val="o"/>
      <w:lvlJc w:val="left"/>
      <w:pPr>
        <w:ind w:left="1428" w:hanging="360"/>
      </w:pPr>
      <w:rPr>
        <w:rFonts w:ascii="Courier New" w:hAnsi="Courier New" w:cs="Courier New" w:hint="default"/>
      </w:rPr>
    </w:lvl>
    <w:lvl w:ilvl="2" w:tplc="04130005">
      <w:start w:val="1"/>
      <w:numFmt w:val="bullet"/>
      <w:lvlText w:val=""/>
      <w:lvlJc w:val="left"/>
      <w:pPr>
        <w:ind w:left="2148" w:hanging="360"/>
      </w:pPr>
      <w:rPr>
        <w:rFonts w:ascii="Wingdings" w:hAnsi="Wingdings" w:hint="default"/>
      </w:rPr>
    </w:lvl>
    <w:lvl w:ilvl="3" w:tplc="04130001">
      <w:start w:val="1"/>
      <w:numFmt w:val="bullet"/>
      <w:lvlText w:val=""/>
      <w:lvlJc w:val="left"/>
      <w:pPr>
        <w:ind w:left="2868" w:hanging="360"/>
      </w:pPr>
      <w:rPr>
        <w:rFonts w:ascii="Symbol" w:hAnsi="Symbol" w:hint="default"/>
      </w:rPr>
    </w:lvl>
    <w:lvl w:ilvl="4" w:tplc="04130003">
      <w:start w:val="1"/>
      <w:numFmt w:val="bullet"/>
      <w:lvlText w:val="o"/>
      <w:lvlJc w:val="left"/>
      <w:pPr>
        <w:ind w:left="3588" w:hanging="360"/>
      </w:pPr>
      <w:rPr>
        <w:rFonts w:ascii="Courier New" w:hAnsi="Courier New" w:cs="Courier New" w:hint="default"/>
      </w:rPr>
    </w:lvl>
    <w:lvl w:ilvl="5" w:tplc="04130005">
      <w:start w:val="1"/>
      <w:numFmt w:val="bullet"/>
      <w:lvlText w:val=""/>
      <w:lvlJc w:val="left"/>
      <w:pPr>
        <w:ind w:left="4308" w:hanging="360"/>
      </w:pPr>
      <w:rPr>
        <w:rFonts w:ascii="Wingdings" w:hAnsi="Wingdings" w:hint="default"/>
      </w:rPr>
    </w:lvl>
    <w:lvl w:ilvl="6" w:tplc="04130001">
      <w:start w:val="1"/>
      <w:numFmt w:val="bullet"/>
      <w:lvlText w:val=""/>
      <w:lvlJc w:val="left"/>
      <w:pPr>
        <w:ind w:left="5028" w:hanging="360"/>
      </w:pPr>
      <w:rPr>
        <w:rFonts w:ascii="Symbol" w:hAnsi="Symbol" w:hint="default"/>
      </w:rPr>
    </w:lvl>
    <w:lvl w:ilvl="7" w:tplc="04130003">
      <w:start w:val="1"/>
      <w:numFmt w:val="bullet"/>
      <w:lvlText w:val="o"/>
      <w:lvlJc w:val="left"/>
      <w:pPr>
        <w:ind w:left="5748" w:hanging="360"/>
      </w:pPr>
      <w:rPr>
        <w:rFonts w:ascii="Courier New" w:hAnsi="Courier New" w:cs="Courier New" w:hint="default"/>
      </w:rPr>
    </w:lvl>
    <w:lvl w:ilvl="8" w:tplc="04130005">
      <w:start w:val="1"/>
      <w:numFmt w:val="bullet"/>
      <w:lvlText w:val=""/>
      <w:lvlJc w:val="left"/>
      <w:pPr>
        <w:ind w:left="6468" w:hanging="360"/>
      </w:pPr>
      <w:rPr>
        <w:rFonts w:ascii="Wingdings" w:hAnsi="Wingdings" w:hint="default"/>
      </w:rPr>
    </w:lvl>
  </w:abstractNum>
  <w:abstractNum w:abstractNumId="2" w15:restartNumberingAfterBreak="0">
    <w:nsid w:val="3358035B"/>
    <w:multiLevelType w:val="hybridMultilevel"/>
    <w:tmpl w:val="3970F5A4"/>
    <w:lvl w:ilvl="0" w:tplc="DE74B166">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96E57C8"/>
    <w:multiLevelType w:val="hybridMultilevel"/>
    <w:tmpl w:val="29C494C2"/>
    <w:lvl w:ilvl="0" w:tplc="9F006230">
      <w:start w:val="16"/>
      <w:numFmt w:val="bullet"/>
      <w:lvlText w:val="-"/>
      <w:lvlJc w:val="left"/>
      <w:pPr>
        <w:ind w:left="720" w:hanging="360"/>
      </w:pPr>
      <w:rPr>
        <w:rFonts w:ascii="Verdana" w:eastAsia="Aptos"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4A56069E"/>
    <w:multiLevelType w:val="hybridMultilevel"/>
    <w:tmpl w:val="5D98F906"/>
    <w:lvl w:ilvl="0" w:tplc="F88CDD32">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2A51BD5"/>
    <w:multiLevelType w:val="hybridMultilevel"/>
    <w:tmpl w:val="B09CC8A4"/>
    <w:lvl w:ilvl="0" w:tplc="C15A25FC">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A03542F"/>
    <w:multiLevelType w:val="hybridMultilevel"/>
    <w:tmpl w:val="C930CE0E"/>
    <w:lvl w:ilvl="0" w:tplc="CB948A58">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0C04CD5"/>
    <w:multiLevelType w:val="hybridMultilevel"/>
    <w:tmpl w:val="194AB5C4"/>
    <w:lvl w:ilvl="0" w:tplc="425899EA">
      <w:start w:val="11"/>
      <w:numFmt w:val="bullet"/>
      <w:lvlText w:val="-"/>
      <w:lvlJc w:val="left"/>
      <w:pPr>
        <w:ind w:left="720" w:hanging="360"/>
      </w:pPr>
      <w:rPr>
        <w:rFonts w:ascii="Verdana" w:eastAsia="Aptos"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894239106">
    <w:abstractNumId w:val="7"/>
  </w:num>
  <w:num w:numId="2" w16cid:durableId="1249575641">
    <w:abstractNumId w:val="1"/>
  </w:num>
  <w:num w:numId="3" w16cid:durableId="2044940800">
    <w:abstractNumId w:val="3"/>
  </w:num>
  <w:num w:numId="4" w16cid:durableId="538398291">
    <w:abstractNumId w:val="4"/>
  </w:num>
  <w:num w:numId="5" w16cid:durableId="715814828">
    <w:abstractNumId w:val="5"/>
  </w:num>
  <w:num w:numId="6" w16cid:durableId="1104417130">
    <w:abstractNumId w:val="0"/>
  </w:num>
  <w:num w:numId="7" w16cid:durableId="577634355">
    <w:abstractNumId w:val="6"/>
  </w:num>
  <w:num w:numId="8" w16cid:durableId="5252130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102"/>
    <w:rsid w:val="00007091"/>
    <w:rsid w:val="000327A4"/>
    <w:rsid w:val="00040056"/>
    <w:rsid w:val="000A2712"/>
    <w:rsid w:val="000B73CC"/>
    <w:rsid w:val="000D4712"/>
    <w:rsid w:val="000E3843"/>
    <w:rsid w:val="000E4BC0"/>
    <w:rsid w:val="000F001E"/>
    <w:rsid w:val="000F2AD5"/>
    <w:rsid w:val="00103957"/>
    <w:rsid w:val="00106569"/>
    <w:rsid w:val="001134F1"/>
    <w:rsid w:val="00130E1C"/>
    <w:rsid w:val="00143510"/>
    <w:rsid w:val="00143A79"/>
    <w:rsid w:val="00162FAF"/>
    <w:rsid w:val="001665DA"/>
    <w:rsid w:val="00174B86"/>
    <w:rsid w:val="00177EE1"/>
    <w:rsid w:val="0019276E"/>
    <w:rsid w:val="00193FB4"/>
    <w:rsid w:val="001A3102"/>
    <w:rsid w:val="001C53F2"/>
    <w:rsid w:val="00204DCE"/>
    <w:rsid w:val="00232541"/>
    <w:rsid w:val="002725A7"/>
    <w:rsid w:val="002B2E55"/>
    <w:rsid w:val="002C765C"/>
    <w:rsid w:val="002E7004"/>
    <w:rsid w:val="002F48FC"/>
    <w:rsid w:val="00303ACD"/>
    <w:rsid w:val="003054B4"/>
    <w:rsid w:val="00327676"/>
    <w:rsid w:val="00343AD9"/>
    <w:rsid w:val="00350331"/>
    <w:rsid w:val="00373381"/>
    <w:rsid w:val="00374F53"/>
    <w:rsid w:val="003777A4"/>
    <w:rsid w:val="00392F8E"/>
    <w:rsid w:val="00394CDA"/>
    <w:rsid w:val="003A0875"/>
    <w:rsid w:val="003A5FB4"/>
    <w:rsid w:val="003B2F29"/>
    <w:rsid w:val="003C1FF5"/>
    <w:rsid w:val="003C5363"/>
    <w:rsid w:val="003D1A33"/>
    <w:rsid w:val="003D5F03"/>
    <w:rsid w:val="003F2989"/>
    <w:rsid w:val="004009AD"/>
    <w:rsid w:val="00411EB0"/>
    <w:rsid w:val="00414B13"/>
    <w:rsid w:val="00415949"/>
    <w:rsid w:val="004213FB"/>
    <w:rsid w:val="00477A55"/>
    <w:rsid w:val="00490D27"/>
    <w:rsid w:val="00494124"/>
    <w:rsid w:val="004B4A2B"/>
    <w:rsid w:val="004C2500"/>
    <w:rsid w:val="004C79DD"/>
    <w:rsid w:val="004D0E3E"/>
    <w:rsid w:val="004E04EA"/>
    <w:rsid w:val="004E6782"/>
    <w:rsid w:val="00514A77"/>
    <w:rsid w:val="005236F2"/>
    <w:rsid w:val="00535B76"/>
    <w:rsid w:val="00536FCC"/>
    <w:rsid w:val="005469C3"/>
    <w:rsid w:val="00555748"/>
    <w:rsid w:val="00563597"/>
    <w:rsid w:val="005656CA"/>
    <w:rsid w:val="00576949"/>
    <w:rsid w:val="00591582"/>
    <w:rsid w:val="0059389E"/>
    <w:rsid w:val="005A35EB"/>
    <w:rsid w:val="005B6753"/>
    <w:rsid w:val="005C6261"/>
    <w:rsid w:val="00606DE6"/>
    <w:rsid w:val="00613D3F"/>
    <w:rsid w:val="00621F68"/>
    <w:rsid w:val="00627798"/>
    <w:rsid w:val="006435AC"/>
    <w:rsid w:val="00643CC1"/>
    <w:rsid w:val="0065145D"/>
    <w:rsid w:val="00651DFF"/>
    <w:rsid w:val="00664531"/>
    <w:rsid w:val="00691B21"/>
    <w:rsid w:val="006961FD"/>
    <w:rsid w:val="006A51B6"/>
    <w:rsid w:val="006A6949"/>
    <w:rsid w:val="006C249C"/>
    <w:rsid w:val="006C33E6"/>
    <w:rsid w:val="006D23F5"/>
    <w:rsid w:val="006D621A"/>
    <w:rsid w:val="006E6F13"/>
    <w:rsid w:val="006F64D5"/>
    <w:rsid w:val="00713FD1"/>
    <w:rsid w:val="00723CB8"/>
    <w:rsid w:val="007414A5"/>
    <w:rsid w:val="0076734F"/>
    <w:rsid w:val="00796833"/>
    <w:rsid w:val="007A16D4"/>
    <w:rsid w:val="007A60DF"/>
    <w:rsid w:val="007B5502"/>
    <w:rsid w:val="007C0A7D"/>
    <w:rsid w:val="007C22B7"/>
    <w:rsid w:val="007C352D"/>
    <w:rsid w:val="007C3946"/>
    <w:rsid w:val="007D7E1C"/>
    <w:rsid w:val="007E24D5"/>
    <w:rsid w:val="00810743"/>
    <w:rsid w:val="00813E4A"/>
    <w:rsid w:val="0083130A"/>
    <w:rsid w:val="008474B3"/>
    <w:rsid w:val="008A0DEB"/>
    <w:rsid w:val="008C1DD5"/>
    <w:rsid w:val="008E123C"/>
    <w:rsid w:val="0092316C"/>
    <w:rsid w:val="009264C0"/>
    <w:rsid w:val="009441D3"/>
    <w:rsid w:val="00953967"/>
    <w:rsid w:val="0097708D"/>
    <w:rsid w:val="00983ADE"/>
    <w:rsid w:val="00992A20"/>
    <w:rsid w:val="009A4A33"/>
    <w:rsid w:val="009C059A"/>
    <w:rsid w:val="009C150D"/>
    <w:rsid w:val="009C2FCF"/>
    <w:rsid w:val="009D2237"/>
    <w:rsid w:val="009D7D44"/>
    <w:rsid w:val="009F29C7"/>
    <w:rsid w:val="00A22C35"/>
    <w:rsid w:val="00A6637C"/>
    <w:rsid w:val="00A71F05"/>
    <w:rsid w:val="00A81DDC"/>
    <w:rsid w:val="00A830FB"/>
    <w:rsid w:val="00AA4542"/>
    <w:rsid w:val="00AA7F80"/>
    <w:rsid w:val="00AC0C26"/>
    <w:rsid w:val="00AD1AD9"/>
    <w:rsid w:val="00AE32AA"/>
    <w:rsid w:val="00B1389F"/>
    <w:rsid w:val="00B23EFE"/>
    <w:rsid w:val="00B26B84"/>
    <w:rsid w:val="00B43689"/>
    <w:rsid w:val="00B5673A"/>
    <w:rsid w:val="00B77897"/>
    <w:rsid w:val="00B95D26"/>
    <w:rsid w:val="00BB669D"/>
    <w:rsid w:val="00BF00F8"/>
    <w:rsid w:val="00C10920"/>
    <w:rsid w:val="00C24AFB"/>
    <w:rsid w:val="00C27EB6"/>
    <w:rsid w:val="00C308FA"/>
    <w:rsid w:val="00C51891"/>
    <w:rsid w:val="00C8330C"/>
    <w:rsid w:val="00CA174E"/>
    <w:rsid w:val="00CD49D1"/>
    <w:rsid w:val="00CE7A50"/>
    <w:rsid w:val="00CF103E"/>
    <w:rsid w:val="00D00824"/>
    <w:rsid w:val="00D073B3"/>
    <w:rsid w:val="00D3188D"/>
    <w:rsid w:val="00D333EF"/>
    <w:rsid w:val="00D451E9"/>
    <w:rsid w:val="00D473CA"/>
    <w:rsid w:val="00D75CF6"/>
    <w:rsid w:val="00D825D8"/>
    <w:rsid w:val="00D8430C"/>
    <w:rsid w:val="00D91FEE"/>
    <w:rsid w:val="00DB30F0"/>
    <w:rsid w:val="00DB420A"/>
    <w:rsid w:val="00DF3E70"/>
    <w:rsid w:val="00E16183"/>
    <w:rsid w:val="00E61A34"/>
    <w:rsid w:val="00E64338"/>
    <w:rsid w:val="00E8788E"/>
    <w:rsid w:val="00E91F07"/>
    <w:rsid w:val="00E92F45"/>
    <w:rsid w:val="00EA51CD"/>
    <w:rsid w:val="00F00AF2"/>
    <w:rsid w:val="00F175A7"/>
    <w:rsid w:val="00F313C9"/>
    <w:rsid w:val="00F41519"/>
    <w:rsid w:val="00F60F30"/>
    <w:rsid w:val="00F7290A"/>
    <w:rsid w:val="00F731E5"/>
    <w:rsid w:val="00F86BD4"/>
    <w:rsid w:val="00F87862"/>
    <w:rsid w:val="00FA095E"/>
    <w:rsid w:val="00FC3C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4B46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43689"/>
    <w:rPr>
      <w:kern w:val="0"/>
      <w14:ligatures w14:val="none"/>
    </w:rPr>
  </w:style>
  <w:style w:type="paragraph" w:styleId="Kop1">
    <w:name w:val="heading 1"/>
    <w:basedOn w:val="Standaard"/>
    <w:next w:val="Standaard"/>
    <w:link w:val="Kop1Char"/>
    <w:uiPriority w:val="9"/>
    <w:qFormat/>
    <w:rsid w:val="001A3102"/>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1A3102"/>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1A3102"/>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1A3102"/>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Kop5">
    <w:name w:val="heading 5"/>
    <w:basedOn w:val="Standaard"/>
    <w:next w:val="Standaard"/>
    <w:link w:val="Kop5Char"/>
    <w:uiPriority w:val="9"/>
    <w:semiHidden/>
    <w:unhideWhenUsed/>
    <w:qFormat/>
    <w:rsid w:val="001A3102"/>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Kop6">
    <w:name w:val="heading 6"/>
    <w:basedOn w:val="Standaard"/>
    <w:next w:val="Standaard"/>
    <w:link w:val="Kop6Char"/>
    <w:uiPriority w:val="9"/>
    <w:semiHidden/>
    <w:unhideWhenUsed/>
    <w:qFormat/>
    <w:rsid w:val="001A3102"/>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Kop7">
    <w:name w:val="heading 7"/>
    <w:basedOn w:val="Standaard"/>
    <w:next w:val="Standaard"/>
    <w:link w:val="Kop7Char"/>
    <w:uiPriority w:val="9"/>
    <w:semiHidden/>
    <w:unhideWhenUsed/>
    <w:qFormat/>
    <w:rsid w:val="001A3102"/>
    <w:pPr>
      <w:keepNext/>
      <w:keepLines/>
      <w:spacing w:before="40" w:after="0"/>
      <w:outlineLvl w:val="6"/>
    </w:pPr>
    <w:rPr>
      <w:rFonts w:eastAsiaTheme="majorEastAsia" w:cstheme="majorBidi"/>
      <w:color w:val="595959" w:themeColor="text1" w:themeTint="A6"/>
      <w:kern w:val="2"/>
      <w14:ligatures w14:val="standardContextual"/>
    </w:rPr>
  </w:style>
  <w:style w:type="paragraph" w:styleId="Kop8">
    <w:name w:val="heading 8"/>
    <w:basedOn w:val="Standaard"/>
    <w:next w:val="Standaard"/>
    <w:link w:val="Kop8Char"/>
    <w:uiPriority w:val="9"/>
    <w:semiHidden/>
    <w:unhideWhenUsed/>
    <w:qFormat/>
    <w:rsid w:val="001A3102"/>
    <w:pPr>
      <w:keepNext/>
      <w:keepLines/>
      <w:spacing w:after="0"/>
      <w:outlineLvl w:val="7"/>
    </w:pPr>
    <w:rPr>
      <w:rFonts w:eastAsiaTheme="majorEastAsia" w:cstheme="majorBidi"/>
      <w:i/>
      <w:iCs/>
      <w:color w:val="272727" w:themeColor="text1" w:themeTint="D8"/>
      <w:kern w:val="2"/>
      <w14:ligatures w14:val="standardContextual"/>
    </w:rPr>
  </w:style>
  <w:style w:type="paragraph" w:styleId="Kop9">
    <w:name w:val="heading 9"/>
    <w:basedOn w:val="Standaard"/>
    <w:next w:val="Standaard"/>
    <w:link w:val="Kop9Char"/>
    <w:uiPriority w:val="9"/>
    <w:semiHidden/>
    <w:unhideWhenUsed/>
    <w:qFormat/>
    <w:rsid w:val="001A3102"/>
    <w:pPr>
      <w:keepNext/>
      <w:keepLines/>
      <w:spacing w:after="0"/>
      <w:outlineLvl w:val="8"/>
    </w:pPr>
    <w:rPr>
      <w:rFonts w:eastAsiaTheme="majorEastAsia" w:cstheme="majorBidi"/>
      <w:color w:val="272727" w:themeColor="text1" w:themeTint="D8"/>
      <w:kern w:val="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A310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A310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A310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A310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A310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A310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A310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A310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A3102"/>
    <w:rPr>
      <w:rFonts w:eastAsiaTheme="majorEastAsia" w:cstheme="majorBidi"/>
      <w:color w:val="272727" w:themeColor="text1" w:themeTint="D8"/>
    </w:rPr>
  </w:style>
  <w:style w:type="paragraph" w:styleId="Titel">
    <w:name w:val="Title"/>
    <w:basedOn w:val="Standaard"/>
    <w:next w:val="Standaard"/>
    <w:link w:val="TitelChar"/>
    <w:uiPriority w:val="10"/>
    <w:qFormat/>
    <w:rsid w:val="001A310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1A310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A3102"/>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1A310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A3102"/>
    <w:pPr>
      <w:spacing w:before="160"/>
      <w:jc w:val="center"/>
    </w:pPr>
    <w:rPr>
      <w:i/>
      <w:iCs/>
      <w:color w:val="404040" w:themeColor="text1" w:themeTint="BF"/>
      <w:kern w:val="2"/>
      <w14:ligatures w14:val="standardContextual"/>
    </w:rPr>
  </w:style>
  <w:style w:type="character" w:customStyle="1" w:styleId="CitaatChar">
    <w:name w:val="Citaat Char"/>
    <w:basedOn w:val="Standaardalinea-lettertype"/>
    <w:link w:val="Citaat"/>
    <w:uiPriority w:val="29"/>
    <w:rsid w:val="001A3102"/>
    <w:rPr>
      <w:i/>
      <w:iCs/>
      <w:color w:val="404040" w:themeColor="text1" w:themeTint="BF"/>
    </w:rPr>
  </w:style>
  <w:style w:type="paragraph" w:styleId="Lijstalinea">
    <w:name w:val="List Paragraph"/>
    <w:basedOn w:val="Standaard"/>
    <w:uiPriority w:val="34"/>
    <w:qFormat/>
    <w:rsid w:val="001A3102"/>
    <w:pPr>
      <w:ind w:left="720"/>
      <w:contextualSpacing/>
    </w:pPr>
    <w:rPr>
      <w:kern w:val="2"/>
      <w14:ligatures w14:val="standardContextual"/>
    </w:rPr>
  </w:style>
  <w:style w:type="character" w:styleId="Intensievebenadrukking">
    <w:name w:val="Intense Emphasis"/>
    <w:basedOn w:val="Standaardalinea-lettertype"/>
    <w:uiPriority w:val="21"/>
    <w:qFormat/>
    <w:rsid w:val="001A3102"/>
    <w:rPr>
      <w:i/>
      <w:iCs/>
      <w:color w:val="0F4761" w:themeColor="accent1" w:themeShade="BF"/>
    </w:rPr>
  </w:style>
  <w:style w:type="paragraph" w:styleId="Duidelijkcitaat">
    <w:name w:val="Intense Quote"/>
    <w:basedOn w:val="Standaard"/>
    <w:next w:val="Standaard"/>
    <w:link w:val="DuidelijkcitaatChar"/>
    <w:uiPriority w:val="30"/>
    <w:qFormat/>
    <w:rsid w:val="001A31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DuidelijkcitaatChar">
    <w:name w:val="Duidelijk citaat Char"/>
    <w:basedOn w:val="Standaardalinea-lettertype"/>
    <w:link w:val="Duidelijkcitaat"/>
    <w:uiPriority w:val="30"/>
    <w:rsid w:val="001A3102"/>
    <w:rPr>
      <w:i/>
      <w:iCs/>
      <w:color w:val="0F4761" w:themeColor="accent1" w:themeShade="BF"/>
    </w:rPr>
  </w:style>
  <w:style w:type="character" w:styleId="Intensieveverwijzing">
    <w:name w:val="Intense Reference"/>
    <w:basedOn w:val="Standaardalinea-lettertype"/>
    <w:uiPriority w:val="32"/>
    <w:qFormat/>
    <w:rsid w:val="001A3102"/>
    <w:rPr>
      <w:b/>
      <w:bCs/>
      <w:smallCaps/>
      <w:color w:val="0F4761" w:themeColor="accent1" w:themeShade="BF"/>
      <w:spacing w:val="5"/>
    </w:rPr>
  </w:style>
  <w:style w:type="paragraph" w:styleId="Koptekst">
    <w:name w:val="header"/>
    <w:basedOn w:val="Standaard"/>
    <w:link w:val="KoptekstChar"/>
    <w:uiPriority w:val="99"/>
    <w:unhideWhenUsed/>
    <w:rsid w:val="001A310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A3102"/>
    <w:rPr>
      <w:kern w:val="0"/>
      <w14:ligatures w14:val="none"/>
    </w:rPr>
  </w:style>
  <w:style w:type="paragraph" w:styleId="Voettekst">
    <w:name w:val="footer"/>
    <w:basedOn w:val="Standaard"/>
    <w:link w:val="VoettekstChar"/>
    <w:uiPriority w:val="99"/>
    <w:unhideWhenUsed/>
    <w:rsid w:val="001A310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A3102"/>
    <w:rPr>
      <w:kern w:val="0"/>
      <w14:ligatures w14:val="none"/>
    </w:rPr>
  </w:style>
  <w:style w:type="paragraph" w:customStyle="1" w:styleId="LO-normal">
    <w:name w:val="LO-normal"/>
    <w:qFormat/>
    <w:rsid w:val="001A3102"/>
    <w:pPr>
      <w:spacing w:after="0" w:line="240" w:lineRule="auto"/>
    </w:pPr>
    <w:rPr>
      <w:rFonts w:ascii="Verdana" w:eastAsia="Verdana" w:hAnsi="Verdana" w:cs="Verdana"/>
      <w:kern w:val="0"/>
      <w:sz w:val="18"/>
      <w:szCs w:val="18"/>
      <w:lang w:eastAsia="zh-CN" w:bidi="hi-IN"/>
      <w14:ligatures w14:val="none"/>
    </w:rPr>
  </w:style>
  <w:style w:type="character" w:customStyle="1" w:styleId="Voetnoottekens">
    <w:name w:val="Voetnoottekens"/>
    <w:qFormat/>
    <w:rsid w:val="001A3102"/>
  </w:style>
  <w:style w:type="paragraph" w:styleId="Geenafstand">
    <w:name w:val="No Spacing"/>
    <w:autoRedefine/>
    <w:uiPriority w:val="1"/>
    <w:qFormat/>
    <w:rsid w:val="001A3102"/>
    <w:pPr>
      <w:spacing w:after="0" w:line="240" w:lineRule="atLeast"/>
    </w:pPr>
    <w:rPr>
      <w:rFonts w:ascii="Verdana" w:hAnsi="Verdana"/>
      <w:bCs/>
      <w:kern w:val="0"/>
      <w:sz w:val="18"/>
      <w:szCs w:val="18"/>
      <w14:ligatures w14:val="none"/>
    </w:rPr>
  </w:style>
  <w:style w:type="paragraph" w:styleId="Voetnoottekst">
    <w:name w:val="footnote text"/>
    <w:basedOn w:val="Standaard"/>
    <w:link w:val="VoetnoottekstChar"/>
    <w:uiPriority w:val="99"/>
    <w:unhideWhenUsed/>
    <w:rsid w:val="001A3102"/>
    <w:pPr>
      <w:spacing w:after="0" w:line="240" w:lineRule="auto"/>
    </w:pPr>
    <w:rPr>
      <w:sz w:val="20"/>
      <w:szCs w:val="20"/>
    </w:rPr>
  </w:style>
  <w:style w:type="character" w:customStyle="1" w:styleId="VoetnoottekstChar">
    <w:name w:val="Voetnoottekst Char"/>
    <w:basedOn w:val="Standaardalinea-lettertype"/>
    <w:link w:val="Voetnoottekst"/>
    <w:uiPriority w:val="99"/>
    <w:rsid w:val="001A3102"/>
    <w:rPr>
      <w:kern w:val="0"/>
      <w:sz w:val="20"/>
      <w:szCs w:val="20"/>
      <w14:ligatures w14:val="none"/>
    </w:rPr>
  </w:style>
  <w:style w:type="character" w:styleId="Voetnootmarkering">
    <w:name w:val="footnote reference"/>
    <w:aliases w:val="Footnote,Footnote symbol,Nota,Footnote number,de nota al pie,Ref,Char,SUPERS,Char1,fr,o,(NECG) Footnote Reference,Times 10 Point,Exposant 3 Point,Footnote Reference Number,Footnote reference number,FR"/>
    <w:basedOn w:val="Standaardalinea-lettertype"/>
    <w:uiPriority w:val="99"/>
    <w:unhideWhenUsed/>
    <w:rsid w:val="001A3102"/>
    <w:rPr>
      <w:vertAlign w:val="superscript"/>
    </w:rPr>
  </w:style>
  <w:style w:type="paragraph" w:customStyle="1" w:styleId="labeled">
    <w:name w:val="labeled"/>
    <w:basedOn w:val="Standaard"/>
    <w:rsid w:val="001A310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Huisstijl-GegevenCharChar">
    <w:name w:val="Huisstijl-Gegeven Char Char"/>
    <w:link w:val="Huisstijl-Gegeven"/>
    <w:rsid w:val="001A3102"/>
    <w:rPr>
      <w:rFonts w:ascii="Verdana" w:hAnsi="Verdana"/>
      <w:noProof/>
      <w:sz w:val="13"/>
      <w:szCs w:val="24"/>
      <w:lang w:eastAsia="nl-NL"/>
    </w:rPr>
  </w:style>
  <w:style w:type="paragraph" w:customStyle="1" w:styleId="Huisstijl-Gegeven">
    <w:name w:val="Huisstijl-Gegeven"/>
    <w:basedOn w:val="Standaard"/>
    <w:link w:val="Huisstijl-GegevenCharChar"/>
    <w:rsid w:val="001A3102"/>
    <w:pPr>
      <w:spacing w:after="92" w:line="180" w:lineRule="exact"/>
    </w:pPr>
    <w:rPr>
      <w:rFonts w:ascii="Verdana" w:hAnsi="Verdana"/>
      <w:noProof/>
      <w:kern w:val="2"/>
      <w:sz w:val="13"/>
      <w:szCs w:val="24"/>
      <w:lang w:eastAsia="nl-NL"/>
      <w14:ligatures w14:val="standardContextual"/>
    </w:rPr>
  </w:style>
  <w:style w:type="paragraph" w:customStyle="1" w:styleId="Huisstijl-Rubricering">
    <w:name w:val="Huisstijl-Rubricering"/>
    <w:basedOn w:val="Standaard"/>
    <w:rsid w:val="001A3102"/>
    <w:pPr>
      <w:adjustRightInd w:val="0"/>
      <w:spacing w:after="0" w:line="180" w:lineRule="exact"/>
    </w:pPr>
    <w:rPr>
      <w:rFonts w:ascii="Verdana" w:eastAsia="Times New Roman" w:hAnsi="Verdana" w:cs="Verdana-Bold"/>
      <w:b/>
      <w:bCs/>
      <w:smallCaps/>
      <w:noProof/>
      <w:sz w:val="13"/>
      <w:szCs w:val="13"/>
      <w:lang w:eastAsia="nl-NL"/>
    </w:rPr>
  </w:style>
  <w:style w:type="paragraph" w:customStyle="1" w:styleId="Huisstijl-Paginanummering">
    <w:name w:val="Huisstijl-Paginanummering"/>
    <w:basedOn w:val="Standaard"/>
    <w:rsid w:val="001A3102"/>
    <w:pPr>
      <w:spacing w:after="0" w:line="180" w:lineRule="exact"/>
    </w:pPr>
    <w:rPr>
      <w:rFonts w:ascii="Verdana" w:eastAsia="Times New Roman" w:hAnsi="Verdana" w:cs="Times New Roman"/>
      <w:noProof/>
      <w:sz w:val="13"/>
      <w:szCs w:val="24"/>
      <w:lang w:eastAsia="nl-NL"/>
    </w:rPr>
  </w:style>
  <w:style w:type="character" w:styleId="Verwijzingopmerking">
    <w:name w:val="annotation reference"/>
    <w:basedOn w:val="Standaardalinea-lettertype"/>
    <w:uiPriority w:val="99"/>
    <w:semiHidden/>
    <w:unhideWhenUsed/>
    <w:rsid w:val="006435AC"/>
    <w:rPr>
      <w:sz w:val="16"/>
      <w:szCs w:val="16"/>
    </w:rPr>
  </w:style>
  <w:style w:type="paragraph" w:styleId="Tekstopmerking">
    <w:name w:val="annotation text"/>
    <w:basedOn w:val="Standaard"/>
    <w:link w:val="TekstopmerkingChar"/>
    <w:uiPriority w:val="99"/>
    <w:unhideWhenUsed/>
    <w:rsid w:val="006435AC"/>
    <w:pPr>
      <w:spacing w:line="240" w:lineRule="auto"/>
    </w:pPr>
    <w:rPr>
      <w:sz w:val="20"/>
      <w:szCs w:val="20"/>
    </w:rPr>
  </w:style>
  <w:style w:type="character" w:customStyle="1" w:styleId="TekstopmerkingChar">
    <w:name w:val="Tekst opmerking Char"/>
    <w:basedOn w:val="Standaardalinea-lettertype"/>
    <w:link w:val="Tekstopmerking"/>
    <w:uiPriority w:val="99"/>
    <w:rsid w:val="006435AC"/>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6435AC"/>
    <w:rPr>
      <w:b/>
      <w:bCs/>
    </w:rPr>
  </w:style>
  <w:style w:type="character" w:customStyle="1" w:styleId="OnderwerpvanopmerkingChar">
    <w:name w:val="Onderwerp van opmerking Char"/>
    <w:basedOn w:val="TekstopmerkingChar"/>
    <w:link w:val="Onderwerpvanopmerking"/>
    <w:uiPriority w:val="99"/>
    <w:semiHidden/>
    <w:rsid w:val="006435AC"/>
    <w:rPr>
      <w:b/>
      <w:bCs/>
      <w:kern w:val="0"/>
      <w:sz w:val="20"/>
      <w:szCs w:val="20"/>
      <w14:ligatures w14:val="none"/>
    </w:rPr>
  </w:style>
  <w:style w:type="paragraph" w:customStyle="1" w:styleId="Heading20">
    <w:name w:val="Heading 2_0"/>
    <w:basedOn w:val="Standaard"/>
    <w:next w:val="Standaard"/>
    <w:qFormat/>
    <w:rsid w:val="007E24D5"/>
    <w:pPr>
      <w:keepNext/>
      <w:spacing w:before="240" w:after="60" w:line="240" w:lineRule="atLeast"/>
      <w:outlineLvl w:val="1"/>
    </w:pPr>
    <w:rPr>
      <w:rFonts w:ascii="Verdana" w:eastAsia="Times New Roman" w:hAnsi="Verdana" w:cs="Arial"/>
      <w:b/>
      <w:bCs/>
      <w:i/>
      <w:iCs/>
      <w:sz w:val="28"/>
      <w:szCs w:val="28"/>
      <w:lang w:eastAsia="nl-NL"/>
    </w:rPr>
  </w:style>
  <w:style w:type="paragraph" w:styleId="Revisie">
    <w:name w:val="Revision"/>
    <w:hidden/>
    <w:uiPriority w:val="99"/>
    <w:semiHidden/>
    <w:rsid w:val="00E91F07"/>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ap:Pages>
  <ap:Words>1212</ap:Words>
  <ap:Characters>6672</ap:Characters>
  <ap:DocSecurity>0</ap:DocSecurity>
  <ap:Lines>55</ap:Lines>
  <ap:Paragraphs>15</ap:Paragraphs>
  <ap:ScaleCrop>false</ap:ScaleCrop>
  <ap:LinksUpToDate>false</ap:LinksUpToDate>
  <ap:CharactersWithSpaces>7869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2026-04-23T14:52:00.0000000Z</dcterms:created>
  <dcterms:modified xsi:type="dcterms:W3CDTF">2026-04-23T14:52:00.0000000Z</dcterms:modified>
  <version/>
  <category/>
</coreProperties>
</file>