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75174" w:rsidR="009868DB" w:rsidP="00175174" w:rsidRDefault="009D54B2" w14:paraId="2D9660CD" w14:textId="20BC6FE6">
      <w:pPr>
        <w:pStyle w:val="Huisstijl-TitelDocumentnaam"/>
        <w:suppressAutoHyphens/>
        <w:jc w:val="left"/>
        <w:rPr>
          <w:sz w:val="18"/>
          <w:szCs w:val="18"/>
        </w:rPr>
      </w:pPr>
      <w:r w:rsidRPr="00175174">
        <w:rPr>
          <w:sz w:val="18"/>
          <w:szCs w:val="18"/>
        </w:rPr>
        <w:t>PALLAS-nieuwbouwprogram</w:t>
      </w:r>
      <w:r w:rsidRPr="00175174" w:rsidR="007E5264">
        <w:rPr>
          <w:sz w:val="18"/>
          <w:szCs w:val="18"/>
        </w:rPr>
        <w:t>m</w:t>
      </w:r>
      <w:r w:rsidRPr="00175174" w:rsidR="000E6399">
        <w:rPr>
          <w:sz w:val="18"/>
          <w:szCs w:val="18"/>
        </w:rPr>
        <w:t>a</w:t>
      </w:r>
    </w:p>
    <w:p w:rsidRPr="00175174" w:rsidR="009868DB" w:rsidP="00175174" w:rsidRDefault="00E04659" w14:paraId="5D79A78D" w14:textId="0E0251E8">
      <w:pPr>
        <w:pStyle w:val="Huisstijl-Subtitel"/>
        <w:suppressAutoHyphens/>
        <w:jc w:val="left"/>
        <w:rPr>
          <w:sz w:val="18"/>
          <w:szCs w:val="18"/>
        </w:rPr>
      </w:pPr>
      <w:r w:rsidRPr="00175174">
        <w:rPr>
          <w:sz w:val="18"/>
          <w:szCs w:val="18"/>
        </w:rPr>
        <w:t>Derde voortgangs</w:t>
      </w:r>
      <w:r w:rsidRPr="00175174" w:rsidR="00BD4DCF">
        <w:rPr>
          <w:sz w:val="18"/>
          <w:szCs w:val="18"/>
        </w:rPr>
        <w:t>rapportage</w:t>
      </w:r>
      <w:r w:rsidRPr="00175174" w:rsidR="00EE3FCD">
        <w:rPr>
          <w:sz w:val="18"/>
          <w:szCs w:val="18"/>
        </w:rPr>
        <w:t xml:space="preserve"> - Tweede half jaar</w:t>
      </w:r>
      <w:r w:rsidRPr="00175174" w:rsidR="009D54B2">
        <w:rPr>
          <w:sz w:val="18"/>
          <w:szCs w:val="18"/>
        </w:rPr>
        <w:t xml:space="preserve"> 202</w:t>
      </w:r>
      <w:r w:rsidRPr="00175174" w:rsidR="00BD4DCF">
        <w:rPr>
          <w:sz w:val="18"/>
          <w:szCs w:val="18"/>
        </w:rPr>
        <w:t>5</w:t>
      </w:r>
    </w:p>
    <w:p w:rsidRPr="00175174" w:rsidR="009868DB" w:rsidP="00175174" w:rsidRDefault="009868DB" w14:paraId="1F1DA145" w14:textId="406EDD4E">
      <w:pPr>
        <w:pStyle w:val="Huisstijl-Versie"/>
        <w:suppressAutoHyphens/>
        <w:jc w:val="left"/>
      </w:pPr>
    </w:p>
    <w:tbl>
      <w:tblPr>
        <w:tblStyle w:val="StandaardRapportTabelstijl"/>
        <w:tblW w:w="7711" w:type="dxa"/>
        <w:tblInd w:w="0" w:type="dxa"/>
        <w:tblLayout w:type="fixed"/>
        <w:tblLook w:val="07E0" w:firstRow="1" w:lastRow="1" w:firstColumn="1" w:lastColumn="1" w:noHBand="1" w:noVBand="1"/>
      </w:tblPr>
      <w:tblGrid>
        <w:gridCol w:w="1774"/>
        <w:gridCol w:w="5937"/>
      </w:tblGrid>
      <w:tr w:rsidRPr="00175174" w:rsidR="009868DB" w14:paraId="6799ECEF" w14:textId="77777777">
        <w:tc>
          <w:tcPr>
            <w:tcW w:w="1774" w:type="dxa"/>
          </w:tcPr>
          <w:p w:rsidRPr="00175174" w:rsidR="009868DB" w:rsidP="00175174" w:rsidRDefault="009D54B2" w14:paraId="4EC08DC3" w14:textId="77777777">
            <w:pPr>
              <w:suppressAutoHyphens/>
              <w:jc w:val="left"/>
            </w:pPr>
            <w:r w:rsidRPr="00175174">
              <w:t> </w:t>
            </w:r>
          </w:p>
        </w:tc>
        <w:tc>
          <w:tcPr>
            <w:tcW w:w="5937" w:type="dxa"/>
          </w:tcPr>
          <w:p w:rsidRPr="00175174" w:rsidR="009868DB" w:rsidP="00175174" w:rsidRDefault="009D54B2" w14:paraId="4C0B466F" w14:textId="77777777">
            <w:pPr>
              <w:suppressAutoHyphens/>
              <w:jc w:val="left"/>
            </w:pPr>
            <w:r w:rsidRPr="00175174">
              <w:t> </w:t>
            </w:r>
          </w:p>
        </w:tc>
      </w:tr>
      <w:tr w:rsidRPr="00175174" w:rsidR="009868DB" w14:paraId="0DC535ED" w14:textId="77777777">
        <w:tc>
          <w:tcPr>
            <w:tcW w:w="1774" w:type="dxa"/>
          </w:tcPr>
          <w:p w:rsidRPr="00175174" w:rsidR="009868DB" w:rsidP="00175174" w:rsidRDefault="009D54B2" w14:paraId="17237A26" w14:textId="77777777">
            <w:pPr>
              <w:suppressAutoHyphens/>
              <w:jc w:val="left"/>
            </w:pPr>
            <w:r w:rsidRPr="00175174">
              <w:t>Datum</w:t>
            </w:r>
          </w:p>
        </w:tc>
        <w:tc>
          <w:tcPr>
            <w:tcW w:w="5937" w:type="dxa"/>
          </w:tcPr>
          <w:p w:rsidRPr="00175174" w:rsidR="009868DB" w:rsidP="00175174" w:rsidRDefault="00A13AD2" w14:paraId="4711B7CE" w14:textId="1BCC45D0">
            <w:pPr>
              <w:suppressAutoHyphens/>
              <w:jc w:val="left"/>
            </w:pPr>
            <w:r w:rsidRPr="00175174">
              <w:t>1</w:t>
            </w:r>
            <w:r w:rsidRPr="00175174" w:rsidR="00923317">
              <w:t>4</w:t>
            </w:r>
            <w:r w:rsidRPr="00175174" w:rsidR="004B2A02">
              <w:t xml:space="preserve"> april</w:t>
            </w:r>
            <w:r w:rsidRPr="00175174" w:rsidR="00E04659">
              <w:t xml:space="preserve"> 2026</w:t>
            </w:r>
          </w:p>
        </w:tc>
      </w:tr>
      <w:tr w:rsidRPr="00175174" w:rsidR="009868DB" w:rsidTr="00796907" w14:paraId="41EECC10" w14:textId="77777777">
        <w:tc>
          <w:tcPr>
            <w:tcW w:w="1774" w:type="dxa"/>
          </w:tcPr>
          <w:p w:rsidRPr="00175174" w:rsidR="009868DB" w:rsidP="00175174" w:rsidRDefault="009D54B2" w14:paraId="61B281A3" w14:textId="77777777">
            <w:pPr>
              <w:suppressAutoHyphens/>
              <w:jc w:val="left"/>
            </w:pPr>
            <w:r w:rsidRPr="00175174">
              <w:t>Status</w:t>
            </w:r>
          </w:p>
        </w:tc>
        <w:tc>
          <w:tcPr>
            <w:tcW w:w="5937" w:type="dxa"/>
          </w:tcPr>
          <w:p w:rsidRPr="00175174" w:rsidR="009868DB" w:rsidP="00175174" w:rsidRDefault="0032304E" w14:paraId="1824416E" w14:textId="71E99199">
            <w:pPr>
              <w:suppressAutoHyphens/>
              <w:jc w:val="left"/>
            </w:pPr>
            <w:r w:rsidRPr="00175174">
              <w:t>Definitief</w:t>
            </w:r>
          </w:p>
        </w:tc>
      </w:tr>
      <w:tr w:rsidRPr="00175174" w:rsidR="009868DB" w14:paraId="5F6128C6" w14:textId="77777777">
        <w:tc>
          <w:tcPr>
            <w:tcW w:w="1774" w:type="dxa"/>
          </w:tcPr>
          <w:p w:rsidRPr="00175174" w:rsidR="009868DB" w:rsidP="00175174" w:rsidRDefault="009D54B2" w14:paraId="01175703" w14:textId="77777777">
            <w:pPr>
              <w:suppressAutoHyphens/>
              <w:jc w:val="left"/>
            </w:pPr>
            <w:r w:rsidRPr="00175174">
              <w:t> </w:t>
            </w:r>
          </w:p>
        </w:tc>
        <w:tc>
          <w:tcPr>
            <w:tcW w:w="5937" w:type="dxa"/>
          </w:tcPr>
          <w:p w:rsidRPr="00175174" w:rsidR="009868DB" w:rsidP="00175174" w:rsidRDefault="009D54B2" w14:paraId="7771AF5B" w14:textId="77777777">
            <w:pPr>
              <w:suppressAutoHyphens/>
              <w:jc w:val="left"/>
            </w:pPr>
            <w:r w:rsidRPr="00175174">
              <w:t> </w:t>
            </w:r>
          </w:p>
        </w:tc>
      </w:tr>
    </w:tbl>
    <w:p w:rsidRPr="00175174" w:rsidR="009868DB" w:rsidP="00175174" w:rsidRDefault="009D54B2" w14:paraId="2D661CE8" w14:textId="77777777">
      <w:pPr>
        <w:suppressAutoHyphens/>
        <w:jc w:val="left"/>
      </w:pPr>
      <w:r w:rsidRPr="00175174">
        <w:t> </w:t>
      </w:r>
    </w:p>
    <w:p w:rsidRPr="00175174" w:rsidR="009868DB" w:rsidP="00175174" w:rsidRDefault="009D54B2" w14:paraId="416FB61D" w14:textId="77777777">
      <w:pPr>
        <w:suppressAutoHyphens/>
        <w:jc w:val="left"/>
      </w:pPr>
      <w:r w:rsidRPr="00175174">
        <w:br w:type="page"/>
      </w:r>
    </w:p>
    <w:p w:rsidRPr="00175174" w:rsidR="009868DB" w:rsidP="00175174" w:rsidRDefault="009D54B2" w14:paraId="75AA5B76" w14:textId="77777777">
      <w:pPr>
        <w:pStyle w:val="Huisstijl-Colofon"/>
        <w:suppressAutoHyphens/>
        <w:jc w:val="left"/>
        <w:rPr>
          <w:sz w:val="18"/>
          <w:szCs w:val="18"/>
        </w:rPr>
      </w:pPr>
      <w:r w:rsidRPr="00175174">
        <w:rPr>
          <w:sz w:val="18"/>
          <w:szCs w:val="18"/>
        </w:rPr>
        <w:lastRenderedPageBreak/>
        <w:t>Colofon</w:t>
      </w:r>
    </w:p>
    <w:tbl>
      <w:tblPr>
        <w:tblStyle w:val="StandaardRapportTabelstijl"/>
        <w:tblW w:w="7711" w:type="dxa"/>
        <w:tblInd w:w="0" w:type="dxa"/>
        <w:tblLayout w:type="fixed"/>
        <w:tblLook w:val="07E0" w:firstRow="1" w:lastRow="1" w:firstColumn="1" w:lastColumn="1" w:noHBand="1" w:noVBand="1"/>
      </w:tblPr>
      <w:tblGrid>
        <w:gridCol w:w="2366"/>
        <w:gridCol w:w="5345"/>
      </w:tblGrid>
      <w:tr w:rsidRPr="00175174" w:rsidR="009868DB" w14:paraId="588FEB3A" w14:textId="77777777">
        <w:tc>
          <w:tcPr>
            <w:tcW w:w="2313" w:type="dxa"/>
          </w:tcPr>
          <w:p w:rsidRPr="00175174" w:rsidR="009868DB" w:rsidP="00175174" w:rsidRDefault="009D54B2" w14:paraId="2383B169" w14:textId="77777777">
            <w:pPr>
              <w:suppressAutoHyphens/>
              <w:jc w:val="left"/>
            </w:pPr>
            <w:r w:rsidRPr="00175174">
              <w:t> </w:t>
            </w:r>
          </w:p>
        </w:tc>
        <w:tc>
          <w:tcPr>
            <w:tcW w:w="5398" w:type="dxa"/>
          </w:tcPr>
          <w:p w:rsidRPr="00175174" w:rsidR="009868DB" w:rsidP="00175174" w:rsidRDefault="009D54B2" w14:paraId="0E39C038" w14:textId="77777777">
            <w:pPr>
              <w:suppressAutoHyphens/>
              <w:jc w:val="left"/>
            </w:pPr>
            <w:r w:rsidRPr="00175174">
              <w:t>Directoraat Generaal Curatieve Zorg</w:t>
            </w:r>
          </w:p>
        </w:tc>
      </w:tr>
      <w:tr w:rsidRPr="00175174" w:rsidR="009868DB" w14:paraId="01E3A739" w14:textId="77777777">
        <w:tc>
          <w:tcPr>
            <w:tcW w:w="2390" w:type="dxa"/>
          </w:tcPr>
          <w:p w:rsidRPr="00175174" w:rsidR="009868DB" w:rsidP="00175174" w:rsidRDefault="009D54B2" w14:paraId="243FE378" w14:textId="77777777">
            <w:pPr>
              <w:suppressAutoHyphens/>
              <w:jc w:val="left"/>
            </w:pPr>
            <w:r w:rsidRPr="00175174">
              <w:t> </w:t>
            </w:r>
          </w:p>
        </w:tc>
        <w:tc>
          <w:tcPr>
            <w:tcW w:w="5321" w:type="dxa"/>
          </w:tcPr>
          <w:p w:rsidRPr="00175174" w:rsidR="009868DB" w:rsidP="00175174" w:rsidRDefault="00E04659" w14:paraId="42062C70" w14:textId="484167FB">
            <w:pPr>
              <w:suppressAutoHyphens/>
              <w:jc w:val="left"/>
            </w:pPr>
            <w:r w:rsidRPr="00175174">
              <w:t>Directie Deelnemingen &amp; Aandeelhoudersadvisering</w:t>
            </w:r>
          </w:p>
        </w:tc>
      </w:tr>
      <w:tr w:rsidRPr="00175174" w:rsidR="009868DB" w14:paraId="2F523AC3" w14:textId="77777777">
        <w:tc>
          <w:tcPr>
            <w:tcW w:w="2390" w:type="dxa"/>
          </w:tcPr>
          <w:p w:rsidRPr="00175174" w:rsidR="009868DB" w:rsidP="00175174" w:rsidRDefault="009D54B2" w14:paraId="1592E3B7" w14:textId="77777777">
            <w:pPr>
              <w:suppressAutoHyphens/>
              <w:jc w:val="left"/>
            </w:pPr>
            <w:r w:rsidRPr="00175174">
              <w:t> </w:t>
            </w:r>
          </w:p>
        </w:tc>
        <w:tc>
          <w:tcPr>
            <w:tcW w:w="5321" w:type="dxa"/>
          </w:tcPr>
          <w:p w:rsidRPr="00175174" w:rsidR="009868DB" w:rsidP="00175174" w:rsidRDefault="009D54B2" w14:paraId="3F36AB31" w14:textId="77777777">
            <w:pPr>
              <w:suppressAutoHyphens/>
              <w:jc w:val="left"/>
            </w:pPr>
            <w:r w:rsidRPr="00175174">
              <w:t> </w:t>
            </w:r>
          </w:p>
        </w:tc>
      </w:tr>
      <w:tr w:rsidRPr="00175174" w:rsidR="009868DB" w14:paraId="75E97398" w14:textId="77777777">
        <w:tc>
          <w:tcPr>
            <w:tcW w:w="2390" w:type="dxa"/>
          </w:tcPr>
          <w:p w:rsidRPr="00175174" w:rsidR="009868DB" w:rsidP="00175174" w:rsidRDefault="009D54B2" w14:paraId="00A51B04" w14:textId="77777777">
            <w:pPr>
              <w:suppressAutoHyphens/>
              <w:jc w:val="left"/>
            </w:pPr>
            <w:r w:rsidRPr="00175174">
              <w:t> </w:t>
            </w:r>
          </w:p>
        </w:tc>
        <w:tc>
          <w:tcPr>
            <w:tcW w:w="5321" w:type="dxa"/>
          </w:tcPr>
          <w:p w:rsidRPr="00175174" w:rsidR="009868DB" w:rsidP="00175174" w:rsidRDefault="009D54B2" w14:paraId="590A2991" w14:textId="77777777">
            <w:pPr>
              <w:suppressAutoHyphens/>
              <w:jc w:val="left"/>
            </w:pPr>
            <w:r w:rsidRPr="00175174">
              <w:t>Bezoekadres:</w:t>
            </w:r>
            <w:r w:rsidRPr="00175174">
              <w:br/>
              <w:t>Parnassusplein 5 2511 VX Den Haag</w:t>
            </w:r>
          </w:p>
        </w:tc>
      </w:tr>
      <w:tr w:rsidRPr="00175174" w:rsidR="009868DB" w14:paraId="4600446E" w14:textId="77777777">
        <w:tc>
          <w:tcPr>
            <w:tcW w:w="2390" w:type="dxa"/>
          </w:tcPr>
          <w:p w:rsidRPr="00175174" w:rsidR="009868DB" w:rsidP="00175174" w:rsidRDefault="009D54B2" w14:paraId="1804844F" w14:textId="77777777">
            <w:pPr>
              <w:suppressAutoHyphens/>
              <w:jc w:val="left"/>
            </w:pPr>
            <w:r w:rsidRPr="00175174">
              <w:t> </w:t>
            </w:r>
          </w:p>
        </w:tc>
        <w:tc>
          <w:tcPr>
            <w:tcW w:w="5321" w:type="dxa"/>
          </w:tcPr>
          <w:p w:rsidRPr="00175174" w:rsidR="009868DB" w:rsidP="00175174" w:rsidRDefault="009D54B2" w14:paraId="0054885F" w14:textId="77777777">
            <w:pPr>
              <w:suppressAutoHyphens/>
              <w:jc w:val="left"/>
            </w:pPr>
            <w:r w:rsidRPr="00175174">
              <w:t> </w:t>
            </w:r>
          </w:p>
        </w:tc>
      </w:tr>
      <w:tr w:rsidRPr="00175174" w:rsidR="009868DB" w14:paraId="7FCDBDC9" w14:textId="77777777">
        <w:tc>
          <w:tcPr>
            <w:tcW w:w="2390" w:type="dxa"/>
          </w:tcPr>
          <w:p w:rsidRPr="00175174" w:rsidR="009868DB" w:rsidP="00175174" w:rsidRDefault="009868DB" w14:paraId="134E1857" w14:textId="29E21B4F">
            <w:pPr>
              <w:suppressAutoHyphens/>
              <w:jc w:val="left"/>
            </w:pPr>
          </w:p>
        </w:tc>
        <w:tc>
          <w:tcPr>
            <w:tcW w:w="5321" w:type="dxa"/>
          </w:tcPr>
          <w:p w:rsidRPr="00175174" w:rsidR="009868DB" w:rsidP="00175174" w:rsidRDefault="009868DB" w14:paraId="36088471" w14:textId="3B8CF6BA">
            <w:pPr>
              <w:suppressAutoHyphens/>
              <w:jc w:val="left"/>
            </w:pPr>
          </w:p>
        </w:tc>
      </w:tr>
      <w:tr w:rsidRPr="00175174" w:rsidR="009868DB" w14:paraId="18498E3B" w14:textId="77777777">
        <w:tc>
          <w:tcPr>
            <w:tcW w:w="2390" w:type="dxa"/>
          </w:tcPr>
          <w:p w:rsidRPr="00175174" w:rsidR="009868DB" w:rsidP="00175174" w:rsidRDefault="009868DB" w14:paraId="12F6C6F3" w14:textId="0E45F5A2">
            <w:pPr>
              <w:suppressAutoHyphens/>
              <w:jc w:val="left"/>
            </w:pPr>
          </w:p>
        </w:tc>
        <w:tc>
          <w:tcPr>
            <w:tcW w:w="5321" w:type="dxa"/>
          </w:tcPr>
          <w:p w:rsidRPr="00175174" w:rsidR="009868DB" w:rsidP="00175174" w:rsidRDefault="009868DB" w14:paraId="203B26BB" w14:textId="623E6217">
            <w:pPr>
              <w:suppressAutoHyphens/>
              <w:jc w:val="left"/>
            </w:pPr>
          </w:p>
        </w:tc>
      </w:tr>
      <w:tr w:rsidRPr="00175174" w:rsidR="009868DB" w14:paraId="75126B1A" w14:textId="77777777">
        <w:tc>
          <w:tcPr>
            <w:tcW w:w="2390" w:type="dxa"/>
          </w:tcPr>
          <w:p w:rsidRPr="00175174" w:rsidR="009868DB" w:rsidP="00175174" w:rsidRDefault="009868DB" w14:paraId="58E22D0C" w14:textId="2CED0332">
            <w:pPr>
              <w:suppressAutoHyphens/>
              <w:jc w:val="left"/>
            </w:pPr>
          </w:p>
        </w:tc>
        <w:tc>
          <w:tcPr>
            <w:tcW w:w="5321" w:type="dxa"/>
          </w:tcPr>
          <w:p w:rsidRPr="00175174" w:rsidR="009868DB" w:rsidP="00175174" w:rsidRDefault="009868DB" w14:paraId="77E7075D" w14:textId="77777777">
            <w:pPr>
              <w:suppressAutoHyphens/>
              <w:jc w:val="left"/>
            </w:pPr>
          </w:p>
        </w:tc>
      </w:tr>
      <w:tr w:rsidRPr="00175174" w:rsidR="009868DB" w14:paraId="7D3D2950" w14:textId="77777777">
        <w:tc>
          <w:tcPr>
            <w:tcW w:w="2390" w:type="dxa"/>
          </w:tcPr>
          <w:p w:rsidRPr="00175174" w:rsidR="009868DB" w:rsidP="00175174" w:rsidRDefault="009868DB" w14:paraId="5EA3A913" w14:textId="74005458">
            <w:pPr>
              <w:suppressAutoHyphens/>
              <w:jc w:val="left"/>
            </w:pPr>
          </w:p>
        </w:tc>
        <w:tc>
          <w:tcPr>
            <w:tcW w:w="5321" w:type="dxa"/>
          </w:tcPr>
          <w:p w:rsidRPr="00175174" w:rsidR="009868DB" w:rsidP="00175174" w:rsidRDefault="009868DB" w14:paraId="479A15A5" w14:textId="1BA0699C">
            <w:pPr>
              <w:suppressAutoHyphens/>
              <w:jc w:val="left"/>
            </w:pPr>
          </w:p>
        </w:tc>
      </w:tr>
      <w:tr w:rsidRPr="00175174" w:rsidR="009868DB" w14:paraId="01DA745C" w14:textId="77777777">
        <w:tc>
          <w:tcPr>
            <w:tcW w:w="2390" w:type="dxa"/>
          </w:tcPr>
          <w:p w:rsidRPr="00175174" w:rsidR="009868DB" w:rsidP="00175174" w:rsidRDefault="009868DB" w14:paraId="2E66E21E" w14:textId="4BB0A988">
            <w:pPr>
              <w:suppressAutoHyphens/>
              <w:jc w:val="left"/>
            </w:pPr>
          </w:p>
        </w:tc>
        <w:tc>
          <w:tcPr>
            <w:tcW w:w="5321" w:type="dxa"/>
          </w:tcPr>
          <w:p w:rsidRPr="00175174" w:rsidR="009868DB" w:rsidP="00175174" w:rsidRDefault="009868DB" w14:paraId="3BFD5CB6" w14:textId="77777777">
            <w:pPr>
              <w:suppressAutoHyphens/>
              <w:jc w:val="left"/>
            </w:pPr>
          </w:p>
        </w:tc>
      </w:tr>
      <w:tr w:rsidRPr="00175174" w:rsidR="009868DB" w14:paraId="64D1C684" w14:textId="77777777">
        <w:tc>
          <w:tcPr>
            <w:tcW w:w="2390" w:type="dxa"/>
          </w:tcPr>
          <w:p w:rsidRPr="00175174" w:rsidR="009868DB" w:rsidP="00175174" w:rsidRDefault="009868DB" w14:paraId="34AE906A" w14:textId="565EA2D1">
            <w:pPr>
              <w:suppressAutoHyphens/>
              <w:jc w:val="left"/>
            </w:pPr>
          </w:p>
        </w:tc>
        <w:tc>
          <w:tcPr>
            <w:tcW w:w="5321" w:type="dxa"/>
          </w:tcPr>
          <w:p w:rsidRPr="00175174" w:rsidR="009868DB" w:rsidP="00175174" w:rsidRDefault="009868DB" w14:paraId="27E705AF" w14:textId="5364A018">
            <w:pPr>
              <w:suppressAutoHyphens/>
              <w:jc w:val="left"/>
            </w:pPr>
          </w:p>
        </w:tc>
      </w:tr>
      <w:tr w:rsidRPr="00175174" w:rsidR="009868DB" w14:paraId="602680C4" w14:textId="77777777">
        <w:tc>
          <w:tcPr>
            <w:tcW w:w="2390" w:type="dxa"/>
          </w:tcPr>
          <w:p w:rsidRPr="00175174" w:rsidR="009868DB" w:rsidP="00175174" w:rsidRDefault="009868DB" w14:paraId="5EB99BC7" w14:textId="15A9F46E">
            <w:pPr>
              <w:suppressAutoHyphens/>
              <w:jc w:val="left"/>
            </w:pPr>
          </w:p>
        </w:tc>
        <w:tc>
          <w:tcPr>
            <w:tcW w:w="5321" w:type="dxa"/>
          </w:tcPr>
          <w:p w:rsidRPr="00175174" w:rsidR="009868DB" w:rsidP="00175174" w:rsidRDefault="009868DB" w14:paraId="119A1BBB" w14:textId="07990D90">
            <w:pPr>
              <w:suppressAutoHyphens/>
              <w:jc w:val="left"/>
            </w:pPr>
          </w:p>
        </w:tc>
      </w:tr>
      <w:tr w:rsidRPr="00175174" w:rsidR="009868DB" w14:paraId="5BA2F8F8" w14:textId="77777777">
        <w:tc>
          <w:tcPr>
            <w:tcW w:w="2390" w:type="dxa"/>
          </w:tcPr>
          <w:p w:rsidRPr="00175174" w:rsidR="009868DB" w:rsidP="00175174" w:rsidRDefault="009868DB" w14:paraId="4026C302" w14:textId="3412CC65">
            <w:pPr>
              <w:suppressAutoHyphens/>
              <w:jc w:val="left"/>
            </w:pPr>
          </w:p>
        </w:tc>
        <w:tc>
          <w:tcPr>
            <w:tcW w:w="5321" w:type="dxa"/>
          </w:tcPr>
          <w:p w:rsidRPr="00175174" w:rsidR="009868DB" w:rsidP="00175174" w:rsidRDefault="009868DB" w14:paraId="2A13FB78" w14:textId="77777777">
            <w:pPr>
              <w:suppressAutoHyphens/>
              <w:jc w:val="left"/>
            </w:pPr>
          </w:p>
        </w:tc>
      </w:tr>
      <w:tr w:rsidRPr="00175174" w:rsidR="009868DB" w14:paraId="5EB41ABE" w14:textId="77777777">
        <w:tc>
          <w:tcPr>
            <w:tcW w:w="2390" w:type="dxa"/>
          </w:tcPr>
          <w:p w:rsidRPr="00175174" w:rsidR="009868DB" w:rsidP="00175174" w:rsidRDefault="009868DB" w14:paraId="16361BC9" w14:textId="50380D84">
            <w:pPr>
              <w:suppressAutoHyphens/>
              <w:jc w:val="left"/>
            </w:pPr>
          </w:p>
        </w:tc>
        <w:tc>
          <w:tcPr>
            <w:tcW w:w="5321" w:type="dxa"/>
          </w:tcPr>
          <w:p w:rsidRPr="00175174" w:rsidR="009868DB" w:rsidP="00175174" w:rsidRDefault="009868DB" w14:paraId="34D4B1C1" w14:textId="77777777">
            <w:pPr>
              <w:suppressAutoHyphens/>
              <w:jc w:val="left"/>
            </w:pPr>
          </w:p>
        </w:tc>
      </w:tr>
      <w:tr w:rsidRPr="00175174" w:rsidR="009868DB" w14:paraId="449CCF74" w14:textId="77777777">
        <w:tc>
          <w:tcPr>
            <w:tcW w:w="2390" w:type="dxa"/>
          </w:tcPr>
          <w:p w:rsidRPr="00175174" w:rsidR="009868DB" w:rsidP="00175174" w:rsidRDefault="009868DB" w14:paraId="3E72DEDD" w14:textId="116B5E18">
            <w:pPr>
              <w:suppressAutoHyphens/>
              <w:jc w:val="left"/>
            </w:pPr>
          </w:p>
        </w:tc>
        <w:tc>
          <w:tcPr>
            <w:tcW w:w="5321" w:type="dxa"/>
          </w:tcPr>
          <w:p w:rsidRPr="00175174" w:rsidR="009868DB" w:rsidP="00175174" w:rsidRDefault="009868DB" w14:paraId="57DC9714" w14:textId="77777777">
            <w:pPr>
              <w:suppressAutoHyphens/>
              <w:jc w:val="left"/>
            </w:pPr>
          </w:p>
        </w:tc>
      </w:tr>
      <w:tr w:rsidRPr="00175174" w:rsidR="009868DB" w14:paraId="04013224" w14:textId="77777777">
        <w:tc>
          <w:tcPr>
            <w:tcW w:w="2390" w:type="dxa"/>
          </w:tcPr>
          <w:p w:rsidRPr="00175174" w:rsidR="009868DB" w:rsidP="00175174" w:rsidRDefault="009868DB" w14:paraId="4ECF7247" w14:textId="6DB5E872">
            <w:pPr>
              <w:suppressAutoHyphens/>
              <w:jc w:val="left"/>
            </w:pPr>
          </w:p>
        </w:tc>
        <w:tc>
          <w:tcPr>
            <w:tcW w:w="5321" w:type="dxa"/>
          </w:tcPr>
          <w:p w:rsidRPr="00175174" w:rsidR="009868DB" w:rsidP="00175174" w:rsidRDefault="009868DB" w14:paraId="075FDF2B" w14:textId="5F0569BA">
            <w:pPr>
              <w:suppressAutoHyphens/>
              <w:jc w:val="left"/>
            </w:pPr>
          </w:p>
        </w:tc>
      </w:tr>
      <w:tr w:rsidRPr="00175174" w:rsidR="009868DB" w14:paraId="44138742" w14:textId="77777777">
        <w:tc>
          <w:tcPr>
            <w:tcW w:w="2390" w:type="dxa"/>
          </w:tcPr>
          <w:p w:rsidRPr="00175174" w:rsidR="009868DB" w:rsidP="00175174" w:rsidRDefault="009868DB" w14:paraId="3CED476D" w14:textId="75061FA9">
            <w:pPr>
              <w:suppressAutoHyphens/>
              <w:jc w:val="left"/>
            </w:pPr>
          </w:p>
        </w:tc>
        <w:tc>
          <w:tcPr>
            <w:tcW w:w="5321" w:type="dxa"/>
          </w:tcPr>
          <w:p w:rsidRPr="00175174" w:rsidR="009868DB" w:rsidP="00175174" w:rsidRDefault="009868DB" w14:paraId="75D9EAD9" w14:textId="76A3627C">
            <w:pPr>
              <w:suppressAutoHyphens/>
              <w:jc w:val="left"/>
            </w:pPr>
          </w:p>
        </w:tc>
      </w:tr>
      <w:tr w:rsidRPr="00175174" w:rsidR="009868DB" w14:paraId="0AEAAB2B" w14:textId="77777777">
        <w:tc>
          <w:tcPr>
            <w:tcW w:w="2390" w:type="dxa"/>
          </w:tcPr>
          <w:p w:rsidRPr="00175174" w:rsidR="009868DB" w:rsidP="00175174" w:rsidRDefault="009868DB" w14:paraId="3C38D5B4" w14:textId="301EBCD0">
            <w:pPr>
              <w:suppressAutoHyphens/>
              <w:jc w:val="left"/>
            </w:pPr>
          </w:p>
        </w:tc>
        <w:tc>
          <w:tcPr>
            <w:tcW w:w="5321" w:type="dxa"/>
          </w:tcPr>
          <w:p w:rsidRPr="00175174" w:rsidR="009868DB" w:rsidP="00175174" w:rsidRDefault="009868DB" w14:paraId="6B6B355A" w14:textId="06F996E6">
            <w:pPr>
              <w:suppressAutoHyphens/>
              <w:jc w:val="left"/>
            </w:pPr>
          </w:p>
        </w:tc>
      </w:tr>
      <w:tr w:rsidRPr="00175174" w:rsidR="009868DB" w14:paraId="7370B84A" w14:textId="77777777">
        <w:tc>
          <w:tcPr>
            <w:tcW w:w="2390" w:type="dxa"/>
          </w:tcPr>
          <w:p w:rsidRPr="00175174" w:rsidR="009868DB" w:rsidP="00175174" w:rsidRDefault="009868DB" w14:paraId="67B552A1" w14:textId="3E475F4A">
            <w:pPr>
              <w:suppressAutoHyphens/>
              <w:jc w:val="left"/>
            </w:pPr>
          </w:p>
        </w:tc>
        <w:tc>
          <w:tcPr>
            <w:tcW w:w="5321" w:type="dxa"/>
          </w:tcPr>
          <w:p w:rsidRPr="00175174" w:rsidR="009868DB" w:rsidP="00175174" w:rsidRDefault="009868DB" w14:paraId="322FEBAA" w14:textId="263E4770">
            <w:pPr>
              <w:suppressAutoHyphens/>
              <w:jc w:val="left"/>
            </w:pPr>
          </w:p>
        </w:tc>
      </w:tr>
      <w:tr w:rsidRPr="00175174" w:rsidR="009868DB" w14:paraId="7DB0CFBD" w14:textId="77777777">
        <w:tc>
          <w:tcPr>
            <w:tcW w:w="2390" w:type="dxa"/>
          </w:tcPr>
          <w:p w:rsidRPr="00175174" w:rsidR="009868DB" w:rsidP="00175174" w:rsidRDefault="009868DB" w14:paraId="465ADF6D" w14:textId="7A3C9FA4">
            <w:pPr>
              <w:suppressAutoHyphens/>
              <w:jc w:val="left"/>
            </w:pPr>
          </w:p>
        </w:tc>
        <w:tc>
          <w:tcPr>
            <w:tcW w:w="5321" w:type="dxa"/>
          </w:tcPr>
          <w:p w:rsidRPr="00175174" w:rsidR="009868DB" w:rsidP="00175174" w:rsidRDefault="009868DB" w14:paraId="273A2BD8" w14:textId="531F7E49">
            <w:pPr>
              <w:suppressAutoHyphens/>
              <w:jc w:val="left"/>
            </w:pPr>
          </w:p>
        </w:tc>
      </w:tr>
      <w:tr w:rsidRPr="00175174" w:rsidR="009868DB" w14:paraId="4FDB6389" w14:textId="77777777">
        <w:tc>
          <w:tcPr>
            <w:tcW w:w="2390" w:type="dxa"/>
          </w:tcPr>
          <w:p w:rsidRPr="00175174" w:rsidR="009868DB" w:rsidP="00175174" w:rsidRDefault="009868DB" w14:paraId="031E7070" w14:textId="66B632F4">
            <w:pPr>
              <w:suppressAutoHyphens/>
              <w:jc w:val="left"/>
            </w:pPr>
          </w:p>
        </w:tc>
        <w:tc>
          <w:tcPr>
            <w:tcW w:w="5321" w:type="dxa"/>
          </w:tcPr>
          <w:p w:rsidRPr="00175174" w:rsidR="009868DB" w:rsidP="00175174" w:rsidRDefault="009868DB" w14:paraId="41CC2605" w14:textId="02C550B7">
            <w:pPr>
              <w:suppressAutoHyphens/>
              <w:jc w:val="left"/>
            </w:pPr>
          </w:p>
        </w:tc>
      </w:tr>
      <w:tr w:rsidRPr="00175174" w:rsidR="009868DB" w14:paraId="26F5432A" w14:textId="77777777">
        <w:tc>
          <w:tcPr>
            <w:tcW w:w="2390" w:type="dxa"/>
          </w:tcPr>
          <w:p w:rsidRPr="00175174" w:rsidR="009868DB" w:rsidP="00175174" w:rsidRDefault="009868DB" w14:paraId="2E8667D2" w14:textId="4813B7DE">
            <w:pPr>
              <w:suppressAutoHyphens/>
              <w:jc w:val="left"/>
            </w:pPr>
          </w:p>
        </w:tc>
        <w:tc>
          <w:tcPr>
            <w:tcW w:w="5321" w:type="dxa"/>
          </w:tcPr>
          <w:p w:rsidRPr="00175174" w:rsidR="009868DB" w:rsidP="00175174" w:rsidRDefault="009868DB" w14:paraId="7549B016" w14:textId="76CD9681">
            <w:pPr>
              <w:suppressAutoHyphens/>
              <w:jc w:val="left"/>
            </w:pPr>
          </w:p>
        </w:tc>
      </w:tr>
      <w:tr w:rsidRPr="00175174" w:rsidR="009868DB" w14:paraId="57ED9B6F" w14:textId="77777777">
        <w:tc>
          <w:tcPr>
            <w:tcW w:w="2390" w:type="dxa"/>
          </w:tcPr>
          <w:p w:rsidRPr="00175174" w:rsidR="009868DB" w:rsidP="00175174" w:rsidRDefault="009868DB" w14:paraId="2A1E6FCF" w14:textId="010FABEA">
            <w:pPr>
              <w:suppressAutoHyphens/>
              <w:jc w:val="left"/>
              <w:rPr>
                <w:highlight w:val="yellow"/>
              </w:rPr>
            </w:pPr>
          </w:p>
        </w:tc>
        <w:tc>
          <w:tcPr>
            <w:tcW w:w="5321" w:type="dxa"/>
          </w:tcPr>
          <w:p w:rsidRPr="00175174" w:rsidR="009868DB" w:rsidP="00175174" w:rsidRDefault="009868DB" w14:paraId="6CB431F6" w14:textId="378193CB">
            <w:pPr>
              <w:suppressAutoHyphens/>
              <w:jc w:val="left"/>
              <w:rPr>
                <w:highlight w:val="yellow"/>
              </w:rPr>
            </w:pPr>
          </w:p>
        </w:tc>
      </w:tr>
      <w:tr w:rsidRPr="00175174" w:rsidR="009868DB" w14:paraId="7D78C161" w14:textId="77777777">
        <w:tc>
          <w:tcPr>
            <w:tcW w:w="2390" w:type="dxa"/>
          </w:tcPr>
          <w:p w:rsidRPr="00175174" w:rsidR="009868DB" w:rsidP="00175174" w:rsidRDefault="009868DB" w14:paraId="5170CEE9" w14:textId="0EFE13A3">
            <w:pPr>
              <w:suppressAutoHyphens/>
              <w:jc w:val="left"/>
            </w:pPr>
          </w:p>
        </w:tc>
        <w:tc>
          <w:tcPr>
            <w:tcW w:w="5321" w:type="dxa"/>
          </w:tcPr>
          <w:p w:rsidRPr="00175174" w:rsidR="009868DB" w:rsidP="00175174" w:rsidRDefault="009868DB" w14:paraId="6FBE9576" w14:textId="5142E954">
            <w:pPr>
              <w:suppressAutoHyphens/>
              <w:jc w:val="left"/>
            </w:pPr>
          </w:p>
        </w:tc>
      </w:tr>
    </w:tbl>
    <w:p w:rsidRPr="00175174" w:rsidR="009868DB" w:rsidP="00175174" w:rsidRDefault="009D54B2" w14:paraId="1C9FADA3" w14:textId="77777777">
      <w:pPr>
        <w:suppressAutoHyphens/>
        <w:jc w:val="left"/>
      </w:pPr>
      <w:r w:rsidRPr="00175174">
        <w:t> </w:t>
      </w:r>
    </w:p>
    <w:p w:rsidRPr="00175174" w:rsidR="009868DB" w:rsidP="00175174" w:rsidRDefault="009D54B2" w14:paraId="34D50262" w14:textId="77777777">
      <w:pPr>
        <w:suppressAutoHyphens/>
        <w:jc w:val="left"/>
      </w:pPr>
      <w:r w:rsidRPr="00175174">
        <w:br w:type="page"/>
      </w:r>
    </w:p>
    <w:sdt>
      <w:sdtPr>
        <w:rPr>
          <w:rFonts w:ascii="Verdana" w:hAnsi="Verdana" w:eastAsia="DejaVu Sans" w:cs="Lohit Hindi"/>
          <w:color w:val="000000"/>
          <w:sz w:val="18"/>
          <w:szCs w:val="18"/>
        </w:rPr>
        <w:id w:val="-2084668284"/>
        <w:docPartObj>
          <w:docPartGallery w:val="Table of Contents"/>
          <w:docPartUnique/>
        </w:docPartObj>
      </w:sdtPr>
      <w:sdtEndPr>
        <w:rPr>
          <w:rFonts w:eastAsia="MS Mincho"/>
          <w:bCs/>
        </w:rPr>
      </w:sdtEndPr>
      <w:sdtContent>
        <w:p w:rsidRPr="00175174" w:rsidR="009D54B2" w:rsidP="00175174" w:rsidRDefault="009D54B2" w14:paraId="5E1C49D7" w14:textId="286EE8A4">
          <w:pPr>
            <w:pStyle w:val="Kopvaninhoudsopgave"/>
            <w:suppressAutoHyphens/>
            <w:jc w:val="left"/>
            <w:rPr>
              <w:rFonts w:ascii="Verdana" w:hAnsi="Verdana"/>
              <w:sz w:val="18"/>
              <w:szCs w:val="18"/>
            </w:rPr>
          </w:pPr>
          <w:r w:rsidRPr="00175174">
            <w:rPr>
              <w:rFonts w:ascii="Verdana" w:hAnsi="Verdana"/>
              <w:sz w:val="18"/>
              <w:szCs w:val="18"/>
            </w:rPr>
            <w:t>Inhoud</w:t>
          </w:r>
        </w:p>
        <w:bookmarkStart w:name="_Hlk222320549" w:id="0"/>
        <w:p w:rsidRPr="00175174" w:rsidR="00424893" w:rsidP="00175174" w:rsidRDefault="003B5C4C" w14:paraId="6DD3FEA7" w14:textId="59885328">
          <w:pPr>
            <w:pStyle w:val="Inhopg1"/>
            <w:suppressAutoHyphens/>
            <w:jc w:val="left"/>
            <w:rPr>
              <w:rFonts w:eastAsiaTheme="minorEastAsia" w:cstheme="minorBidi"/>
              <w:b w:val="0"/>
              <w:noProof/>
              <w:color w:val="auto"/>
              <w:kern w:val="2"/>
              <w14:ligatures w14:val="standardContextual"/>
            </w:rPr>
          </w:pPr>
          <w:r w:rsidRPr="00175174">
            <w:fldChar w:fldCharType="begin"/>
          </w:r>
          <w:r w:rsidRPr="00175174">
            <w:instrText xml:space="preserve"> TOC \o "1-2" \h \z \u </w:instrText>
          </w:r>
          <w:r w:rsidRPr="00175174">
            <w:fldChar w:fldCharType="separate"/>
          </w:r>
          <w:hyperlink w:history="1" w:anchor="_Toc227050505">
            <w:r w:rsidRPr="00175174" w:rsidR="00424893">
              <w:rPr>
                <w:rStyle w:val="Hyperlink"/>
                <w:noProof/>
              </w:rPr>
              <w:t>1</w:t>
            </w:r>
            <w:r w:rsidRPr="00175174" w:rsidR="00424893">
              <w:rPr>
                <w:rFonts w:eastAsiaTheme="minorEastAsia" w:cstheme="minorBidi"/>
                <w:b w:val="0"/>
                <w:noProof/>
                <w:color w:val="auto"/>
                <w:kern w:val="2"/>
                <w14:ligatures w14:val="standardContextual"/>
              </w:rPr>
              <w:tab/>
            </w:r>
            <w:r w:rsidRPr="00175174" w:rsidR="00424893">
              <w:rPr>
                <w:rStyle w:val="Hyperlink"/>
                <w:noProof/>
              </w:rPr>
              <w:t>Inleiding</w:t>
            </w:r>
            <w:r w:rsidRPr="00175174" w:rsidR="00424893">
              <w:rPr>
                <w:noProof/>
                <w:webHidden/>
              </w:rPr>
              <w:tab/>
            </w:r>
            <w:r w:rsidRPr="00175174" w:rsidR="00424893">
              <w:rPr>
                <w:noProof/>
                <w:webHidden/>
              </w:rPr>
              <w:fldChar w:fldCharType="begin"/>
            </w:r>
            <w:r w:rsidRPr="00175174" w:rsidR="00424893">
              <w:rPr>
                <w:noProof/>
                <w:webHidden/>
              </w:rPr>
              <w:instrText xml:space="preserve"> PAGEREF _Toc227050505 \h </w:instrText>
            </w:r>
            <w:r w:rsidRPr="00175174" w:rsidR="00424893">
              <w:rPr>
                <w:noProof/>
                <w:webHidden/>
              </w:rPr>
            </w:r>
            <w:r w:rsidRPr="00175174" w:rsidR="00424893">
              <w:rPr>
                <w:noProof/>
                <w:webHidden/>
              </w:rPr>
              <w:fldChar w:fldCharType="separate"/>
            </w:r>
            <w:r w:rsidR="00175174">
              <w:rPr>
                <w:noProof/>
                <w:webHidden/>
              </w:rPr>
              <w:t>5</w:t>
            </w:r>
            <w:r w:rsidRPr="00175174" w:rsidR="00424893">
              <w:rPr>
                <w:noProof/>
                <w:webHidden/>
              </w:rPr>
              <w:fldChar w:fldCharType="end"/>
            </w:r>
          </w:hyperlink>
        </w:p>
        <w:p w:rsidRPr="00175174" w:rsidR="00424893" w:rsidP="00175174" w:rsidRDefault="00424893" w14:paraId="78DD47D9" w14:textId="35E16783">
          <w:pPr>
            <w:pStyle w:val="Inhopg2"/>
            <w:suppressAutoHyphens/>
            <w:jc w:val="left"/>
            <w:rPr>
              <w:rFonts w:eastAsiaTheme="minorEastAsia" w:cstheme="minorBidi"/>
              <w:noProof/>
              <w:color w:val="auto"/>
              <w:kern w:val="2"/>
              <w14:ligatures w14:val="standardContextual"/>
            </w:rPr>
          </w:pPr>
          <w:hyperlink w:history="1" w:anchor="_Toc227050506">
            <w:r w:rsidRPr="00175174">
              <w:rPr>
                <w:rStyle w:val="Hyperlink"/>
                <w:noProof/>
              </w:rPr>
              <w:t>1.1</w:t>
            </w:r>
            <w:r w:rsidRPr="00175174">
              <w:rPr>
                <w:rFonts w:eastAsiaTheme="minorEastAsia" w:cstheme="minorBidi"/>
                <w:noProof/>
                <w:color w:val="auto"/>
                <w:kern w:val="2"/>
                <w14:ligatures w14:val="standardContextual"/>
              </w:rPr>
              <w:tab/>
            </w:r>
            <w:r w:rsidRPr="00175174">
              <w:rPr>
                <w:rStyle w:val="Hyperlink"/>
                <w:noProof/>
              </w:rPr>
              <w:t>Derde voortgangsrapportage</w:t>
            </w:r>
            <w:r w:rsidRPr="00175174">
              <w:rPr>
                <w:noProof/>
                <w:webHidden/>
              </w:rPr>
              <w:tab/>
            </w:r>
            <w:r w:rsidRPr="00175174">
              <w:rPr>
                <w:noProof/>
                <w:webHidden/>
              </w:rPr>
              <w:fldChar w:fldCharType="begin"/>
            </w:r>
            <w:r w:rsidRPr="00175174">
              <w:rPr>
                <w:noProof/>
                <w:webHidden/>
              </w:rPr>
              <w:instrText xml:space="preserve"> PAGEREF _Toc227050506 \h </w:instrText>
            </w:r>
            <w:r w:rsidRPr="00175174">
              <w:rPr>
                <w:noProof/>
                <w:webHidden/>
              </w:rPr>
            </w:r>
            <w:r w:rsidRPr="00175174">
              <w:rPr>
                <w:noProof/>
                <w:webHidden/>
              </w:rPr>
              <w:fldChar w:fldCharType="separate"/>
            </w:r>
            <w:r w:rsidR="00175174">
              <w:rPr>
                <w:noProof/>
                <w:webHidden/>
              </w:rPr>
              <w:t>5</w:t>
            </w:r>
            <w:r w:rsidRPr="00175174">
              <w:rPr>
                <w:noProof/>
                <w:webHidden/>
              </w:rPr>
              <w:fldChar w:fldCharType="end"/>
            </w:r>
          </w:hyperlink>
        </w:p>
        <w:p w:rsidRPr="00175174" w:rsidR="00424893" w:rsidP="00175174" w:rsidRDefault="00424893" w14:paraId="5C1A4159" w14:textId="5739A6C1">
          <w:pPr>
            <w:pStyle w:val="Inhopg2"/>
            <w:suppressAutoHyphens/>
            <w:jc w:val="left"/>
            <w:rPr>
              <w:rFonts w:eastAsiaTheme="minorEastAsia" w:cstheme="minorBidi"/>
              <w:noProof/>
              <w:color w:val="auto"/>
              <w:kern w:val="2"/>
              <w14:ligatures w14:val="standardContextual"/>
            </w:rPr>
          </w:pPr>
          <w:hyperlink w:history="1" w:anchor="_Toc227050507">
            <w:r w:rsidRPr="00175174">
              <w:rPr>
                <w:rStyle w:val="Hyperlink"/>
                <w:noProof/>
              </w:rPr>
              <w:t>1.2</w:t>
            </w:r>
            <w:r w:rsidRPr="00175174">
              <w:rPr>
                <w:rFonts w:eastAsiaTheme="minorEastAsia" w:cstheme="minorBidi"/>
                <w:noProof/>
                <w:color w:val="auto"/>
                <w:kern w:val="2"/>
                <w14:ligatures w14:val="standardContextual"/>
              </w:rPr>
              <w:tab/>
            </w:r>
            <w:r w:rsidRPr="00175174">
              <w:rPr>
                <w:rStyle w:val="Hyperlink"/>
                <w:noProof/>
              </w:rPr>
              <w:t>Strategisch doel van het programma: borging van toekomstige voorzieningszekerheid van medische isotopen</w:t>
            </w:r>
            <w:r w:rsidRPr="00175174">
              <w:rPr>
                <w:noProof/>
                <w:webHidden/>
              </w:rPr>
              <w:tab/>
            </w:r>
            <w:r w:rsidRPr="00175174">
              <w:rPr>
                <w:noProof/>
                <w:webHidden/>
              </w:rPr>
              <w:fldChar w:fldCharType="begin"/>
            </w:r>
            <w:r w:rsidRPr="00175174">
              <w:rPr>
                <w:noProof/>
                <w:webHidden/>
              </w:rPr>
              <w:instrText xml:space="preserve"> PAGEREF _Toc227050507 \h </w:instrText>
            </w:r>
            <w:r w:rsidRPr="00175174">
              <w:rPr>
                <w:noProof/>
                <w:webHidden/>
              </w:rPr>
            </w:r>
            <w:r w:rsidRPr="00175174">
              <w:rPr>
                <w:noProof/>
                <w:webHidden/>
              </w:rPr>
              <w:fldChar w:fldCharType="separate"/>
            </w:r>
            <w:r w:rsidR="00175174">
              <w:rPr>
                <w:noProof/>
                <w:webHidden/>
              </w:rPr>
              <w:t>6</w:t>
            </w:r>
            <w:r w:rsidRPr="00175174">
              <w:rPr>
                <w:noProof/>
                <w:webHidden/>
              </w:rPr>
              <w:fldChar w:fldCharType="end"/>
            </w:r>
          </w:hyperlink>
        </w:p>
        <w:p w:rsidRPr="00175174" w:rsidR="00424893" w:rsidP="00175174" w:rsidRDefault="00424893" w14:paraId="7649D45C" w14:textId="13BABA50">
          <w:pPr>
            <w:pStyle w:val="Inhopg2"/>
            <w:suppressAutoHyphens/>
            <w:jc w:val="left"/>
            <w:rPr>
              <w:rFonts w:eastAsiaTheme="minorEastAsia" w:cstheme="minorBidi"/>
              <w:noProof/>
              <w:color w:val="auto"/>
              <w:kern w:val="2"/>
              <w14:ligatures w14:val="standardContextual"/>
            </w:rPr>
          </w:pPr>
          <w:hyperlink w:history="1" w:anchor="_Toc227050508">
            <w:r w:rsidRPr="00175174">
              <w:rPr>
                <w:rStyle w:val="Hyperlink"/>
                <w:noProof/>
              </w:rPr>
              <w:t>1.3</w:t>
            </w:r>
            <w:r w:rsidRPr="00175174">
              <w:rPr>
                <w:rFonts w:eastAsiaTheme="minorEastAsia" w:cstheme="minorBidi"/>
                <w:noProof/>
                <w:color w:val="auto"/>
                <w:kern w:val="2"/>
                <w14:ligatures w14:val="standardContextual"/>
              </w:rPr>
              <w:tab/>
            </w:r>
            <w:r w:rsidRPr="00175174">
              <w:rPr>
                <w:rStyle w:val="Hyperlink"/>
                <w:noProof/>
              </w:rPr>
              <w:t>NRG PALLAS B.V. en het PALLAS-nieuwbouwprogramma</w:t>
            </w:r>
            <w:r w:rsidRPr="00175174">
              <w:rPr>
                <w:noProof/>
                <w:webHidden/>
              </w:rPr>
              <w:tab/>
            </w:r>
            <w:r w:rsidRPr="00175174">
              <w:rPr>
                <w:noProof/>
                <w:webHidden/>
              </w:rPr>
              <w:fldChar w:fldCharType="begin"/>
            </w:r>
            <w:r w:rsidRPr="00175174">
              <w:rPr>
                <w:noProof/>
                <w:webHidden/>
              </w:rPr>
              <w:instrText xml:space="preserve"> PAGEREF _Toc227050508 \h </w:instrText>
            </w:r>
            <w:r w:rsidRPr="00175174">
              <w:rPr>
                <w:noProof/>
                <w:webHidden/>
              </w:rPr>
            </w:r>
            <w:r w:rsidRPr="00175174">
              <w:rPr>
                <w:noProof/>
                <w:webHidden/>
              </w:rPr>
              <w:fldChar w:fldCharType="separate"/>
            </w:r>
            <w:r w:rsidR="00175174">
              <w:rPr>
                <w:noProof/>
                <w:webHidden/>
              </w:rPr>
              <w:t>6</w:t>
            </w:r>
            <w:r w:rsidRPr="00175174">
              <w:rPr>
                <w:noProof/>
                <w:webHidden/>
              </w:rPr>
              <w:fldChar w:fldCharType="end"/>
            </w:r>
          </w:hyperlink>
        </w:p>
        <w:p w:rsidRPr="00175174" w:rsidR="00424893" w:rsidP="00175174" w:rsidRDefault="00424893" w14:paraId="0964D63F" w14:textId="3F2F96E3">
          <w:pPr>
            <w:pStyle w:val="Inhopg2"/>
            <w:suppressAutoHyphens/>
            <w:jc w:val="left"/>
            <w:rPr>
              <w:rFonts w:eastAsiaTheme="minorEastAsia" w:cstheme="minorBidi"/>
              <w:noProof/>
              <w:color w:val="auto"/>
              <w:kern w:val="2"/>
              <w14:ligatures w14:val="standardContextual"/>
            </w:rPr>
          </w:pPr>
          <w:hyperlink w:history="1" w:anchor="_Toc227050509">
            <w:r w:rsidRPr="00175174">
              <w:rPr>
                <w:rStyle w:val="Hyperlink"/>
                <w:noProof/>
              </w:rPr>
              <w:t>1.4</w:t>
            </w:r>
            <w:r w:rsidRPr="00175174">
              <w:rPr>
                <w:rFonts w:eastAsiaTheme="minorEastAsia" w:cstheme="minorBidi"/>
                <w:noProof/>
                <w:color w:val="auto"/>
                <w:kern w:val="2"/>
                <w14:ligatures w14:val="standardContextual"/>
              </w:rPr>
              <w:tab/>
            </w:r>
            <w:r w:rsidRPr="00175174">
              <w:rPr>
                <w:rStyle w:val="Hyperlink"/>
                <w:noProof/>
              </w:rPr>
              <w:t>Directie Deelnemingen en Aandeelhoudersadvisering</w:t>
            </w:r>
            <w:r w:rsidRPr="00175174">
              <w:rPr>
                <w:noProof/>
                <w:webHidden/>
              </w:rPr>
              <w:tab/>
            </w:r>
            <w:r w:rsidRPr="00175174">
              <w:rPr>
                <w:noProof/>
                <w:webHidden/>
              </w:rPr>
              <w:fldChar w:fldCharType="begin"/>
            </w:r>
            <w:r w:rsidRPr="00175174">
              <w:rPr>
                <w:noProof/>
                <w:webHidden/>
              </w:rPr>
              <w:instrText xml:space="preserve"> PAGEREF _Toc227050509 \h </w:instrText>
            </w:r>
            <w:r w:rsidRPr="00175174">
              <w:rPr>
                <w:noProof/>
                <w:webHidden/>
              </w:rPr>
            </w:r>
            <w:r w:rsidRPr="00175174">
              <w:rPr>
                <w:noProof/>
                <w:webHidden/>
              </w:rPr>
              <w:fldChar w:fldCharType="separate"/>
            </w:r>
            <w:r w:rsidR="00175174">
              <w:rPr>
                <w:noProof/>
                <w:webHidden/>
              </w:rPr>
              <w:t>7</w:t>
            </w:r>
            <w:r w:rsidRPr="00175174">
              <w:rPr>
                <w:noProof/>
                <w:webHidden/>
              </w:rPr>
              <w:fldChar w:fldCharType="end"/>
            </w:r>
          </w:hyperlink>
        </w:p>
        <w:p w:rsidRPr="00175174" w:rsidR="00424893" w:rsidP="00175174" w:rsidRDefault="00424893" w14:paraId="7C7BD612" w14:textId="1816EF0C">
          <w:pPr>
            <w:pStyle w:val="Inhopg1"/>
            <w:suppressAutoHyphens/>
            <w:jc w:val="left"/>
            <w:rPr>
              <w:rFonts w:eastAsiaTheme="minorEastAsia" w:cstheme="minorBidi"/>
              <w:b w:val="0"/>
              <w:noProof/>
              <w:color w:val="auto"/>
              <w:kern w:val="2"/>
              <w14:ligatures w14:val="standardContextual"/>
            </w:rPr>
          </w:pPr>
          <w:hyperlink w:history="1" w:anchor="_Toc227050510">
            <w:r w:rsidRPr="00175174">
              <w:rPr>
                <w:rStyle w:val="Hyperlink"/>
                <w:noProof/>
              </w:rPr>
              <w:t>2</w:t>
            </w:r>
            <w:r w:rsidRPr="00175174">
              <w:rPr>
                <w:rFonts w:eastAsiaTheme="minorEastAsia" w:cstheme="minorBidi"/>
                <w:b w:val="0"/>
                <w:noProof/>
                <w:color w:val="auto"/>
                <w:kern w:val="2"/>
                <w14:ligatures w14:val="standardContextual"/>
              </w:rPr>
              <w:tab/>
            </w:r>
            <w:r w:rsidRPr="00175174">
              <w:rPr>
                <w:rStyle w:val="Hyperlink"/>
                <w:noProof/>
              </w:rPr>
              <w:t>Programmavoortgang</w:t>
            </w:r>
            <w:r w:rsidRPr="00175174">
              <w:rPr>
                <w:noProof/>
                <w:webHidden/>
              </w:rPr>
              <w:tab/>
            </w:r>
            <w:r w:rsidRPr="00175174">
              <w:rPr>
                <w:noProof/>
                <w:webHidden/>
              </w:rPr>
              <w:fldChar w:fldCharType="begin"/>
            </w:r>
            <w:r w:rsidRPr="00175174">
              <w:rPr>
                <w:noProof/>
                <w:webHidden/>
              </w:rPr>
              <w:instrText xml:space="preserve"> PAGEREF _Toc227050510 \h </w:instrText>
            </w:r>
            <w:r w:rsidRPr="00175174">
              <w:rPr>
                <w:noProof/>
                <w:webHidden/>
              </w:rPr>
            </w:r>
            <w:r w:rsidRPr="00175174">
              <w:rPr>
                <w:noProof/>
                <w:webHidden/>
              </w:rPr>
              <w:fldChar w:fldCharType="separate"/>
            </w:r>
            <w:r w:rsidR="00175174">
              <w:rPr>
                <w:noProof/>
                <w:webHidden/>
              </w:rPr>
              <w:t>8</w:t>
            </w:r>
            <w:r w:rsidRPr="00175174">
              <w:rPr>
                <w:noProof/>
                <w:webHidden/>
              </w:rPr>
              <w:fldChar w:fldCharType="end"/>
            </w:r>
          </w:hyperlink>
        </w:p>
        <w:p w:rsidRPr="00175174" w:rsidR="00424893" w:rsidP="00175174" w:rsidRDefault="00424893" w14:paraId="35D070AB" w14:textId="3EDF7780">
          <w:pPr>
            <w:pStyle w:val="Inhopg2"/>
            <w:suppressAutoHyphens/>
            <w:jc w:val="left"/>
            <w:rPr>
              <w:rFonts w:eastAsiaTheme="minorEastAsia" w:cstheme="minorBidi"/>
              <w:noProof/>
              <w:color w:val="auto"/>
              <w:kern w:val="2"/>
              <w14:ligatures w14:val="standardContextual"/>
            </w:rPr>
          </w:pPr>
          <w:hyperlink w:history="1" w:anchor="_Toc227050511">
            <w:r w:rsidRPr="00175174">
              <w:rPr>
                <w:rStyle w:val="Hyperlink"/>
                <w:noProof/>
              </w:rPr>
              <w:t>2.1</w:t>
            </w:r>
            <w:r w:rsidRPr="00175174">
              <w:rPr>
                <w:rFonts w:eastAsiaTheme="minorEastAsia" w:cstheme="minorBidi"/>
                <w:noProof/>
                <w:color w:val="auto"/>
                <w:kern w:val="2"/>
                <w14:ligatures w14:val="standardContextual"/>
              </w:rPr>
              <w:tab/>
            </w:r>
            <w:r w:rsidRPr="00175174">
              <w:rPr>
                <w:rStyle w:val="Hyperlink"/>
                <w:noProof/>
              </w:rPr>
              <w:t>Inleiding</w:t>
            </w:r>
            <w:r w:rsidRPr="00175174">
              <w:rPr>
                <w:noProof/>
                <w:webHidden/>
              </w:rPr>
              <w:tab/>
            </w:r>
            <w:r w:rsidRPr="00175174">
              <w:rPr>
                <w:noProof/>
                <w:webHidden/>
              </w:rPr>
              <w:fldChar w:fldCharType="begin"/>
            </w:r>
            <w:r w:rsidRPr="00175174">
              <w:rPr>
                <w:noProof/>
                <w:webHidden/>
              </w:rPr>
              <w:instrText xml:space="preserve"> PAGEREF _Toc227050511 \h </w:instrText>
            </w:r>
            <w:r w:rsidRPr="00175174">
              <w:rPr>
                <w:noProof/>
                <w:webHidden/>
              </w:rPr>
            </w:r>
            <w:r w:rsidRPr="00175174">
              <w:rPr>
                <w:noProof/>
                <w:webHidden/>
              </w:rPr>
              <w:fldChar w:fldCharType="separate"/>
            </w:r>
            <w:r w:rsidR="00175174">
              <w:rPr>
                <w:noProof/>
                <w:webHidden/>
              </w:rPr>
              <w:t>8</w:t>
            </w:r>
            <w:r w:rsidRPr="00175174">
              <w:rPr>
                <w:noProof/>
                <w:webHidden/>
              </w:rPr>
              <w:fldChar w:fldCharType="end"/>
            </w:r>
          </w:hyperlink>
        </w:p>
        <w:p w:rsidRPr="00175174" w:rsidR="00424893" w:rsidP="00175174" w:rsidRDefault="00424893" w14:paraId="187F1AFA" w14:textId="5A5899F6">
          <w:pPr>
            <w:pStyle w:val="Inhopg2"/>
            <w:suppressAutoHyphens/>
            <w:jc w:val="left"/>
            <w:rPr>
              <w:rFonts w:eastAsiaTheme="minorEastAsia" w:cstheme="minorBidi"/>
              <w:noProof/>
              <w:color w:val="auto"/>
              <w:kern w:val="2"/>
              <w14:ligatures w14:val="standardContextual"/>
            </w:rPr>
          </w:pPr>
          <w:hyperlink w:history="1" w:anchor="_Toc227050512">
            <w:r w:rsidRPr="00175174">
              <w:rPr>
                <w:rStyle w:val="Hyperlink"/>
                <w:noProof/>
              </w:rPr>
              <w:t>2.2</w:t>
            </w:r>
            <w:r w:rsidRPr="00175174">
              <w:rPr>
                <w:rFonts w:eastAsiaTheme="minorEastAsia" w:cstheme="minorBidi"/>
                <w:noProof/>
                <w:color w:val="auto"/>
                <w:kern w:val="2"/>
                <w14:ligatures w14:val="standardContextual"/>
              </w:rPr>
              <w:tab/>
            </w:r>
            <w:r w:rsidRPr="00175174">
              <w:rPr>
                <w:rStyle w:val="Hyperlink"/>
                <w:noProof/>
              </w:rPr>
              <w:t>Bestuurlijke ontwikkelingen</w:t>
            </w:r>
            <w:r w:rsidRPr="00175174">
              <w:rPr>
                <w:noProof/>
                <w:webHidden/>
              </w:rPr>
              <w:tab/>
            </w:r>
            <w:r w:rsidRPr="00175174">
              <w:rPr>
                <w:noProof/>
                <w:webHidden/>
              </w:rPr>
              <w:fldChar w:fldCharType="begin"/>
            </w:r>
            <w:r w:rsidRPr="00175174">
              <w:rPr>
                <w:noProof/>
                <w:webHidden/>
              </w:rPr>
              <w:instrText xml:space="preserve"> PAGEREF _Toc227050512 \h </w:instrText>
            </w:r>
            <w:r w:rsidRPr="00175174">
              <w:rPr>
                <w:noProof/>
                <w:webHidden/>
              </w:rPr>
            </w:r>
            <w:r w:rsidRPr="00175174">
              <w:rPr>
                <w:noProof/>
                <w:webHidden/>
              </w:rPr>
              <w:fldChar w:fldCharType="separate"/>
            </w:r>
            <w:r w:rsidR="00175174">
              <w:rPr>
                <w:noProof/>
                <w:webHidden/>
              </w:rPr>
              <w:t>8</w:t>
            </w:r>
            <w:r w:rsidRPr="00175174">
              <w:rPr>
                <w:noProof/>
                <w:webHidden/>
              </w:rPr>
              <w:fldChar w:fldCharType="end"/>
            </w:r>
          </w:hyperlink>
        </w:p>
        <w:p w:rsidRPr="00175174" w:rsidR="00424893" w:rsidP="00175174" w:rsidRDefault="00424893" w14:paraId="5F3AADE7" w14:textId="61626A6B">
          <w:pPr>
            <w:pStyle w:val="Inhopg2"/>
            <w:suppressAutoHyphens/>
            <w:jc w:val="left"/>
            <w:rPr>
              <w:rFonts w:eastAsiaTheme="minorEastAsia" w:cstheme="minorBidi"/>
              <w:noProof/>
              <w:color w:val="auto"/>
              <w:kern w:val="2"/>
              <w14:ligatures w14:val="standardContextual"/>
            </w:rPr>
          </w:pPr>
          <w:hyperlink w:history="1" w:anchor="_Toc227050513">
            <w:r w:rsidRPr="00175174">
              <w:rPr>
                <w:rStyle w:val="Hyperlink"/>
                <w:noProof/>
              </w:rPr>
              <w:t>2.3</w:t>
            </w:r>
            <w:r w:rsidRPr="00175174">
              <w:rPr>
                <w:rFonts w:eastAsiaTheme="minorEastAsia" w:cstheme="minorBidi"/>
                <w:noProof/>
                <w:color w:val="auto"/>
                <w:kern w:val="2"/>
                <w14:ligatures w14:val="standardContextual"/>
              </w:rPr>
              <w:tab/>
            </w:r>
            <w:r w:rsidRPr="00175174">
              <w:rPr>
                <w:rStyle w:val="Hyperlink"/>
                <w:noProof/>
              </w:rPr>
              <w:t>Werk in voorbereiding</w:t>
            </w:r>
            <w:r w:rsidRPr="00175174">
              <w:rPr>
                <w:noProof/>
                <w:webHidden/>
              </w:rPr>
              <w:tab/>
            </w:r>
            <w:r w:rsidRPr="00175174">
              <w:rPr>
                <w:noProof/>
                <w:webHidden/>
              </w:rPr>
              <w:fldChar w:fldCharType="begin"/>
            </w:r>
            <w:r w:rsidRPr="00175174">
              <w:rPr>
                <w:noProof/>
                <w:webHidden/>
              </w:rPr>
              <w:instrText xml:space="preserve"> PAGEREF _Toc227050513 \h </w:instrText>
            </w:r>
            <w:r w:rsidRPr="00175174">
              <w:rPr>
                <w:noProof/>
                <w:webHidden/>
              </w:rPr>
            </w:r>
            <w:r w:rsidRPr="00175174">
              <w:rPr>
                <w:noProof/>
                <w:webHidden/>
              </w:rPr>
              <w:fldChar w:fldCharType="separate"/>
            </w:r>
            <w:r w:rsidR="00175174">
              <w:rPr>
                <w:noProof/>
                <w:webHidden/>
              </w:rPr>
              <w:t>8</w:t>
            </w:r>
            <w:r w:rsidRPr="00175174">
              <w:rPr>
                <w:noProof/>
                <w:webHidden/>
              </w:rPr>
              <w:fldChar w:fldCharType="end"/>
            </w:r>
          </w:hyperlink>
        </w:p>
        <w:p w:rsidRPr="00175174" w:rsidR="00424893" w:rsidP="00175174" w:rsidRDefault="00424893" w14:paraId="692E62E3" w14:textId="74E152F5">
          <w:pPr>
            <w:pStyle w:val="Inhopg2"/>
            <w:suppressAutoHyphens/>
            <w:jc w:val="left"/>
            <w:rPr>
              <w:rFonts w:eastAsiaTheme="minorEastAsia" w:cstheme="minorBidi"/>
              <w:noProof/>
              <w:color w:val="auto"/>
              <w:kern w:val="2"/>
              <w14:ligatures w14:val="standardContextual"/>
            </w:rPr>
          </w:pPr>
          <w:hyperlink w:history="1" w:anchor="_Toc227050514">
            <w:r w:rsidRPr="00175174">
              <w:rPr>
                <w:rStyle w:val="Hyperlink"/>
                <w:noProof/>
              </w:rPr>
              <w:t>2.4</w:t>
            </w:r>
            <w:r w:rsidRPr="00175174">
              <w:rPr>
                <w:rFonts w:eastAsiaTheme="minorEastAsia" w:cstheme="minorBidi"/>
                <w:noProof/>
                <w:color w:val="auto"/>
                <w:kern w:val="2"/>
                <w14:ligatures w14:val="standardContextual"/>
              </w:rPr>
              <w:tab/>
            </w:r>
            <w:r w:rsidRPr="00175174">
              <w:rPr>
                <w:rStyle w:val="Hyperlink"/>
                <w:noProof/>
              </w:rPr>
              <w:t>Werk in uitvoering</w:t>
            </w:r>
            <w:r w:rsidRPr="00175174">
              <w:rPr>
                <w:noProof/>
                <w:webHidden/>
              </w:rPr>
              <w:tab/>
            </w:r>
            <w:r w:rsidRPr="00175174">
              <w:rPr>
                <w:noProof/>
                <w:webHidden/>
              </w:rPr>
              <w:fldChar w:fldCharType="begin"/>
            </w:r>
            <w:r w:rsidRPr="00175174">
              <w:rPr>
                <w:noProof/>
                <w:webHidden/>
              </w:rPr>
              <w:instrText xml:space="preserve"> PAGEREF _Toc227050514 \h </w:instrText>
            </w:r>
            <w:r w:rsidRPr="00175174">
              <w:rPr>
                <w:noProof/>
                <w:webHidden/>
              </w:rPr>
            </w:r>
            <w:r w:rsidRPr="00175174">
              <w:rPr>
                <w:noProof/>
                <w:webHidden/>
              </w:rPr>
              <w:fldChar w:fldCharType="separate"/>
            </w:r>
            <w:r w:rsidR="00175174">
              <w:rPr>
                <w:noProof/>
                <w:webHidden/>
              </w:rPr>
              <w:t>10</w:t>
            </w:r>
            <w:r w:rsidRPr="00175174">
              <w:rPr>
                <w:noProof/>
                <w:webHidden/>
              </w:rPr>
              <w:fldChar w:fldCharType="end"/>
            </w:r>
          </w:hyperlink>
        </w:p>
        <w:p w:rsidRPr="00175174" w:rsidR="00424893" w:rsidP="00175174" w:rsidRDefault="00424893" w14:paraId="339494DA" w14:textId="26188A2A">
          <w:pPr>
            <w:pStyle w:val="Inhopg1"/>
            <w:suppressAutoHyphens/>
            <w:jc w:val="left"/>
            <w:rPr>
              <w:rFonts w:eastAsiaTheme="minorEastAsia" w:cstheme="minorBidi"/>
              <w:b w:val="0"/>
              <w:noProof/>
              <w:color w:val="auto"/>
              <w:kern w:val="2"/>
              <w14:ligatures w14:val="standardContextual"/>
            </w:rPr>
          </w:pPr>
          <w:hyperlink w:history="1" w:anchor="_Toc227050515">
            <w:r w:rsidRPr="00175174">
              <w:rPr>
                <w:rStyle w:val="Hyperlink"/>
                <w:noProof/>
              </w:rPr>
              <w:t>3</w:t>
            </w:r>
            <w:r w:rsidRPr="00175174">
              <w:rPr>
                <w:rFonts w:eastAsiaTheme="minorEastAsia" w:cstheme="minorBidi"/>
                <w:b w:val="0"/>
                <w:noProof/>
                <w:color w:val="auto"/>
                <w:kern w:val="2"/>
                <w14:ligatures w14:val="standardContextual"/>
              </w:rPr>
              <w:tab/>
            </w:r>
            <w:r w:rsidRPr="00175174">
              <w:rPr>
                <w:rStyle w:val="Hyperlink"/>
                <w:noProof/>
              </w:rPr>
              <w:t>Programmabeheersing</w:t>
            </w:r>
            <w:r w:rsidRPr="00175174">
              <w:rPr>
                <w:noProof/>
                <w:webHidden/>
              </w:rPr>
              <w:tab/>
            </w:r>
            <w:r w:rsidRPr="00175174">
              <w:rPr>
                <w:noProof/>
                <w:webHidden/>
              </w:rPr>
              <w:fldChar w:fldCharType="begin"/>
            </w:r>
            <w:r w:rsidRPr="00175174">
              <w:rPr>
                <w:noProof/>
                <w:webHidden/>
              </w:rPr>
              <w:instrText xml:space="preserve"> PAGEREF _Toc227050515 \h </w:instrText>
            </w:r>
            <w:r w:rsidRPr="00175174">
              <w:rPr>
                <w:noProof/>
                <w:webHidden/>
              </w:rPr>
            </w:r>
            <w:r w:rsidRPr="00175174">
              <w:rPr>
                <w:noProof/>
                <w:webHidden/>
              </w:rPr>
              <w:fldChar w:fldCharType="separate"/>
            </w:r>
            <w:r w:rsidR="00175174">
              <w:rPr>
                <w:noProof/>
                <w:webHidden/>
              </w:rPr>
              <w:t>13</w:t>
            </w:r>
            <w:r w:rsidRPr="00175174">
              <w:rPr>
                <w:noProof/>
                <w:webHidden/>
              </w:rPr>
              <w:fldChar w:fldCharType="end"/>
            </w:r>
          </w:hyperlink>
        </w:p>
        <w:p w:rsidRPr="00175174" w:rsidR="00424893" w:rsidP="00175174" w:rsidRDefault="00424893" w14:paraId="661F48BC" w14:textId="4100886D">
          <w:pPr>
            <w:pStyle w:val="Inhopg2"/>
            <w:suppressAutoHyphens/>
            <w:jc w:val="left"/>
            <w:rPr>
              <w:rFonts w:eastAsiaTheme="minorEastAsia" w:cstheme="minorBidi"/>
              <w:noProof/>
              <w:color w:val="auto"/>
              <w:kern w:val="2"/>
              <w14:ligatures w14:val="standardContextual"/>
            </w:rPr>
          </w:pPr>
          <w:hyperlink w:history="1" w:anchor="_Toc227050516">
            <w:r w:rsidRPr="00175174">
              <w:rPr>
                <w:rStyle w:val="Hyperlink"/>
                <w:noProof/>
              </w:rPr>
              <w:t>3.1</w:t>
            </w:r>
            <w:r w:rsidRPr="00175174">
              <w:rPr>
                <w:rFonts w:eastAsiaTheme="minorEastAsia" w:cstheme="minorBidi"/>
                <w:noProof/>
                <w:color w:val="auto"/>
                <w:kern w:val="2"/>
                <w14:ligatures w14:val="standardContextual"/>
              </w:rPr>
              <w:tab/>
            </w:r>
            <w:r w:rsidRPr="00175174">
              <w:rPr>
                <w:rStyle w:val="Hyperlink"/>
                <w:noProof/>
              </w:rPr>
              <w:t>Inleiding</w:t>
            </w:r>
            <w:r w:rsidRPr="00175174">
              <w:rPr>
                <w:noProof/>
                <w:webHidden/>
              </w:rPr>
              <w:tab/>
            </w:r>
            <w:r w:rsidRPr="00175174">
              <w:rPr>
                <w:noProof/>
                <w:webHidden/>
              </w:rPr>
              <w:fldChar w:fldCharType="begin"/>
            </w:r>
            <w:r w:rsidRPr="00175174">
              <w:rPr>
                <w:noProof/>
                <w:webHidden/>
              </w:rPr>
              <w:instrText xml:space="preserve"> PAGEREF _Toc227050516 \h </w:instrText>
            </w:r>
            <w:r w:rsidRPr="00175174">
              <w:rPr>
                <w:noProof/>
                <w:webHidden/>
              </w:rPr>
            </w:r>
            <w:r w:rsidRPr="00175174">
              <w:rPr>
                <w:noProof/>
                <w:webHidden/>
              </w:rPr>
              <w:fldChar w:fldCharType="separate"/>
            </w:r>
            <w:r w:rsidR="00175174">
              <w:rPr>
                <w:noProof/>
                <w:webHidden/>
              </w:rPr>
              <w:t>13</w:t>
            </w:r>
            <w:r w:rsidRPr="00175174">
              <w:rPr>
                <w:noProof/>
                <w:webHidden/>
              </w:rPr>
              <w:fldChar w:fldCharType="end"/>
            </w:r>
          </w:hyperlink>
        </w:p>
        <w:p w:rsidRPr="00175174" w:rsidR="00424893" w:rsidP="00175174" w:rsidRDefault="00424893" w14:paraId="59363075" w14:textId="316D1F60">
          <w:pPr>
            <w:pStyle w:val="Inhopg2"/>
            <w:suppressAutoHyphens/>
            <w:jc w:val="left"/>
            <w:rPr>
              <w:rFonts w:eastAsiaTheme="minorEastAsia" w:cstheme="minorBidi"/>
              <w:noProof/>
              <w:color w:val="auto"/>
              <w:kern w:val="2"/>
              <w14:ligatures w14:val="standardContextual"/>
            </w:rPr>
          </w:pPr>
          <w:hyperlink w:history="1" w:anchor="_Toc227050517">
            <w:r w:rsidRPr="00175174">
              <w:rPr>
                <w:rStyle w:val="Hyperlink"/>
                <w:noProof/>
              </w:rPr>
              <w:t>3.2</w:t>
            </w:r>
            <w:r w:rsidRPr="00175174">
              <w:rPr>
                <w:rFonts w:eastAsiaTheme="minorEastAsia" w:cstheme="minorBidi"/>
                <w:noProof/>
                <w:color w:val="auto"/>
                <w:kern w:val="2"/>
                <w14:ligatures w14:val="standardContextual"/>
              </w:rPr>
              <w:tab/>
            </w:r>
            <w:r w:rsidRPr="00175174">
              <w:rPr>
                <w:rStyle w:val="Hyperlink"/>
                <w:noProof/>
              </w:rPr>
              <w:t>Scopewijzigingen</w:t>
            </w:r>
            <w:r w:rsidRPr="00175174">
              <w:rPr>
                <w:noProof/>
                <w:webHidden/>
              </w:rPr>
              <w:tab/>
            </w:r>
            <w:r w:rsidRPr="00175174">
              <w:rPr>
                <w:noProof/>
                <w:webHidden/>
              </w:rPr>
              <w:fldChar w:fldCharType="begin"/>
            </w:r>
            <w:r w:rsidRPr="00175174">
              <w:rPr>
                <w:noProof/>
                <w:webHidden/>
              </w:rPr>
              <w:instrText xml:space="preserve"> PAGEREF _Toc227050517 \h </w:instrText>
            </w:r>
            <w:r w:rsidRPr="00175174">
              <w:rPr>
                <w:noProof/>
                <w:webHidden/>
              </w:rPr>
            </w:r>
            <w:r w:rsidRPr="00175174">
              <w:rPr>
                <w:noProof/>
                <w:webHidden/>
              </w:rPr>
              <w:fldChar w:fldCharType="separate"/>
            </w:r>
            <w:r w:rsidR="00175174">
              <w:rPr>
                <w:noProof/>
                <w:webHidden/>
              </w:rPr>
              <w:t>13</w:t>
            </w:r>
            <w:r w:rsidRPr="00175174">
              <w:rPr>
                <w:noProof/>
                <w:webHidden/>
              </w:rPr>
              <w:fldChar w:fldCharType="end"/>
            </w:r>
          </w:hyperlink>
        </w:p>
        <w:p w:rsidRPr="00175174" w:rsidR="00424893" w:rsidP="00175174" w:rsidRDefault="00424893" w14:paraId="0EEDE262" w14:textId="7CF2F341">
          <w:pPr>
            <w:pStyle w:val="Inhopg2"/>
            <w:suppressAutoHyphens/>
            <w:jc w:val="left"/>
            <w:rPr>
              <w:rFonts w:eastAsiaTheme="minorEastAsia" w:cstheme="minorBidi"/>
              <w:noProof/>
              <w:color w:val="auto"/>
              <w:kern w:val="2"/>
              <w14:ligatures w14:val="standardContextual"/>
            </w:rPr>
          </w:pPr>
          <w:hyperlink w:history="1" w:anchor="_Toc227050518">
            <w:r w:rsidRPr="00175174">
              <w:rPr>
                <w:rStyle w:val="Hyperlink"/>
                <w:noProof/>
              </w:rPr>
              <w:t>3.3</w:t>
            </w:r>
            <w:r w:rsidRPr="00175174">
              <w:rPr>
                <w:rFonts w:eastAsiaTheme="minorEastAsia" w:cstheme="minorBidi"/>
                <w:noProof/>
                <w:color w:val="auto"/>
                <w:kern w:val="2"/>
                <w14:ligatures w14:val="standardContextual"/>
              </w:rPr>
              <w:tab/>
            </w:r>
            <w:r w:rsidRPr="00175174">
              <w:rPr>
                <w:rStyle w:val="Hyperlink"/>
                <w:noProof/>
              </w:rPr>
              <w:t>Planning</w:t>
            </w:r>
            <w:r w:rsidRPr="00175174">
              <w:rPr>
                <w:noProof/>
                <w:webHidden/>
              </w:rPr>
              <w:tab/>
            </w:r>
            <w:r w:rsidRPr="00175174">
              <w:rPr>
                <w:noProof/>
                <w:webHidden/>
              </w:rPr>
              <w:fldChar w:fldCharType="begin"/>
            </w:r>
            <w:r w:rsidRPr="00175174">
              <w:rPr>
                <w:noProof/>
                <w:webHidden/>
              </w:rPr>
              <w:instrText xml:space="preserve"> PAGEREF _Toc227050518 \h </w:instrText>
            </w:r>
            <w:r w:rsidRPr="00175174">
              <w:rPr>
                <w:noProof/>
                <w:webHidden/>
              </w:rPr>
            </w:r>
            <w:r w:rsidRPr="00175174">
              <w:rPr>
                <w:noProof/>
                <w:webHidden/>
              </w:rPr>
              <w:fldChar w:fldCharType="separate"/>
            </w:r>
            <w:r w:rsidR="00175174">
              <w:rPr>
                <w:noProof/>
                <w:webHidden/>
              </w:rPr>
              <w:t>13</w:t>
            </w:r>
            <w:r w:rsidRPr="00175174">
              <w:rPr>
                <w:noProof/>
                <w:webHidden/>
              </w:rPr>
              <w:fldChar w:fldCharType="end"/>
            </w:r>
          </w:hyperlink>
        </w:p>
        <w:p w:rsidRPr="00175174" w:rsidR="00424893" w:rsidP="00175174" w:rsidRDefault="00424893" w14:paraId="57126FF7" w14:textId="17CCD5DD">
          <w:pPr>
            <w:pStyle w:val="Inhopg2"/>
            <w:suppressAutoHyphens/>
            <w:jc w:val="left"/>
            <w:rPr>
              <w:rFonts w:eastAsiaTheme="minorEastAsia" w:cstheme="minorBidi"/>
              <w:noProof/>
              <w:color w:val="auto"/>
              <w:kern w:val="2"/>
              <w14:ligatures w14:val="standardContextual"/>
            </w:rPr>
          </w:pPr>
          <w:hyperlink w:history="1" w:anchor="_Toc227050519">
            <w:r w:rsidRPr="00175174">
              <w:rPr>
                <w:rStyle w:val="Hyperlink"/>
                <w:noProof/>
              </w:rPr>
              <w:t>3.4</w:t>
            </w:r>
            <w:r w:rsidRPr="00175174">
              <w:rPr>
                <w:rFonts w:eastAsiaTheme="minorEastAsia" w:cstheme="minorBidi"/>
                <w:noProof/>
                <w:color w:val="auto"/>
                <w:kern w:val="2"/>
                <w14:ligatures w14:val="standardContextual"/>
              </w:rPr>
              <w:tab/>
            </w:r>
            <w:r w:rsidRPr="00175174">
              <w:rPr>
                <w:rStyle w:val="Hyperlink"/>
                <w:noProof/>
              </w:rPr>
              <w:t>Financiën</w:t>
            </w:r>
            <w:r w:rsidRPr="00175174">
              <w:rPr>
                <w:noProof/>
                <w:webHidden/>
              </w:rPr>
              <w:tab/>
            </w:r>
            <w:r w:rsidRPr="00175174">
              <w:rPr>
                <w:noProof/>
                <w:webHidden/>
              </w:rPr>
              <w:fldChar w:fldCharType="begin"/>
            </w:r>
            <w:r w:rsidRPr="00175174">
              <w:rPr>
                <w:noProof/>
                <w:webHidden/>
              </w:rPr>
              <w:instrText xml:space="preserve"> PAGEREF _Toc227050519 \h </w:instrText>
            </w:r>
            <w:r w:rsidRPr="00175174">
              <w:rPr>
                <w:noProof/>
                <w:webHidden/>
              </w:rPr>
            </w:r>
            <w:r w:rsidRPr="00175174">
              <w:rPr>
                <w:noProof/>
                <w:webHidden/>
              </w:rPr>
              <w:fldChar w:fldCharType="separate"/>
            </w:r>
            <w:r w:rsidR="00175174">
              <w:rPr>
                <w:noProof/>
                <w:webHidden/>
              </w:rPr>
              <w:t>14</w:t>
            </w:r>
            <w:r w:rsidRPr="00175174">
              <w:rPr>
                <w:noProof/>
                <w:webHidden/>
              </w:rPr>
              <w:fldChar w:fldCharType="end"/>
            </w:r>
          </w:hyperlink>
        </w:p>
        <w:p w:rsidRPr="00175174" w:rsidR="00424893" w:rsidP="00175174" w:rsidRDefault="00424893" w14:paraId="795E3091" w14:textId="1FBD686A">
          <w:pPr>
            <w:pStyle w:val="Inhopg2"/>
            <w:suppressAutoHyphens/>
            <w:jc w:val="left"/>
            <w:rPr>
              <w:rFonts w:eastAsiaTheme="minorEastAsia" w:cstheme="minorBidi"/>
              <w:noProof/>
              <w:color w:val="auto"/>
              <w:kern w:val="2"/>
              <w14:ligatures w14:val="standardContextual"/>
            </w:rPr>
          </w:pPr>
          <w:hyperlink w:history="1" w:anchor="_Toc227050520">
            <w:r w:rsidRPr="00175174">
              <w:rPr>
                <w:rStyle w:val="Hyperlink"/>
                <w:noProof/>
              </w:rPr>
              <w:t>3.5</w:t>
            </w:r>
            <w:r w:rsidRPr="00175174">
              <w:rPr>
                <w:rFonts w:eastAsiaTheme="minorEastAsia" w:cstheme="minorBidi"/>
                <w:noProof/>
                <w:color w:val="auto"/>
                <w:kern w:val="2"/>
                <w14:ligatures w14:val="standardContextual"/>
              </w:rPr>
              <w:tab/>
            </w:r>
            <w:r w:rsidRPr="00175174">
              <w:rPr>
                <w:rStyle w:val="Hyperlink"/>
                <w:noProof/>
              </w:rPr>
              <w:t>Risico’s</w:t>
            </w:r>
            <w:r w:rsidRPr="00175174">
              <w:rPr>
                <w:noProof/>
                <w:webHidden/>
              </w:rPr>
              <w:tab/>
            </w:r>
            <w:r w:rsidRPr="00175174">
              <w:rPr>
                <w:noProof/>
                <w:webHidden/>
              </w:rPr>
              <w:fldChar w:fldCharType="begin"/>
            </w:r>
            <w:r w:rsidRPr="00175174">
              <w:rPr>
                <w:noProof/>
                <w:webHidden/>
              </w:rPr>
              <w:instrText xml:space="preserve"> PAGEREF _Toc227050520 \h </w:instrText>
            </w:r>
            <w:r w:rsidRPr="00175174">
              <w:rPr>
                <w:noProof/>
                <w:webHidden/>
              </w:rPr>
            </w:r>
            <w:r w:rsidRPr="00175174">
              <w:rPr>
                <w:noProof/>
                <w:webHidden/>
              </w:rPr>
              <w:fldChar w:fldCharType="separate"/>
            </w:r>
            <w:r w:rsidR="00175174">
              <w:rPr>
                <w:noProof/>
                <w:webHidden/>
              </w:rPr>
              <w:t>21</w:t>
            </w:r>
            <w:r w:rsidRPr="00175174">
              <w:rPr>
                <w:noProof/>
                <w:webHidden/>
              </w:rPr>
              <w:fldChar w:fldCharType="end"/>
            </w:r>
          </w:hyperlink>
        </w:p>
        <w:p w:rsidRPr="00175174" w:rsidR="00424893" w:rsidP="00175174" w:rsidRDefault="00424893" w14:paraId="2D7A22B6" w14:textId="0E3F668E">
          <w:pPr>
            <w:pStyle w:val="Inhopg2"/>
            <w:suppressAutoHyphens/>
            <w:jc w:val="left"/>
            <w:rPr>
              <w:rFonts w:eastAsiaTheme="minorEastAsia" w:cstheme="minorBidi"/>
              <w:noProof/>
              <w:color w:val="auto"/>
              <w:kern w:val="2"/>
              <w14:ligatures w14:val="standardContextual"/>
            </w:rPr>
          </w:pPr>
          <w:hyperlink w:history="1" w:anchor="_Toc227050521">
            <w:r w:rsidRPr="00175174">
              <w:rPr>
                <w:rStyle w:val="Hyperlink"/>
                <w:noProof/>
              </w:rPr>
              <w:t>3.6</w:t>
            </w:r>
            <w:r w:rsidRPr="00175174">
              <w:rPr>
                <w:rFonts w:eastAsiaTheme="minorEastAsia" w:cstheme="minorBidi"/>
                <w:noProof/>
                <w:color w:val="auto"/>
                <w:kern w:val="2"/>
                <w14:ligatures w14:val="standardContextual"/>
              </w:rPr>
              <w:tab/>
            </w:r>
            <w:r w:rsidRPr="00175174">
              <w:rPr>
                <w:rStyle w:val="Hyperlink"/>
                <w:noProof/>
              </w:rPr>
              <w:t>Bevindingen Technisch Adviseur</w:t>
            </w:r>
            <w:r w:rsidRPr="00175174">
              <w:rPr>
                <w:noProof/>
                <w:webHidden/>
              </w:rPr>
              <w:tab/>
            </w:r>
            <w:r w:rsidRPr="00175174">
              <w:rPr>
                <w:noProof/>
                <w:webHidden/>
              </w:rPr>
              <w:fldChar w:fldCharType="begin"/>
            </w:r>
            <w:r w:rsidRPr="00175174">
              <w:rPr>
                <w:noProof/>
                <w:webHidden/>
              </w:rPr>
              <w:instrText xml:space="preserve"> PAGEREF _Toc227050521 \h </w:instrText>
            </w:r>
            <w:r w:rsidRPr="00175174">
              <w:rPr>
                <w:noProof/>
                <w:webHidden/>
              </w:rPr>
            </w:r>
            <w:r w:rsidRPr="00175174">
              <w:rPr>
                <w:noProof/>
                <w:webHidden/>
              </w:rPr>
              <w:fldChar w:fldCharType="separate"/>
            </w:r>
            <w:r w:rsidR="00175174">
              <w:rPr>
                <w:noProof/>
                <w:webHidden/>
              </w:rPr>
              <w:t>23</w:t>
            </w:r>
            <w:r w:rsidRPr="00175174">
              <w:rPr>
                <w:noProof/>
                <w:webHidden/>
              </w:rPr>
              <w:fldChar w:fldCharType="end"/>
            </w:r>
          </w:hyperlink>
        </w:p>
        <w:p w:rsidRPr="00175174" w:rsidR="00424893" w:rsidP="00175174" w:rsidRDefault="00424893" w14:paraId="419279A8" w14:textId="1BA446A1">
          <w:pPr>
            <w:pStyle w:val="Inhopg1"/>
            <w:suppressAutoHyphens/>
            <w:jc w:val="left"/>
            <w:rPr>
              <w:rFonts w:eastAsiaTheme="minorEastAsia" w:cstheme="minorBidi"/>
              <w:b w:val="0"/>
              <w:noProof/>
              <w:color w:val="auto"/>
              <w:kern w:val="2"/>
              <w14:ligatures w14:val="standardContextual"/>
            </w:rPr>
          </w:pPr>
          <w:hyperlink w:history="1" w:anchor="_Toc227050522">
            <w:r w:rsidRPr="00175174">
              <w:rPr>
                <w:rStyle w:val="Hyperlink"/>
                <w:noProof/>
              </w:rPr>
              <w:t>4</w:t>
            </w:r>
            <w:r w:rsidRPr="00175174">
              <w:rPr>
                <w:rFonts w:eastAsiaTheme="minorEastAsia" w:cstheme="minorBidi"/>
                <w:b w:val="0"/>
                <w:noProof/>
                <w:color w:val="auto"/>
                <w:kern w:val="2"/>
                <w14:ligatures w14:val="standardContextual"/>
              </w:rPr>
              <w:tab/>
            </w:r>
            <w:r w:rsidRPr="00175174">
              <w:rPr>
                <w:rStyle w:val="Hyperlink"/>
                <w:noProof/>
              </w:rPr>
              <w:t>Ontwikkelingen in de bredere context van NRG PALLAS B.V. en het PALLAS-nieuwbouwprogramma</w:t>
            </w:r>
            <w:r w:rsidRPr="00175174">
              <w:rPr>
                <w:noProof/>
                <w:webHidden/>
              </w:rPr>
              <w:tab/>
            </w:r>
            <w:r w:rsidRPr="00175174">
              <w:rPr>
                <w:noProof/>
                <w:webHidden/>
              </w:rPr>
              <w:fldChar w:fldCharType="begin"/>
            </w:r>
            <w:r w:rsidRPr="00175174">
              <w:rPr>
                <w:noProof/>
                <w:webHidden/>
              </w:rPr>
              <w:instrText xml:space="preserve"> PAGEREF _Toc227050522 \h </w:instrText>
            </w:r>
            <w:r w:rsidRPr="00175174">
              <w:rPr>
                <w:noProof/>
                <w:webHidden/>
              </w:rPr>
            </w:r>
            <w:r w:rsidRPr="00175174">
              <w:rPr>
                <w:noProof/>
                <w:webHidden/>
              </w:rPr>
              <w:fldChar w:fldCharType="separate"/>
            </w:r>
            <w:r w:rsidR="00175174">
              <w:rPr>
                <w:noProof/>
                <w:webHidden/>
              </w:rPr>
              <w:t>26</w:t>
            </w:r>
            <w:r w:rsidRPr="00175174">
              <w:rPr>
                <w:noProof/>
                <w:webHidden/>
              </w:rPr>
              <w:fldChar w:fldCharType="end"/>
            </w:r>
          </w:hyperlink>
        </w:p>
        <w:p w:rsidRPr="00175174" w:rsidR="00424893" w:rsidP="00175174" w:rsidRDefault="00424893" w14:paraId="2B51FE32" w14:textId="2958DB2F">
          <w:pPr>
            <w:pStyle w:val="Inhopg2"/>
            <w:suppressAutoHyphens/>
            <w:jc w:val="left"/>
            <w:rPr>
              <w:rFonts w:eastAsiaTheme="minorEastAsia" w:cstheme="minorBidi"/>
              <w:noProof/>
              <w:color w:val="auto"/>
              <w:kern w:val="2"/>
              <w14:ligatures w14:val="standardContextual"/>
            </w:rPr>
          </w:pPr>
          <w:hyperlink w:history="1" w:anchor="_Toc227050523">
            <w:r w:rsidRPr="00175174">
              <w:rPr>
                <w:rStyle w:val="Hyperlink"/>
                <w:noProof/>
              </w:rPr>
              <w:t>4.1</w:t>
            </w:r>
            <w:r w:rsidRPr="00175174">
              <w:rPr>
                <w:rFonts w:eastAsiaTheme="minorEastAsia" w:cstheme="minorBidi"/>
                <w:noProof/>
                <w:color w:val="auto"/>
                <w:kern w:val="2"/>
                <w14:ligatures w14:val="standardContextual"/>
              </w:rPr>
              <w:tab/>
            </w:r>
            <w:r w:rsidRPr="00175174">
              <w:rPr>
                <w:rStyle w:val="Hyperlink"/>
                <w:noProof/>
              </w:rPr>
              <w:t>Introductie</w:t>
            </w:r>
            <w:r w:rsidRPr="00175174">
              <w:rPr>
                <w:noProof/>
                <w:webHidden/>
              </w:rPr>
              <w:tab/>
            </w:r>
            <w:r w:rsidRPr="00175174">
              <w:rPr>
                <w:noProof/>
                <w:webHidden/>
              </w:rPr>
              <w:fldChar w:fldCharType="begin"/>
            </w:r>
            <w:r w:rsidRPr="00175174">
              <w:rPr>
                <w:noProof/>
                <w:webHidden/>
              </w:rPr>
              <w:instrText xml:space="preserve"> PAGEREF _Toc227050523 \h </w:instrText>
            </w:r>
            <w:r w:rsidRPr="00175174">
              <w:rPr>
                <w:noProof/>
                <w:webHidden/>
              </w:rPr>
            </w:r>
            <w:r w:rsidRPr="00175174">
              <w:rPr>
                <w:noProof/>
                <w:webHidden/>
              </w:rPr>
              <w:fldChar w:fldCharType="separate"/>
            </w:r>
            <w:r w:rsidR="00175174">
              <w:rPr>
                <w:noProof/>
                <w:webHidden/>
              </w:rPr>
              <w:t>26</w:t>
            </w:r>
            <w:r w:rsidRPr="00175174">
              <w:rPr>
                <w:noProof/>
                <w:webHidden/>
              </w:rPr>
              <w:fldChar w:fldCharType="end"/>
            </w:r>
          </w:hyperlink>
        </w:p>
        <w:p w:rsidRPr="00175174" w:rsidR="00424893" w:rsidP="00175174" w:rsidRDefault="00424893" w14:paraId="039187AE" w14:textId="55A44401">
          <w:pPr>
            <w:pStyle w:val="Inhopg2"/>
            <w:suppressAutoHyphens/>
            <w:jc w:val="left"/>
            <w:rPr>
              <w:rFonts w:eastAsiaTheme="minorEastAsia" w:cstheme="minorBidi"/>
              <w:noProof/>
              <w:color w:val="auto"/>
              <w:kern w:val="2"/>
              <w14:ligatures w14:val="standardContextual"/>
            </w:rPr>
          </w:pPr>
          <w:hyperlink w:history="1" w:anchor="_Toc227050524">
            <w:r w:rsidRPr="00175174">
              <w:rPr>
                <w:rStyle w:val="Hyperlink"/>
                <w:noProof/>
              </w:rPr>
              <w:t>4.2</w:t>
            </w:r>
            <w:r w:rsidRPr="00175174">
              <w:rPr>
                <w:rFonts w:eastAsiaTheme="minorEastAsia" w:cstheme="minorBidi"/>
                <w:noProof/>
                <w:color w:val="auto"/>
                <w:kern w:val="2"/>
                <w14:ligatures w14:val="standardContextual"/>
              </w:rPr>
              <w:tab/>
            </w:r>
            <w:r w:rsidRPr="00175174">
              <w:rPr>
                <w:rStyle w:val="Hyperlink"/>
                <w:noProof/>
              </w:rPr>
              <w:t>Ontwikkelingen in de brede context van medische isotopen</w:t>
            </w:r>
            <w:r w:rsidRPr="00175174">
              <w:rPr>
                <w:noProof/>
                <w:webHidden/>
              </w:rPr>
              <w:tab/>
            </w:r>
            <w:r w:rsidRPr="00175174">
              <w:rPr>
                <w:noProof/>
                <w:webHidden/>
              </w:rPr>
              <w:fldChar w:fldCharType="begin"/>
            </w:r>
            <w:r w:rsidRPr="00175174">
              <w:rPr>
                <w:noProof/>
                <w:webHidden/>
              </w:rPr>
              <w:instrText xml:space="preserve"> PAGEREF _Toc227050524 \h </w:instrText>
            </w:r>
            <w:r w:rsidRPr="00175174">
              <w:rPr>
                <w:noProof/>
                <w:webHidden/>
              </w:rPr>
            </w:r>
            <w:r w:rsidRPr="00175174">
              <w:rPr>
                <w:noProof/>
                <w:webHidden/>
              </w:rPr>
              <w:fldChar w:fldCharType="separate"/>
            </w:r>
            <w:r w:rsidR="00175174">
              <w:rPr>
                <w:noProof/>
                <w:webHidden/>
              </w:rPr>
              <w:t>26</w:t>
            </w:r>
            <w:r w:rsidRPr="00175174">
              <w:rPr>
                <w:noProof/>
                <w:webHidden/>
              </w:rPr>
              <w:fldChar w:fldCharType="end"/>
            </w:r>
          </w:hyperlink>
        </w:p>
        <w:p w:rsidRPr="00175174" w:rsidR="00424893" w:rsidP="00175174" w:rsidRDefault="00424893" w14:paraId="010EC494" w14:textId="1F7C03BA">
          <w:pPr>
            <w:pStyle w:val="Inhopg2"/>
            <w:suppressAutoHyphens/>
            <w:jc w:val="left"/>
            <w:rPr>
              <w:rFonts w:eastAsiaTheme="minorEastAsia" w:cstheme="minorBidi"/>
              <w:noProof/>
              <w:color w:val="auto"/>
              <w:kern w:val="2"/>
              <w14:ligatures w14:val="standardContextual"/>
            </w:rPr>
          </w:pPr>
          <w:hyperlink w:history="1" w:anchor="_Toc227050525">
            <w:r w:rsidRPr="00175174">
              <w:rPr>
                <w:rStyle w:val="Hyperlink"/>
                <w:noProof/>
              </w:rPr>
              <w:t>4.3</w:t>
            </w:r>
            <w:r w:rsidRPr="00175174">
              <w:rPr>
                <w:rFonts w:eastAsiaTheme="minorEastAsia" w:cstheme="minorBidi"/>
                <w:noProof/>
                <w:color w:val="auto"/>
                <w:kern w:val="2"/>
                <w14:ligatures w14:val="standardContextual"/>
              </w:rPr>
              <w:tab/>
            </w:r>
            <w:r w:rsidRPr="00175174">
              <w:rPr>
                <w:rStyle w:val="Hyperlink"/>
                <w:noProof/>
              </w:rPr>
              <w:t>Ontwikkelingen in de brede context van de energievoorziening van Nederland</w:t>
            </w:r>
            <w:r w:rsidRPr="00175174">
              <w:rPr>
                <w:noProof/>
                <w:webHidden/>
              </w:rPr>
              <w:tab/>
            </w:r>
            <w:r w:rsidRPr="00175174">
              <w:rPr>
                <w:noProof/>
                <w:webHidden/>
              </w:rPr>
              <w:fldChar w:fldCharType="begin"/>
            </w:r>
            <w:r w:rsidRPr="00175174">
              <w:rPr>
                <w:noProof/>
                <w:webHidden/>
              </w:rPr>
              <w:instrText xml:space="preserve"> PAGEREF _Toc227050525 \h </w:instrText>
            </w:r>
            <w:r w:rsidRPr="00175174">
              <w:rPr>
                <w:noProof/>
                <w:webHidden/>
              </w:rPr>
            </w:r>
            <w:r w:rsidRPr="00175174">
              <w:rPr>
                <w:noProof/>
                <w:webHidden/>
              </w:rPr>
              <w:fldChar w:fldCharType="separate"/>
            </w:r>
            <w:r w:rsidR="00175174">
              <w:rPr>
                <w:noProof/>
                <w:webHidden/>
              </w:rPr>
              <w:t>26</w:t>
            </w:r>
            <w:r w:rsidRPr="00175174">
              <w:rPr>
                <w:noProof/>
                <w:webHidden/>
              </w:rPr>
              <w:fldChar w:fldCharType="end"/>
            </w:r>
          </w:hyperlink>
        </w:p>
        <w:p w:rsidRPr="00175174" w:rsidR="00424893" w:rsidP="00175174" w:rsidRDefault="00424893" w14:paraId="2E98153E" w14:textId="02643DD6">
          <w:pPr>
            <w:pStyle w:val="Inhopg2"/>
            <w:suppressAutoHyphens/>
            <w:jc w:val="left"/>
            <w:rPr>
              <w:rFonts w:eastAsiaTheme="minorEastAsia" w:cstheme="minorBidi"/>
              <w:noProof/>
              <w:color w:val="auto"/>
              <w:kern w:val="2"/>
              <w14:ligatures w14:val="standardContextual"/>
            </w:rPr>
          </w:pPr>
          <w:hyperlink w:history="1" w:anchor="_Toc227050526">
            <w:r w:rsidRPr="00175174">
              <w:rPr>
                <w:rStyle w:val="Hyperlink"/>
                <w:noProof/>
              </w:rPr>
              <w:t>4.4</w:t>
            </w:r>
            <w:r w:rsidRPr="00175174">
              <w:rPr>
                <w:rFonts w:eastAsiaTheme="minorEastAsia" w:cstheme="minorBidi"/>
                <w:noProof/>
                <w:color w:val="auto"/>
                <w:kern w:val="2"/>
                <w14:ligatures w14:val="standardContextual"/>
              </w:rPr>
              <w:tab/>
            </w:r>
            <w:r w:rsidRPr="00175174">
              <w:rPr>
                <w:rStyle w:val="Hyperlink"/>
                <w:noProof/>
              </w:rPr>
              <w:t>Directe en indirecte publieke doelen</w:t>
            </w:r>
            <w:r w:rsidRPr="00175174">
              <w:rPr>
                <w:noProof/>
                <w:webHidden/>
              </w:rPr>
              <w:tab/>
            </w:r>
            <w:r w:rsidRPr="00175174">
              <w:rPr>
                <w:noProof/>
                <w:webHidden/>
              </w:rPr>
              <w:fldChar w:fldCharType="begin"/>
            </w:r>
            <w:r w:rsidRPr="00175174">
              <w:rPr>
                <w:noProof/>
                <w:webHidden/>
              </w:rPr>
              <w:instrText xml:space="preserve"> PAGEREF _Toc227050526 \h </w:instrText>
            </w:r>
            <w:r w:rsidRPr="00175174">
              <w:rPr>
                <w:noProof/>
                <w:webHidden/>
              </w:rPr>
            </w:r>
            <w:r w:rsidRPr="00175174">
              <w:rPr>
                <w:noProof/>
                <w:webHidden/>
              </w:rPr>
              <w:fldChar w:fldCharType="separate"/>
            </w:r>
            <w:r w:rsidR="00175174">
              <w:rPr>
                <w:noProof/>
                <w:webHidden/>
              </w:rPr>
              <w:t>26</w:t>
            </w:r>
            <w:r w:rsidRPr="00175174">
              <w:rPr>
                <w:noProof/>
                <w:webHidden/>
              </w:rPr>
              <w:fldChar w:fldCharType="end"/>
            </w:r>
          </w:hyperlink>
        </w:p>
        <w:p w:rsidRPr="00175174" w:rsidR="00424893" w:rsidP="00175174" w:rsidRDefault="00424893" w14:paraId="1B73BD33" w14:textId="05452129">
          <w:pPr>
            <w:pStyle w:val="Inhopg2"/>
            <w:suppressAutoHyphens/>
            <w:jc w:val="left"/>
            <w:rPr>
              <w:rFonts w:eastAsiaTheme="minorEastAsia" w:cstheme="minorBidi"/>
              <w:noProof/>
              <w:color w:val="auto"/>
              <w:kern w:val="2"/>
              <w14:ligatures w14:val="standardContextual"/>
            </w:rPr>
          </w:pPr>
          <w:hyperlink w:history="1" w:anchor="_Toc227050527">
            <w:r w:rsidRPr="00175174">
              <w:rPr>
                <w:rStyle w:val="Hyperlink"/>
                <w:noProof/>
              </w:rPr>
              <w:t>4.5</w:t>
            </w:r>
            <w:r w:rsidRPr="00175174">
              <w:rPr>
                <w:rFonts w:eastAsiaTheme="minorEastAsia" w:cstheme="minorBidi"/>
                <w:noProof/>
                <w:color w:val="auto"/>
                <w:kern w:val="2"/>
                <w14:ligatures w14:val="standardContextual"/>
              </w:rPr>
              <w:tab/>
            </w:r>
            <w:r w:rsidRPr="00175174">
              <w:rPr>
                <w:rStyle w:val="Hyperlink"/>
                <w:noProof/>
              </w:rPr>
              <w:t>Ontmanteling bestaande HFR</w:t>
            </w:r>
            <w:r w:rsidRPr="00175174">
              <w:rPr>
                <w:noProof/>
                <w:webHidden/>
              </w:rPr>
              <w:tab/>
            </w:r>
            <w:r w:rsidRPr="00175174">
              <w:rPr>
                <w:noProof/>
                <w:webHidden/>
              </w:rPr>
              <w:fldChar w:fldCharType="begin"/>
            </w:r>
            <w:r w:rsidRPr="00175174">
              <w:rPr>
                <w:noProof/>
                <w:webHidden/>
              </w:rPr>
              <w:instrText xml:space="preserve"> PAGEREF _Toc227050527 \h </w:instrText>
            </w:r>
            <w:r w:rsidRPr="00175174">
              <w:rPr>
                <w:noProof/>
                <w:webHidden/>
              </w:rPr>
            </w:r>
            <w:r w:rsidRPr="00175174">
              <w:rPr>
                <w:noProof/>
                <w:webHidden/>
              </w:rPr>
              <w:fldChar w:fldCharType="separate"/>
            </w:r>
            <w:r w:rsidR="00175174">
              <w:rPr>
                <w:noProof/>
                <w:webHidden/>
              </w:rPr>
              <w:t>28</w:t>
            </w:r>
            <w:r w:rsidRPr="00175174">
              <w:rPr>
                <w:noProof/>
                <w:webHidden/>
              </w:rPr>
              <w:fldChar w:fldCharType="end"/>
            </w:r>
          </w:hyperlink>
        </w:p>
        <w:p w:rsidRPr="00175174" w:rsidR="00424893" w:rsidP="00175174" w:rsidRDefault="00424893" w14:paraId="422E0C0E" w14:textId="06266C07">
          <w:pPr>
            <w:pStyle w:val="Inhopg2"/>
            <w:suppressAutoHyphens/>
            <w:jc w:val="left"/>
            <w:rPr>
              <w:rFonts w:eastAsiaTheme="minorEastAsia" w:cstheme="minorBidi"/>
              <w:noProof/>
              <w:color w:val="auto"/>
              <w:kern w:val="2"/>
              <w14:ligatures w14:val="standardContextual"/>
            </w:rPr>
          </w:pPr>
          <w:hyperlink w:history="1" w:anchor="_Toc227050528">
            <w:r w:rsidRPr="00175174">
              <w:rPr>
                <w:rStyle w:val="Hyperlink"/>
                <w:noProof/>
              </w:rPr>
              <w:t>4.6</w:t>
            </w:r>
            <w:r w:rsidRPr="00175174">
              <w:rPr>
                <w:rFonts w:eastAsiaTheme="minorEastAsia" w:cstheme="minorBidi"/>
                <w:noProof/>
                <w:color w:val="auto"/>
                <w:kern w:val="2"/>
                <w14:ligatures w14:val="standardContextual"/>
              </w:rPr>
              <w:tab/>
            </w:r>
            <w:r w:rsidRPr="00175174">
              <w:rPr>
                <w:rStyle w:val="Hyperlink"/>
                <w:noProof/>
              </w:rPr>
              <w:t>Risico’s</w:t>
            </w:r>
            <w:r w:rsidRPr="00175174">
              <w:rPr>
                <w:noProof/>
                <w:webHidden/>
              </w:rPr>
              <w:tab/>
            </w:r>
            <w:r w:rsidRPr="00175174">
              <w:rPr>
                <w:noProof/>
                <w:webHidden/>
              </w:rPr>
              <w:fldChar w:fldCharType="begin"/>
            </w:r>
            <w:r w:rsidRPr="00175174">
              <w:rPr>
                <w:noProof/>
                <w:webHidden/>
              </w:rPr>
              <w:instrText xml:space="preserve"> PAGEREF _Toc227050528 \h </w:instrText>
            </w:r>
            <w:r w:rsidRPr="00175174">
              <w:rPr>
                <w:noProof/>
                <w:webHidden/>
              </w:rPr>
            </w:r>
            <w:r w:rsidRPr="00175174">
              <w:rPr>
                <w:noProof/>
                <w:webHidden/>
              </w:rPr>
              <w:fldChar w:fldCharType="separate"/>
            </w:r>
            <w:r w:rsidR="00175174">
              <w:rPr>
                <w:noProof/>
                <w:webHidden/>
              </w:rPr>
              <w:t>28</w:t>
            </w:r>
            <w:r w:rsidRPr="00175174">
              <w:rPr>
                <w:noProof/>
                <w:webHidden/>
              </w:rPr>
              <w:fldChar w:fldCharType="end"/>
            </w:r>
          </w:hyperlink>
        </w:p>
        <w:p w:rsidRPr="00175174" w:rsidR="00424893" w:rsidP="00175174" w:rsidRDefault="00424893" w14:paraId="7B9151F5" w14:textId="3F1FC13D">
          <w:pPr>
            <w:pStyle w:val="Inhopg1"/>
            <w:suppressAutoHyphens/>
            <w:jc w:val="left"/>
            <w:rPr>
              <w:rFonts w:eastAsiaTheme="minorEastAsia" w:cstheme="minorBidi"/>
              <w:b w:val="0"/>
              <w:noProof/>
              <w:color w:val="auto"/>
              <w:kern w:val="2"/>
              <w14:ligatures w14:val="standardContextual"/>
            </w:rPr>
          </w:pPr>
          <w:hyperlink w:history="1" w:anchor="_Toc227050529">
            <w:r w:rsidRPr="00175174">
              <w:rPr>
                <w:rStyle w:val="Hyperlink"/>
                <w:noProof/>
              </w:rPr>
              <w:t>5</w:t>
            </w:r>
            <w:r w:rsidRPr="00175174">
              <w:rPr>
                <w:rFonts w:eastAsiaTheme="minorEastAsia" w:cstheme="minorBidi"/>
                <w:b w:val="0"/>
                <w:noProof/>
                <w:color w:val="auto"/>
                <w:kern w:val="2"/>
                <w14:ligatures w14:val="standardContextual"/>
              </w:rPr>
              <w:tab/>
            </w:r>
            <w:r w:rsidRPr="00175174">
              <w:rPr>
                <w:rStyle w:val="Hyperlink"/>
                <w:noProof/>
              </w:rPr>
              <w:t>Bijlage historische financiële overzichten</w:t>
            </w:r>
            <w:r w:rsidRPr="00175174">
              <w:rPr>
                <w:noProof/>
                <w:webHidden/>
              </w:rPr>
              <w:tab/>
            </w:r>
            <w:r w:rsidRPr="00175174">
              <w:rPr>
                <w:noProof/>
                <w:webHidden/>
              </w:rPr>
              <w:fldChar w:fldCharType="begin"/>
            </w:r>
            <w:r w:rsidRPr="00175174">
              <w:rPr>
                <w:noProof/>
                <w:webHidden/>
              </w:rPr>
              <w:instrText xml:space="preserve"> PAGEREF _Toc227050529 \h </w:instrText>
            </w:r>
            <w:r w:rsidRPr="00175174">
              <w:rPr>
                <w:noProof/>
                <w:webHidden/>
              </w:rPr>
            </w:r>
            <w:r w:rsidRPr="00175174">
              <w:rPr>
                <w:noProof/>
                <w:webHidden/>
              </w:rPr>
              <w:fldChar w:fldCharType="separate"/>
            </w:r>
            <w:r w:rsidR="00175174">
              <w:rPr>
                <w:noProof/>
                <w:webHidden/>
              </w:rPr>
              <w:t>31</w:t>
            </w:r>
            <w:r w:rsidRPr="00175174">
              <w:rPr>
                <w:noProof/>
                <w:webHidden/>
              </w:rPr>
              <w:fldChar w:fldCharType="end"/>
            </w:r>
          </w:hyperlink>
        </w:p>
        <w:p w:rsidRPr="00175174" w:rsidR="00424893" w:rsidP="00175174" w:rsidRDefault="00424893" w14:paraId="1102167F" w14:textId="36C1F9D2">
          <w:pPr>
            <w:pStyle w:val="Inhopg1"/>
            <w:suppressAutoHyphens/>
            <w:jc w:val="left"/>
            <w:rPr>
              <w:rFonts w:eastAsiaTheme="minorEastAsia" w:cstheme="minorBidi"/>
              <w:b w:val="0"/>
              <w:noProof/>
              <w:color w:val="auto"/>
              <w:kern w:val="2"/>
              <w14:ligatures w14:val="standardContextual"/>
            </w:rPr>
          </w:pPr>
          <w:hyperlink w:history="1" w:anchor="_Toc227050530">
            <w:r w:rsidRPr="00175174">
              <w:rPr>
                <w:rStyle w:val="Hyperlink"/>
                <w:noProof/>
              </w:rPr>
              <w:t>6</w:t>
            </w:r>
            <w:r w:rsidRPr="00175174">
              <w:rPr>
                <w:rFonts w:eastAsiaTheme="minorEastAsia" w:cstheme="minorBidi"/>
                <w:b w:val="0"/>
                <w:noProof/>
                <w:color w:val="auto"/>
                <w:kern w:val="2"/>
                <w14:ligatures w14:val="standardContextual"/>
              </w:rPr>
              <w:tab/>
            </w:r>
            <w:r w:rsidRPr="00175174">
              <w:rPr>
                <w:rStyle w:val="Hyperlink"/>
                <w:noProof/>
              </w:rPr>
              <w:t>Bijlage top-10 risico’s</w:t>
            </w:r>
            <w:r w:rsidRPr="00175174">
              <w:rPr>
                <w:noProof/>
                <w:webHidden/>
              </w:rPr>
              <w:tab/>
            </w:r>
            <w:r w:rsidRPr="00175174">
              <w:rPr>
                <w:noProof/>
                <w:webHidden/>
              </w:rPr>
              <w:fldChar w:fldCharType="begin"/>
            </w:r>
            <w:r w:rsidRPr="00175174">
              <w:rPr>
                <w:noProof/>
                <w:webHidden/>
              </w:rPr>
              <w:instrText xml:space="preserve"> PAGEREF _Toc227050530 \h </w:instrText>
            </w:r>
            <w:r w:rsidRPr="00175174">
              <w:rPr>
                <w:noProof/>
                <w:webHidden/>
              </w:rPr>
            </w:r>
            <w:r w:rsidRPr="00175174">
              <w:rPr>
                <w:noProof/>
                <w:webHidden/>
              </w:rPr>
              <w:fldChar w:fldCharType="separate"/>
            </w:r>
            <w:r w:rsidR="00175174">
              <w:rPr>
                <w:noProof/>
                <w:webHidden/>
              </w:rPr>
              <w:t>33</w:t>
            </w:r>
            <w:r w:rsidRPr="00175174">
              <w:rPr>
                <w:noProof/>
                <w:webHidden/>
              </w:rPr>
              <w:fldChar w:fldCharType="end"/>
            </w:r>
          </w:hyperlink>
        </w:p>
        <w:p w:rsidRPr="00175174" w:rsidR="00424893" w:rsidP="00175174" w:rsidRDefault="00424893" w14:paraId="1825CE98" w14:textId="046B5D5A">
          <w:pPr>
            <w:pStyle w:val="Inhopg1"/>
            <w:suppressAutoHyphens/>
            <w:jc w:val="left"/>
            <w:rPr>
              <w:rFonts w:eastAsiaTheme="minorEastAsia" w:cstheme="minorBidi"/>
              <w:b w:val="0"/>
              <w:noProof/>
              <w:color w:val="auto"/>
              <w:kern w:val="2"/>
              <w14:ligatures w14:val="standardContextual"/>
            </w:rPr>
          </w:pPr>
          <w:hyperlink w:history="1" w:anchor="_Toc227050531">
            <w:r w:rsidRPr="00175174">
              <w:rPr>
                <w:rStyle w:val="Hyperlink"/>
                <w:noProof/>
              </w:rPr>
              <w:t>7</w:t>
            </w:r>
            <w:r w:rsidRPr="00175174">
              <w:rPr>
                <w:rFonts w:eastAsiaTheme="minorEastAsia" w:cstheme="minorBidi"/>
                <w:b w:val="0"/>
                <w:noProof/>
                <w:color w:val="auto"/>
                <w:kern w:val="2"/>
                <w14:ligatures w14:val="standardContextual"/>
              </w:rPr>
              <w:tab/>
            </w:r>
            <w:r w:rsidRPr="00175174">
              <w:rPr>
                <w:rStyle w:val="Hyperlink"/>
                <w:noProof/>
              </w:rPr>
              <w:t>Afkortingen en begrippenlijst</w:t>
            </w:r>
            <w:r w:rsidRPr="00175174">
              <w:rPr>
                <w:noProof/>
                <w:webHidden/>
              </w:rPr>
              <w:tab/>
            </w:r>
            <w:r w:rsidRPr="00175174">
              <w:rPr>
                <w:noProof/>
                <w:webHidden/>
              </w:rPr>
              <w:fldChar w:fldCharType="begin"/>
            </w:r>
            <w:r w:rsidRPr="00175174">
              <w:rPr>
                <w:noProof/>
                <w:webHidden/>
              </w:rPr>
              <w:instrText xml:space="preserve"> PAGEREF _Toc227050531 \h </w:instrText>
            </w:r>
            <w:r w:rsidRPr="00175174">
              <w:rPr>
                <w:noProof/>
                <w:webHidden/>
              </w:rPr>
            </w:r>
            <w:r w:rsidRPr="00175174">
              <w:rPr>
                <w:noProof/>
                <w:webHidden/>
              </w:rPr>
              <w:fldChar w:fldCharType="separate"/>
            </w:r>
            <w:r w:rsidR="00175174">
              <w:rPr>
                <w:noProof/>
                <w:webHidden/>
              </w:rPr>
              <w:t>43</w:t>
            </w:r>
            <w:r w:rsidRPr="00175174">
              <w:rPr>
                <w:noProof/>
                <w:webHidden/>
              </w:rPr>
              <w:fldChar w:fldCharType="end"/>
            </w:r>
          </w:hyperlink>
        </w:p>
        <w:p w:rsidRPr="00175174" w:rsidR="009D54B2" w:rsidP="00175174" w:rsidRDefault="003B5C4C" w14:paraId="7E49A241" w14:textId="7D73697E">
          <w:pPr>
            <w:suppressAutoHyphens/>
            <w:jc w:val="left"/>
          </w:pPr>
          <w:r w:rsidRPr="00175174">
            <w:fldChar w:fldCharType="end"/>
          </w:r>
        </w:p>
      </w:sdtContent>
    </w:sdt>
    <w:bookmarkEnd w:id="0"/>
    <w:p w:rsidRPr="00175174" w:rsidR="009868DB" w:rsidP="00175174" w:rsidRDefault="009D54B2" w14:paraId="58DFBBA7" w14:textId="77777777">
      <w:pPr>
        <w:suppressAutoHyphens/>
        <w:jc w:val="left"/>
      </w:pPr>
      <w:r w:rsidRPr="00175174">
        <w:br w:type="page"/>
      </w:r>
    </w:p>
    <w:p w:rsidRPr="00175174" w:rsidR="00507C02" w:rsidP="00175174" w:rsidRDefault="000D6ADE" w14:paraId="5F2C824B" w14:textId="4206FFF2">
      <w:pPr>
        <w:pStyle w:val="Kop1"/>
        <w:suppressAutoHyphens/>
        <w:jc w:val="left"/>
        <w:rPr>
          <w:sz w:val="18"/>
          <w:szCs w:val="18"/>
        </w:rPr>
      </w:pPr>
      <w:bookmarkStart w:name="_Toc227050505" w:id="1"/>
      <w:bookmarkStart w:name="_Toc163144523" w:id="2"/>
      <w:bookmarkStart w:name="_Toc164073599" w:id="3"/>
      <w:bookmarkStart w:name="_Toc164074288" w:id="4"/>
      <w:bookmarkStart w:name="_Toc164261464" w:id="5"/>
      <w:bookmarkStart w:name="_Hlk173939693" w:id="6"/>
      <w:r w:rsidRPr="00175174">
        <w:rPr>
          <w:sz w:val="18"/>
          <w:szCs w:val="18"/>
        </w:rPr>
        <w:t>I</w:t>
      </w:r>
      <w:r w:rsidRPr="00175174" w:rsidR="00596748">
        <w:rPr>
          <w:sz w:val="18"/>
          <w:szCs w:val="18"/>
        </w:rPr>
        <w:t>nleiding</w:t>
      </w:r>
      <w:bookmarkEnd w:id="1"/>
    </w:p>
    <w:p w:rsidRPr="00175174" w:rsidR="00BB34BA" w:rsidP="00175174" w:rsidRDefault="00EE3FCD" w14:paraId="0967663D" w14:textId="74FDE02B">
      <w:pPr>
        <w:pStyle w:val="Kop2"/>
        <w:suppressAutoHyphens/>
        <w:jc w:val="left"/>
      </w:pPr>
      <w:bookmarkStart w:name="_Toc227050506" w:id="7"/>
      <w:r w:rsidRPr="00175174">
        <w:t>Derde voortgangs</w:t>
      </w:r>
      <w:r w:rsidRPr="00175174" w:rsidR="00BB34BA">
        <w:t>rapportage</w:t>
      </w:r>
      <w:bookmarkEnd w:id="7"/>
      <w:r w:rsidRPr="00175174" w:rsidR="00BB34BA">
        <w:t xml:space="preserve"> </w:t>
      </w:r>
    </w:p>
    <w:p w:rsidRPr="00175174" w:rsidR="007B7A33" w:rsidP="00175174" w:rsidRDefault="00A575B6" w14:paraId="75354CD5" w14:textId="21AB3DF4">
      <w:pPr>
        <w:suppressAutoHyphens/>
        <w:jc w:val="left"/>
      </w:pPr>
      <w:r w:rsidRPr="00175174">
        <w:t>Conform de Regeling Grote Projecten en</w:t>
      </w:r>
      <w:r w:rsidRPr="00175174" w:rsidR="00572D6C">
        <w:t xml:space="preserve"> </w:t>
      </w:r>
      <w:r w:rsidRPr="00175174">
        <w:t xml:space="preserve">de daarop gebaseerde uitganspuntennotie van </w:t>
      </w:r>
      <w:r w:rsidRPr="00175174" w:rsidR="007B7A33">
        <w:t>de</w:t>
      </w:r>
      <w:r w:rsidRPr="00175174">
        <w:t xml:space="preserve"> </w:t>
      </w:r>
      <w:r w:rsidRPr="00175174" w:rsidR="007B7A33">
        <w:t xml:space="preserve">Tweede </w:t>
      </w:r>
      <w:r w:rsidRPr="00175174">
        <w:t xml:space="preserve">Kamer ligt voor u </w:t>
      </w:r>
      <w:r w:rsidRPr="00175174" w:rsidR="00EB24C7">
        <w:t xml:space="preserve">de </w:t>
      </w:r>
      <w:r w:rsidRPr="00175174" w:rsidR="000A3935">
        <w:t>derde voortgangsrapportage</w:t>
      </w:r>
      <w:r w:rsidRPr="00175174" w:rsidR="00EB24C7">
        <w:t xml:space="preserve"> van het PALLAS-nieuwbouwprogramma. </w:t>
      </w:r>
      <w:r w:rsidRPr="00175174" w:rsidR="00F1089F">
        <w:t xml:space="preserve">Met </w:t>
      </w:r>
      <w:r w:rsidRPr="00175174" w:rsidR="00EB24C7">
        <w:t xml:space="preserve">deze </w:t>
      </w:r>
      <w:r w:rsidRPr="00175174" w:rsidR="000A3935">
        <w:t>voortgangs</w:t>
      </w:r>
      <w:r w:rsidRPr="00175174" w:rsidR="00EB24C7">
        <w:t xml:space="preserve">rapportage wordt u geïnformeerd over </w:t>
      </w:r>
      <w:r w:rsidRPr="00175174" w:rsidR="00896BD6">
        <w:t>ontwikkelingen in de tweede helft van</w:t>
      </w:r>
      <w:r w:rsidRPr="00175174" w:rsidR="00EB24C7">
        <w:t xml:space="preserve"> 2025.</w:t>
      </w:r>
    </w:p>
    <w:p w:rsidRPr="00175174" w:rsidR="00EB24C7" w:rsidP="00175174" w:rsidRDefault="00C04B7D" w14:paraId="41BD36D8" w14:textId="048DA7E1">
      <w:pPr>
        <w:suppressAutoHyphens/>
        <w:jc w:val="left"/>
      </w:pPr>
      <w:r w:rsidRPr="00175174">
        <w:fldChar w:fldCharType="begin"/>
      </w:r>
      <w:r w:rsidRPr="00175174">
        <w:instrText xml:space="preserve"> REF _Ref208997883 \h </w:instrText>
      </w:r>
      <w:r w:rsidRPr="00175174" w:rsidR="00175174">
        <w:instrText xml:space="preserve"> \* MERGEFORMAT </w:instrText>
      </w:r>
      <w:r w:rsidRPr="00175174">
        <w:fldChar w:fldCharType="separate"/>
      </w:r>
      <w:r w:rsidRPr="00175174" w:rsidR="00175174">
        <w:t xml:space="preserve">Tabel </w:t>
      </w:r>
      <w:r w:rsidR="00175174">
        <w:rPr>
          <w:noProof/>
        </w:rPr>
        <w:t>1</w:t>
      </w:r>
      <w:r w:rsidRPr="00175174">
        <w:fldChar w:fldCharType="end"/>
      </w:r>
      <w:r w:rsidRPr="00175174">
        <w:t xml:space="preserve"> </w:t>
      </w:r>
      <w:r w:rsidRPr="00175174" w:rsidR="000A3935">
        <w:t>geeft een overzicht van de rapportages die tot nu toe met de Kamer zijn gedeeld.</w:t>
      </w:r>
      <w:r w:rsidRPr="00175174" w:rsidR="0031750A">
        <w:t xml:space="preserve"> De eerste basisrapportage </w:t>
      </w:r>
      <w:r w:rsidRPr="00175174" w:rsidR="00AA4CFD">
        <w:t>en daarop gebaseerde eerste en tweede voortgangsrapportage zijn</w:t>
      </w:r>
      <w:r w:rsidRPr="00175174" w:rsidR="0031750A">
        <w:t xml:space="preserve"> op eigen initiatief opgesteld. De tweede basisrapportage </w:t>
      </w:r>
      <w:r w:rsidRPr="00175174" w:rsidR="00AA4CFD">
        <w:t>en voorliggende derde voortgangsrapportage zijn</w:t>
      </w:r>
      <w:r w:rsidRPr="00175174" w:rsidR="0031750A">
        <w:t xml:space="preserve"> opgesteld nadat </w:t>
      </w:r>
      <w:r w:rsidRPr="00175174" w:rsidR="007B7A33">
        <w:t>de</w:t>
      </w:r>
      <w:r w:rsidRPr="00175174" w:rsidR="0031750A">
        <w:t xml:space="preserve"> Kamer het PALLAS-nieuwbouwprogramma op 28 januari 2025 heeft aangewezen als groot project conform de Regeling Grote Projecten.</w:t>
      </w:r>
    </w:p>
    <w:p w:rsidRPr="00175174" w:rsidR="00BB34BA" w:rsidP="00175174" w:rsidRDefault="00BB34BA" w14:paraId="078FB404" w14:textId="583B2708">
      <w:pPr>
        <w:pStyle w:val="Bijschrift"/>
        <w:suppressAutoHyphens/>
      </w:pPr>
      <w:bookmarkStart w:name="_Ref208997883" w:id="8"/>
      <w:bookmarkStart w:name="_Ref208997876" w:id="9"/>
      <w:r w:rsidRPr="00175174">
        <w:t xml:space="preserve">Tabel </w:t>
      </w:r>
      <w:r w:rsidRPr="00175174" w:rsidR="00EE7376">
        <w:fldChar w:fldCharType="begin"/>
      </w:r>
      <w:r w:rsidRPr="00175174" w:rsidR="00EE7376">
        <w:instrText xml:space="preserve"> SEQ Tabel \* ARABIC </w:instrText>
      </w:r>
      <w:r w:rsidRPr="00175174" w:rsidR="00EE7376">
        <w:fldChar w:fldCharType="separate"/>
      </w:r>
      <w:r w:rsidR="00175174">
        <w:rPr>
          <w:noProof/>
        </w:rPr>
        <w:t>1</w:t>
      </w:r>
      <w:r w:rsidRPr="00175174" w:rsidR="00EE7376">
        <w:rPr>
          <w:noProof/>
        </w:rPr>
        <w:fldChar w:fldCharType="end"/>
      </w:r>
      <w:bookmarkEnd w:id="8"/>
      <w:r w:rsidRPr="00175174">
        <w:t xml:space="preserve">. Overzicht van reeds verschenen basis- en voortgangsrapportages </w:t>
      </w:r>
      <w:r w:rsidRPr="00175174" w:rsidR="00FE7551">
        <w:t>over</w:t>
      </w:r>
      <w:r w:rsidRPr="00175174">
        <w:t xml:space="preserve"> het PALLAS-nieuwbouwprogramma.</w:t>
      </w:r>
      <w:bookmarkEnd w:id="9"/>
    </w:p>
    <w:tbl>
      <w:tblPr>
        <w:tblStyle w:val="Tabelraster"/>
        <w:tblW w:w="0" w:type="auto"/>
        <w:tblLook w:val="04A0" w:firstRow="1" w:lastRow="0" w:firstColumn="1" w:lastColumn="0" w:noHBand="0" w:noVBand="1"/>
      </w:tblPr>
      <w:tblGrid>
        <w:gridCol w:w="2323"/>
        <w:gridCol w:w="1850"/>
        <w:gridCol w:w="1918"/>
        <w:gridCol w:w="1610"/>
      </w:tblGrid>
      <w:tr w:rsidRPr="00175174" w:rsidR="00BB34BA" w:rsidTr="00BB2A27" w14:paraId="15A2BF17" w14:textId="77777777">
        <w:tc>
          <w:tcPr>
            <w:tcW w:w="2323" w:type="dxa"/>
            <w:tcBorders>
              <w:top w:val="single" w:color="auto" w:sz="4" w:space="0"/>
              <w:left w:val="single" w:color="auto" w:sz="4" w:space="0"/>
              <w:bottom w:val="single" w:color="auto" w:sz="4" w:space="0"/>
              <w:right w:val="single" w:color="auto" w:sz="4" w:space="0"/>
            </w:tcBorders>
            <w:shd w:val="clear" w:color="auto" w:fill="00305B"/>
            <w:vAlign w:val="center"/>
          </w:tcPr>
          <w:p w:rsidRPr="00175174" w:rsidR="00BB34BA" w:rsidP="00175174" w:rsidRDefault="00BB34BA" w14:paraId="2EF9A04C" w14:textId="77777777">
            <w:pPr>
              <w:suppressAutoHyphens/>
              <w:jc w:val="left"/>
              <w:rPr>
                <w:b/>
                <w:bCs/>
                <w:color w:val="FFFFFF" w:themeColor="background1"/>
                <w:lang w:val="nl-NL"/>
              </w:rPr>
            </w:pPr>
            <w:r w:rsidRPr="00175174">
              <w:rPr>
                <w:b/>
                <w:bCs/>
                <w:color w:val="FFFFFF" w:themeColor="background1"/>
                <w:lang w:val="nl-NL"/>
              </w:rPr>
              <w:t>Rapportages</w:t>
            </w:r>
          </w:p>
        </w:tc>
        <w:tc>
          <w:tcPr>
            <w:tcW w:w="1850" w:type="dxa"/>
            <w:tcBorders>
              <w:top w:val="single" w:color="auto" w:sz="4" w:space="0"/>
              <w:left w:val="single" w:color="auto" w:sz="4" w:space="0"/>
              <w:bottom w:val="single" w:color="auto" w:sz="4" w:space="0"/>
              <w:right w:val="single" w:color="auto" w:sz="4" w:space="0"/>
            </w:tcBorders>
            <w:shd w:val="clear" w:color="auto" w:fill="00305B"/>
            <w:vAlign w:val="center"/>
          </w:tcPr>
          <w:p w:rsidRPr="00175174" w:rsidR="00BB34BA" w:rsidP="00175174" w:rsidRDefault="00BB34BA" w14:paraId="398748D8" w14:textId="5184856E">
            <w:pPr>
              <w:suppressAutoHyphens/>
              <w:jc w:val="left"/>
              <w:rPr>
                <w:b/>
                <w:bCs/>
                <w:color w:val="FFFFFF" w:themeColor="background1"/>
                <w:lang w:val="nl-NL"/>
              </w:rPr>
            </w:pPr>
            <w:r w:rsidRPr="00175174">
              <w:rPr>
                <w:b/>
                <w:bCs/>
                <w:color w:val="FFFFFF" w:themeColor="background1"/>
                <w:lang w:val="nl-NL"/>
              </w:rPr>
              <w:t>Vers</w:t>
            </w:r>
            <w:r w:rsidRPr="00175174" w:rsidR="00FE7551">
              <w:rPr>
                <w:b/>
                <w:bCs/>
                <w:color w:val="FFFFFF" w:themeColor="background1"/>
                <w:lang w:val="nl-NL"/>
              </w:rPr>
              <w:t>lag</w:t>
            </w:r>
            <w:r w:rsidRPr="00175174">
              <w:rPr>
                <w:b/>
                <w:bCs/>
                <w:color w:val="FFFFFF" w:themeColor="background1"/>
                <w:lang w:val="nl-NL"/>
              </w:rPr>
              <w:t>periode</w:t>
            </w:r>
          </w:p>
        </w:tc>
        <w:tc>
          <w:tcPr>
            <w:tcW w:w="1918" w:type="dxa"/>
            <w:tcBorders>
              <w:top w:val="single" w:color="auto" w:sz="4" w:space="0"/>
              <w:left w:val="single" w:color="auto" w:sz="4" w:space="0"/>
              <w:bottom w:val="single" w:color="auto" w:sz="4" w:space="0"/>
              <w:right w:val="single" w:color="auto" w:sz="4" w:space="0"/>
            </w:tcBorders>
            <w:shd w:val="clear" w:color="auto" w:fill="00305B"/>
            <w:vAlign w:val="center"/>
          </w:tcPr>
          <w:p w:rsidRPr="00175174" w:rsidR="00BB34BA" w:rsidP="00175174" w:rsidRDefault="00BB34BA" w14:paraId="16025A04" w14:textId="77777777">
            <w:pPr>
              <w:suppressAutoHyphens/>
              <w:jc w:val="left"/>
              <w:rPr>
                <w:b/>
                <w:bCs/>
                <w:color w:val="FFFFFF" w:themeColor="background1"/>
                <w:lang w:val="nl-NL"/>
              </w:rPr>
            </w:pPr>
            <w:proofErr w:type="spellStart"/>
            <w:r w:rsidRPr="00175174">
              <w:rPr>
                <w:b/>
                <w:bCs/>
                <w:color w:val="FFFFFF" w:themeColor="background1"/>
                <w:lang w:val="nl-NL"/>
              </w:rPr>
              <w:t>Verschijnings-datum</w:t>
            </w:r>
            <w:proofErr w:type="spellEnd"/>
          </w:p>
        </w:tc>
        <w:tc>
          <w:tcPr>
            <w:tcW w:w="1610" w:type="dxa"/>
            <w:tcBorders>
              <w:top w:val="single" w:color="auto" w:sz="4" w:space="0"/>
              <w:left w:val="single" w:color="auto" w:sz="4" w:space="0"/>
              <w:bottom w:val="single" w:color="auto" w:sz="4" w:space="0"/>
              <w:right w:val="single" w:color="auto" w:sz="4" w:space="0"/>
            </w:tcBorders>
            <w:shd w:val="clear" w:color="auto" w:fill="00305B"/>
            <w:vAlign w:val="center"/>
          </w:tcPr>
          <w:p w:rsidRPr="00175174" w:rsidR="00BB34BA" w:rsidP="00175174" w:rsidRDefault="00BB34BA" w14:paraId="7344133B" w14:textId="77777777">
            <w:pPr>
              <w:suppressAutoHyphens/>
              <w:jc w:val="left"/>
              <w:rPr>
                <w:b/>
                <w:bCs/>
                <w:color w:val="FFFFFF" w:themeColor="background1"/>
                <w:lang w:val="nl-NL"/>
              </w:rPr>
            </w:pPr>
            <w:r w:rsidRPr="00175174">
              <w:rPr>
                <w:b/>
                <w:bCs/>
                <w:color w:val="FFFFFF" w:themeColor="background1"/>
                <w:lang w:val="nl-NL"/>
              </w:rPr>
              <w:t>Kamerstuk</w:t>
            </w:r>
          </w:p>
        </w:tc>
      </w:tr>
      <w:tr w:rsidRPr="00175174" w:rsidR="00BB34BA" w:rsidTr="00BB2A27" w14:paraId="17D96E97" w14:textId="77777777">
        <w:tc>
          <w:tcPr>
            <w:tcW w:w="2323" w:type="dxa"/>
            <w:tcBorders>
              <w:bottom w:val="single" w:color="auto" w:sz="4" w:space="0"/>
            </w:tcBorders>
            <w:vAlign w:val="center"/>
          </w:tcPr>
          <w:p w:rsidRPr="00175174" w:rsidR="00BB34BA" w:rsidP="00175174" w:rsidRDefault="00BB34BA" w14:paraId="1F898430" w14:textId="119E3689">
            <w:pPr>
              <w:suppressAutoHyphens/>
              <w:jc w:val="left"/>
              <w:rPr>
                <w:lang w:val="nl-NL"/>
              </w:rPr>
            </w:pPr>
            <w:r w:rsidRPr="00175174">
              <w:rPr>
                <w:lang w:val="nl-NL"/>
              </w:rPr>
              <w:t xml:space="preserve">Eerste </w:t>
            </w:r>
            <w:r w:rsidRPr="00175174" w:rsidR="00FE7551">
              <w:rPr>
                <w:lang w:val="nl-NL"/>
              </w:rPr>
              <w:t>b</w:t>
            </w:r>
            <w:r w:rsidRPr="00175174">
              <w:rPr>
                <w:lang w:val="nl-NL"/>
              </w:rPr>
              <w:t>asisrapportage</w:t>
            </w:r>
          </w:p>
        </w:tc>
        <w:tc>
          <w:tcPr>
            <w:tcW w:w="1850" w:type="dxa"/>
            <w:tcBorders>
              <w:bottom w:val="single" w:color="auto" w:sz="4" w:space="0"/>
            </w:tcBorders>
          </w:tcPr>
          <w:p w:rsidRPr="00175174" w:rsidR="00BB34BA" w:rsidP="00175174" w:rsidRDefault="00CA3594" w14:paraId="79A0ED11" w14:textId="1E40D719">
            <w:pPr>
              <w:suppressAutoHyphens/>
              <w:jc w:val="left"/>
              <w:rPr>
                <w:lang w:val="nl-NL"/>
              </w:rPr>
            </w:pPr>
            <w:r w:rsidRPr="00175174">
              <w:rPr>
                <w:lang w:val="nl-NL"/>
              </w:rPr>
              <w:t>T/m 31-12-2023</w:t>
            </w:r>
          </w:p>
        </w:tc>
        <w:tc>
          <w:tcPr>
            <w:tcW w:w="1918" w:type="dxa"/>
            <w:tcBorders>
              <w:bottom w:val="single" w:color="auto" w:sz="4" w:space="0"/>
            </w:tcBorders>
            <w:vAlign w:val="center"/>
          </w:tcPr>
          <w:p w:rsidRPr="00175174" w:rsidR="00BB34BA" w:rsidP="00175174" w:rsidRDefault="00BB34BA" w14:paraId="2DB397E4" w14:textId="77777777">
            <w:pPr>
              <w:suppressAutoHyphens/>
              <w:jc w:val="left"/>
              <w:rPr>
                <w:lang w:val="nl-NL"/>
              </w:rPr>
            </w:pPr>
            <w:r w:rsidRPr="00175174">
              <w:rPr>
                <w:lang w:val="nl-NL"/>
              </w:rPr>
              <w:t>13-05-2024</w:t>
            </w:r>
          </w:p>
        </w:tc>
        <w:tc>
          <w:tcPr>
            <w:tcW w:w="1610" w:type="dxa"/>
            <w:tcBorders>
              <w:bottom w:val="single" w:color="auto" w:sz="4" w:space="0"/>
            </w:tcBorders>
            <w:vAlign w:val="center"/>
          </w:tcPr>
          <w:p w:rsidRPr="00175174" w:rsidR="00BB34BA" w:rsidP="00175174" w:rsidRDefault="00BB34BA" w14:paraId="5DD6E343" w14:textId="77777777">
            <w:pPr>
              <w:suppressAutoHyphens/>
              <w:jc w:val="left"/>
              <w:rPr>
                <w:lang w:val="nl-NL"/>
              </w:rPr>
            </w:pPr>
            <w:r w:rsidRPr="00175174">
              <w:rPr>
                <w:lang w:val="nl-NL"/>
              </w:rPr>
              <w:t>33 626, nr. 24</w:t>
            </w:r>
          </w:p>
        </w:tc>
      </w:tr>
      <w:tr w:rsidRPr="00175174" w:rsidR="00BB34BA" w:rsidTr="00BB2A27" w14:paraId="7744D75B" w14:textId="77777777">
        <w:tc>
          <w:tcPr>
            <w:tcW w:w="2323" w:type="dxa"/>
            <w:tcBorders>
              <w:bottom w:val="single" w:color="auto" w:sz="4" w:space="0"/>
            </w:tcBorders>
          </w:tcPr>
          <w:p w:rsidRPr="00175174" w:rsidR="00BB34BA" w:rsidP="00175174" w:rsidRDefault="00BB34BA" w14:paraId="0B7443E4" w14:textId="77777777">
            <w:pPr>
              <w:suppressAutoHyphens/>
              <w:jc w:val="left"/>
              <w:rPr>
                <w:lang w:val="nl-NL"/>
              </w:rPr>
            </w:pPr>
            <w:r w:rsidRPr="00175174">
              <w:rPr>
                <w:lang w:val="nl-NL"/>
              </w:rPr>
              <w:t>Eerste voortgangsrapportage</w:t>
            </w:r>
          </w:p>
        </w:tc>
        <w:tc>
          <w:tcPr>
            <w:tcW w:w="1850" w:type="dxa"/>
            <w:tcBorders>
              <w:bottom w:val="single" w:color="auto" w:sz="4" w:space="0"/>
            </w:tcBorders>
          </w:tcPr>
          <w:p w:rsidRPr="00175174" w:rsidR="00BB34BA" w:rsidP="00175174" w:rsidRDefault="00BB34BA" w14:paraId="065D3BAD" w14:textId="77777777">
            <w:pPr>
              <w:suppressAutoHyphens/>
              <w:jc w:val="left"/>
              <w:rPr>
                <w:lang w:val="nl-NL"/>
              </w:rPr>
            </w:pPr>
            <w:r w:rsidRPr="00175174">
              <w:rPr>
                <w:lang w:val="nl-NL"/>
              </w:rPr>
              <w:t>01-01-2024 t/m 30-06-2024</w:t>
            </w:r>
          </w:p>
        </w:tc>
        <w:tc>
          <w:tcPr>
            <w:tcW w:w="1918" w:type="dxa"/>
            <w:tcBorders>
              <w:bottom w:val="single" w:color="auto" w:sz="4" w:space="0"/>
            </w:tcBorders>
          </w:tcPr>
          <w:p w:rsidRPr="00175174" w:rsidR="00BB34BA" w:rsidP="00175174" w:rsidRDefault="00BB34BA" w14:paraId="41C71804" w14:textId="77777777">
            <w:pPr>
              <w:suppressAutoHyphens/>
              <w:jc w:val="left"/>
              <w:rPr>
                <w:lang w:val="nl-NL"/>
              </w:rPr>
            </w:pPr>
            <w:r w:rsidRPr="00175174">
              <w:rPr>
                <w:lang w:val="nl-NL"/>
              </w:rPr>
              <w:t>10-10-2024</w:t>
            </w:r>
          </w:p>
        </w:tc>
        <w:tc>
          <w:tcPr>
            <w:tcW w:w="1610" w:type="dxa"/>
            <w:tcBorders>
              <w:bottom w:val="single" w:color="auto" w:sz="4" w:space="0"/>
            </w:tcBorders>
          </w:tcPr>
          <w:p w:rsidRPr="00175174" w:rsidR="00BB34BA" w:rsidP="00175174" w:rsidRDefault="00BB34BA" w14:paraId="0DF125D3" w14:textId="77777777">
            <w:pPr>
              <w:suppressAutoHyphens/>
              <w:jc w:val="left"/>
              <w:rPr>
                <w:lang w:val="nl-NL"/>
              </w:rPr>
            </w:pPr>
            <w:r w:rsidRPr="00175174">
              <w:rPr>
                <w:lang w:val="nl-NL"/>
              </w:rPr>
              <w:t>33 626, nr. 26</w:t>
            </w:r>
          </w:p>
        </w:tc>
      </w:tr>
      <w:tr w:rsidRPr="00175174" w:rsidR="00BB34BA" w:rsidTr="00BB2A27" w14:paraId="2499674C" w14:textId="77777777">
        <w:tc>
          <w:tcPr>
            <w:tcW w:w="2323" w:type="dxa"/>
            <w:tcBorders>
              <w:bottom w:val="single" w:color="auto" w:sz="4" w:space="0"/>
            </w:tcBorders>
          </w:tcPr>
          <w:p w:rsidRPr="00175174" w:rsidR="00BB34BA" w:rsidP="00175174" w:rsidRDefault="00BB34BA" w14:paraId="2706B7BE" w14:textId="77777777">
            <w:pPr>
              <w:suppressAutoHyphens/>
              <w:jc w:val="left"/>
              <w:rPr>
                <w:lang w:val="nl-NL"/>
              </w:rPr>
            </w:pPr>
            <w:r w:rsidRPr="00175174">
              <w:rPr>
                <w:lang w:val="nl-NL"/>
              </w:rPr>
              <w:t>Tweede voortgangsrapportage</w:t>
            </w:r>
          </w:p>
        </w:tc>
        <w:tc>
          <w:tcPr>
            <w:tcW w:w="1850" w:type="dxa"/>
            <w:tcBorders>
              <w:bottom w:val="single" w:color="auto" w:sz="4" w:space="0"/>
            </w:tcBorders>
          </w:tcPr>
          <w:p w:rsidRPr="00175174" w:rsidR="00BB34BA" w:rsidP="00175174" w:rsidRDefault="00BB34BA" w14:paraId="47C3CD43" w14:textId="70FE1E3E">
            <w:pPr>
              <w:suppressAutoHyphens/>
              <w:jc w:val="left"/>
              <w:rPr>
                <w:lang w:val="nl-NL"/>
              </w:rPr>
            </w:pPr>
            <w:r w:rsidRPr="00175174">
              <w:rPr>
                <w:lang w:val="nl-NL"/>
              </w:rPr>
              <w:t>01-07-2024 t/m 31-12-2024</w:t>
            </w:r>
          </w:p>
        </w:tc>
        <w:tc>
          <w:tcPr>
            <w:tcW w:w="1918" w:type="dxa"/>
            <w:tcBorders>
              <w:bottom w:val="single" w:color="auto" w:sz="4" w:space="0"/>
            </w:tcBorders>
          </w:tcPr>
          <w:p w:rsidRPr="00175174" w:rsidR="00BB34BA" w:rsidP="00175174" w:rsidRDefault="00BB34BA" w14:paraId="3DA669FE" w14:textId="77777777">
            <w:pPr>
              <w:suppressAutoHyphens/>
              <w:jc w:val="left"/>
              <w:rPr>
                <w:lang w:val="nl-NL"/>
              </w:rPr>
            </w:pPr>
            <w:r w:rsidRPr="00175174">
              <w:rPr>
                <w:lang w:val="nl-NL"/>
              </w:rPr>
              <w:t>12-05-2025</w:t>
            </w:r>
          </w:p>
        </w:tc>
        <w:tc>
          <w:tcPr>
            <w:tcW w:w="1610" w:type="dxa"/>
            <w:tcBorders>
              <w:bottom w:val="single" w:color="auto" w:sz="4" w:space="0"/>
            </w:tcBorders>
          </w:tcPr>
          <w:p w:rsidRPr="00175174" w:rsidR="00BB34BA" w:rsidP="00175174" w:rsidRDefault="00BB34BA" w14:paraId="343D0945" w14:textId="77777777">
            <w:pPr>
              <w:suppressAutoHyphens/>
              <w:jc w:val="left"/>
              <w:rPr>
                <w:lang w:val="nl-NL"/>
              </w:rPr>
            </w:pPr>
            <w:r w:rsidRPr="00175174">
              <w:rPr>
                <w:lang w:val="nl-NL"/>
              </w:rPr>
              <w:t>33 626, nr. 30</w:t>
            </w:r>
          </w:p>
        </w:tc>
      </w:tr>
      <w:tr w:rsidRPr="00175174" w:rsidR="00BB34BA" w:rsidTr="00BB2A27" w14:paraId="57CF8607" w14:textId="77777777">
        <w:tc>
          <w:tcPr>
            <w:tcW w:w="2323" w:type="dxa"/>
          </w:tcPr>
          <w:p w:rsidRPr="00175174" w:rsidR="00BB34BA" w:rsidP="00175174" w:rsidRDefault="00BB34BA" w14:paraId="2C1C902C" w14:textId="0071BB98">
            <w:pPr>
              <w:suppressAutoHyphens/>
              <w:jc w:val="left"/>
              <w:rPr>
                <w:lang w:val="nl-NL"/>
              </w:rPr>
            </w:pPr>
            <w:r w:rsidRPr="00175174">
              <w:rPr>
                <w:lang w:val="nl-NL"/>
              </w:rPr>
              <w:t xml:space="preserve">Tweede </w:t>
            </w:r>
            <w:r w:rsidRPr="00175174" w:rsidR="00FE7551">
              <w:rPr>
                <w:lang w:val="nl-NL"/>
              </w:rPr>
              <w:t>b</w:t>
            </w:r>
            <w:r w:rsidRPr="00175174">
              <w:rPr>
                <w:lang w:val="nl-NL"/>
              </w:rPr>
              <w:t>asisrapportage</w:t>
            </w:r>
          </w:p>
        </w:tc>
        <w:tc>
          <w:tcPr>
            <w:tcW w:w="1850" w:type="dxa"/>
          </w:tcPr>
          <w:p w:rsidRPr="00175174" w:rsidR="00BB34BA" w:rsidP="00175174" w:rsidRDefault="00CA3594" w14:paraId="5ED3BF59" w14:textId="07858FB6">
            <w:pPr>
              <w:suppressAutoHyphens/>
              <w:jc w:val="left"/>
              <w:rPr>
                <w:lang w:val="nl-NL"/>
              </w:rPr>
            </w:pPr>
            <w:r w:rsidRPr="00175174">
              <w:rPr>
                <w:lang w:val="nl-NL"/>
              </w:rPr>
              <w:t>T/m</w:t>
            </w:r>
            <w:r w:rsidRPr="00175174" w:rsidR="00BB34BA">
              <w:rPr>
                <w:lang w:val="nl-NL"/>
              </w:rPr>
              <w:t xml:space="preserve"> 30-06-2025</w:t>
            </w:r>
          </w:p>
        </w:tc>
        <w:tc>
          <w:tcPr>
            <w:tcW w:w="1918" w:type="dxa"/>
          </w:tcPr>
          <w:p w:rsidRPr="00175174" w:rsidR="00BB34BA" w:rsidP="00175174" w:rsidRDefault="004E2A52" w14:paraId="7C60B197" w14:textId="3AFCAF16">
            <w:pPr>
              <w:suppressAutoHyphens/>
              <w:jc w:val="left"/>
              <w:rPr>
                <w:lang w:val="nl-NL"/>
              </w:rPr>
            </w:pPr>
            <w:r w:rsidRPr="00175174">
              <w:rPr>
                <w:lang w:val="nl-NL"/>
              </w:rPr>
              <w:t>30-10-2025</w:t>
            </w:r>
          </w:p>
        </w:tc>
        <w:tc>
          <w:tcPr>
            <w:tcW w:w="1610" w:type="dxa"/>
          </w:tcPr>
          <w:p w:rsidRPr="00175174" w:rsidR="00BB34BA" w:rsidP="00175174" w:rsidRDefault="004E2A52" w14:paraId="2489DC27" w14:textId="298AAE30">
            <w:pPr>
              <w:suppressAutoHyphens/>
              <w:jc w:val="left"/>
              <w:rPr>
                <w:lang w:val="nl-NL"/>
              </w:rPr>
            </w:pPr>
            <w:r w:rsidRPr="00175174">
              <w:rPr>
                <w:lang w:val="nl-NL"/>
              </w:rPr>
              <w:t>33 626, nr. 35</w:t>
            </w:r>
          </w:p>
        </w:tc>
      </w:tr>
    </w:tbl>
    <w:p w:rsidRPr="00175174" w:rsidR="00BB34BA" w:rsidP="00175174" w:rsidRDefault="00BB34BA" w14:paraId="4F55ADC8" w14:textId="77777777">
      <w:pPr>
        <w:suppressAutoHyphens/>
        <w:jc w:val="left"/>
        <w:rPr>
          <w:color w:val="00305B"/>
        </w:rPr>
      </w:pPr>
      <w:r w:rsidRPr="00175174">
        <w:br w:type="page"/>
      </w:r>
    </w:p>
    <w:p w:rsidRPr="00175174" w:rsidR="00C946E0" w:rsidP="00175174" w:rsidRDefault="0069617F" w14:paraId="1CF542A4" w14:textId="05E8B3E0">
      <w:pPr>
        <w:pStyle w:val="Kop2"/>
        <w:suppressAutoHyphens/>
        <w:jc w:val="left"/>
      </w:pPr>
      <w:bookmarkStart w:name="_Toc227050507" w:id="10"/>
      <w:r w:rsidRPr="00175174">
        <w:t>Strategisch d</w:t>
      </w:r>
      <w:r w:rsidRPr="00175174" w:rsidR="0093181C">
        <w:t xml:space="preserve">oel van het programma: </w:t>
      </w:r>
      <w:r w:rsidRPr="00175174" w:rsidR="004C1914">
        <w:t>borging</w:t>
      </w:r>
      <w:r w:rsidRPr="00175174" w:rsidR="0093181C">
        <w:t xml:space="preserve"> van toekomstige v</w:t>
      </w:r>
      <w:r w:rsidRPr="00175174" w:rsidR="00F122F5">
        <w:t xml:space="preserve">oorzieningszekerheid </w:t>
      </w:r>
      <w:r w:rsidRPr="00175174" w:rsidR="00C946E0">
        <w:t>van medische isotopen</w:t>
      </w:r>
      <w:bookmarkEnd w:id="10"/>
    </w:p>
    <w:p w:rsidRPr="00175174" w:rsidR="00C946E0" w:rsidP="00175174" w:rsidRDefault="00C946E0" w14:paraId="5849628B" w14:textId="17690436">
      <w:pPr>
        <w:suppressAutoHyphens/>
        <w:jc w:val="left"/>
      </w:pPr>
      <w:r w:rsidRPr="00175174">
        <w:t>Veel patiënten met vaak levensbedreigende ziekten zijn afhankelijk van medische isotopen. Medische isotopen zijn radioactieve stoffen die worden gebruikt voor de diagnose van veel verschillende ziekten en de behandeling van ernstige aandoeningen, zoals prostaat-, schildklier-, of longkanker. Met de investering in het PALLAS-nieuwbouwprogramma zet het kabinet in op het</w:t>
      </w:r>
      <w:r w:rsidRPr="00175174" w:rsidR="00AC0D6A">
        <w:t xml:space="preserve"> in 2032</w:t>
      </w:r>
      <w:r w:rsidRPr="00175174">
        <w:t xml:space="preserve"> vervangen van de verouderde Hoge Flux Reactor (HFR)</w:t>
      </w:r>
      <w:r w:rsidRPr="00175174" w:rsidR="00AC0D6A">
        <w:t xml:space="preserve"> en het realiseren van ver- en bewerkingscapaciteit voor de productie van medische isotopen </w:t>
      </w:r>
      <w:r w:rsidRPr="00175174">
        <w:t xml:space="preserve">en daarmee het borgen van de toekomstige voorzieningszekerheid voor de patiënt. </w:t>
      </w:r>
    </w:p>
    <w:p w:rsidRPr="00175174" w:rsidR="00C946E0" w:rsidP="00175174" w:rsidRDefault="00C946E0" w14:paraId="6C7A9B6D" w14:textId="575484AC">
      <w:pPr>
        <w:suppressAutoHyphens/>
        <w:jc w:val="left"/>
      </w:pPr>
      <w:r w:rsidRPr="00175174">
        <w:t>Vanwege de radioactiviteit en halfwaardetijd van isotopen is het is niet mogelijk om voorraden van isotopen aan te leggen, waardoor nabijheid van productie de beste garantie is voor continue beschikbaarheid. Ook ontwikkelingen in het toekomstige behandellandschap spelen een rol. Nationale en internationale experts</w:t>
      </w:r>
      <w:r w:rsidRPr="00175174">
        <w:rPr>
          <w:rStyle w:val="Voetnootmarkering"/>
        </w:rPr>
        <w:footnoteReference w:id="2"/>
      </w:r>
      <w:r w:rsidRPr="00175174">
        <w:t xml:space="preserve"> verwachten in de nabije toekomst een sterk stijgende vraag naar therapeutische isotopen. </w:t>
      </w:r>
      <w:r w:rsidRPr="00175174" w:rsidR="00D444EB">
        <w:t>Deze i</w:t>
      </w:r>
      <w:r w:rsidRPr="00175174">
        <w:t>nnovatieve geneesmiddelen op basis van isotopen zijn een hoopvolle ontwikkeling voor een grote groep patiënten, maar de nucleaire aard en de benodigde omvang van de investeringen van deze middelen maakt ze kwetsbaar voor marktmanipulatie en monopolisering met het risico op beschikbaarheidsproblemen en excessieve prijzen. Een breed aanbod van verschillende soorten isotopen, in de toekomst onder meer geproduceerd door de PALLAS-reactor (en non-exclusief aangeboden)</w:t>
      </w:r>
      <w:r w:rsidRPr="00175174" w:rsidR="00415F6A">
        <w:t>,</w:t>
      </w:r>
      <w:r w:rsidRPr="00175174">
        <w:t xml:space="preserve"> voorkomt monopolies op de belangrijke therapeutische isotopen. Ook maakt dit brede aanbod therapieontwikkeling mogelijk die </w:t>
      </w:r>
      <w:r w:rsidRPr="00175174" w:rsidR="007E5264">
        <w:t>commercieel</w:t>
      </w:r>
      <w:r w:rsidRPr="00175174">
        <w:t xml:space="preserve"> niet aantrekkelijk gevonden wordt door private partijen, maar die wel tegemoetkomt aan behoeften van kleinere patiëntpopulaties.</w:t>
      </w:r>
    </w:p>
    <w:p w:rsidRPr="00175174" w:rsidR="0098485C" w:rsidP="00175174" w:rsidRDefault="0098485C" w14:paraId="5ECE1072" w14:textId="292F0BAC">
      <w:pPr>
        <w:suppressAutoHyphens/>
        <w:jc w:val="left"/>
      </w:pPr>
      <w:r w:rsidRPr="00175174">
        <w:t>Naast het directe belang voor de patiënt draagt het programma bij aan het behoud en de verdere ontwikkeling van een hoogwaardige nucleaire kennis- en innovatiebasis in Nederland. Deze kennisinfrastructuur is van betekenis voor bredere maatschappelijke en economische opgaven en sluit aan bij de groeiende aandacht voor nucleaire technologie, onder meer in het kader van toekomstige energievoorziening. In een internationale context waarin afhankelijkheden in strategische ketens toenemen, draagt het programma tevens bij aan het versterken van Europese autonomie op het gebied van nucleaire toepassingen.</w:t>
      </w:r>
      <w:r w:rsidRPr="00175174" w:rsidR="001C300F">
        <w:t xml:space="preserve"> En ook is er </w:t>
      </w:r>
      <w:r w:rsidRPr="00175174" w:rsidR="00BF5768">
        <w:t>het belang</w:t>
      </w:r>
      <w:r w:rsidRPr="00175174" w:rsidR="001C300F">
        <w:t xml:space="preserve"> van de reactor en de campus in Petten voor de aantrekkingskracht van de regio en voor de bredere economische ontwikkeling van Nederland.</w:t>
      </w:r>
    </w:p>
    <w:p w:rsidRPr="00175174" w:rsidR="00A628C0" w:rsidP="00175174" w:rsidRDefault="00A628C0" w14:paraId="016FCD74" w14:textId="4C55446F">
      <w:pPr>
        <w:pStyle w:val="Kop2"/>
        <w:suppressAutoHyphens/>
        <w:jc w:val="left"/>
      </w:pPr>
      <w:bookmarkStart w:name="_Toc227050508" w:id="11"/>
      <w:r w:rsidRPr="00175174">
        <w:t>NRG PALLAS B.V. en het PALLAS-nieuwbouwprogramma</w:t>
      </w:r>
      <w:bookmarkEnd w:id="11"/>
    </w:p>
    <w:p w:rsidRPr="00175174" w:rsidR="00AA0C51" w:rsidP="00175174" w:rsidRDefault="009C141A" w14:paraId="042679FC" w14:textId="77777777">
      <w:pPr>
        <w:suppressAutoHyphens/>
        <w:jc w:val="left"/>
      </w:pPr>
      <w:r w:rsidRPr="00175174">
        <w:t>NRG PALLAS B.V. is verantwoordelijk voor de exploitatie van de huidige Hoge Flux Reactor en opdrachtgever voor het PALLAS-nieuwbouwprogramma in Petten</w:t>
      </w:r>
      <w:r w:rsidRPr="00175174" w:rsidR="00B6768F">
        <w:t xml:space="preserve"> (gemeente Schagen)</w:t>
      </w:r>
      <w:r w:rsidRPr="00175174">
        <w:t xml:space="preserve">. De Staat der Nederlanden, vertegenwoordigd door de minister van Volksgezondheid, Welzijn en Sport (VWS), is 100% aandeelhouder van de onderneming. </w:t>
      </w:r>
      <w:r w:rsidRPr="00175174" w:rsidR="00C549AB">
        <w:t>Het PALLAS- nieuwbouwprogramma bestaat uit drie deelprojecten, namelijk het PALLAS-reactor</w:t>
      </w:r>
      <w:r w:rsidRPr="00175174" w:rsidR="001A77B9">
        <w:t xml:space="preserve"> project</w:t>
      </w:r>
      <w:r w:rsidRPr="00175174" w:rsidR="00C549AB">
        <w:t xml:space="preserve">, </w:t>
      </w:r>
      <w:r w:rsidRPr="00175174" w:rsidR="001A77B9">
        <w:t xml:space="preserve">het Processing </w:t>
      </w:r>
      <w:proofErr w:type="spellStart"/>
      <w:r w:rsidRPr="00175174" w:rsidR="001A77B9">
        <w:t>Facilities</w:t>
      </w:r>
      <w:proofErr w:type="spellEnd"/>
      <w:r w:rsidRPr="00175174" w:rsidR="001A77B9">
        <w:t xml:space="preserve"> project</w:t>
      </w:r>
      <w:r w:rsidRPr="00175174">
        <w:t xml:space="preserve"> (</w:t>
      </w:r>
      <w:proofErr w:type="spellStart"/>
      <w:r w:rsidRPr="00175174">
        <w:t>Nuclear</w:t>
      </w:r>
      <w:proofErr w:type="spellEnd"/>
      <w:r w:rsidRPr="00175174">
        <w:t xml:space="preserve"> Health Centre – fase 1)</w:t>
      </w:r>
      <w:r w:rsidRPr="00175174" w:rsidR="001A77B9">
        <w:t xml:space="preserve"> en</w:t>
      </w:r>
      <w:r w:rsidRPr="00175174" w:rsidR="00C549AB">
        <w:t xml:space="preserve"> </w:t>
      </w:r>
      <w:r w:rsidRPr="00175174" w:rsidR="001A77B9">
        <w:t xml:space="preserve">het </w:t>
      </w:r>
      <w:proofErr w:type="spellStart"/>
      <w:r w:rsidRPr="00175174" w:rsidR="001A77B9">
        <w:t>Operational</w:t>
      </w:r>
      <w:proofErr w:type="spellEnd"/>
      <w:r w:rsidRPr="00175174" w:rsidR="001A77B9">
        <w:t xml:space="preserve"> Readiness project. </w:t>
      </w:r>
      <w:bookmarkStart w:name="_Toc163144524" w:id="12"/>
      <w:bookmarkStart w:name="_Toc164073600" w:id="13"/>
      <w:bookmarkStart w:name="_Toc164074289" w:id="14"/>
      <w:bookmarkStart w:name="_Toc164261465" w:id="15"/>
      <w:bookmarkEnd w:id="2"/>
      <w:bookmarkEnd w:id="3"/>
      <w:bookmarkEnd w:id="4"/>
      <w:bookmarkEnd w:id="5"/>
    </w:p>
    <w:p w:rsidRPr="00175174" w:rsidR="00A628C0" w:rsidP="00175174" w:rsidRDefault="0098485C" w14:paraId="2618659A" w14:textId="53225F82">
      <w:pPr>
        <w:suppressAutoHyphens/>
        <w:jc w:val="left"/>
      </w:pPr>
      <w:r w:rsidRPr="00175174">
        <w:t>Deze projecten worden gerealiseerd op de Energy &amp; Health Campus in Petten en vormen gezamenlijk de basis voor een toekomstbestendige nucleaire infrastructuur voor de productie en toepassing van medische isotopen.</w:t>
      </w:r>
    </w:p>
    <w:p w:rsidRPr="00175174" w:rsidR="00A628C0" w:rsidP="00175174" w:rsidRDefault="00A628C0" w14:paraId="3310154F" w14:textId="46B8869F">
      <w:pPr>
        <w:pStyle w:val="Kop2"/>
        <w:suppressAutoHyphens/>
        <w:spacing w:before="0"/>
        <w:jc w:val="left"/>
      </w:pPr>
      <w:bookmarkStart w:name="_Toc227050509" w:id="16"/>
      <w:r w:rsidRPr="00175174">
        <w:t>D</w:t>
      </w:r>
      <w:r w:rsidRPr="00175174" w:rsidR="00746DBD">
        <w:t>irectie Deelnemingen en Aandeelhoudersadvisering</w:t>
      </w:r>
      <w:bookmarkEnd w:id="16"/>
    </w:p>
    <w:p w:rsidRPr="00175174" w:rsidR="00AD660B" w:rsidP="00175174" w:rsidRDefault="00AD660B" w14:paraId="339CC306" w14:textId="34FF08E7">
      <w:pPr>
        <w:suppressAutoHyphens/>
        <w:jc w:val="left"/>
      </w:pPr>
      <w:r w:rsidRPr="00175174">
        <w:t>Naar aanleiding van de uitkomsten van de Gate Review en de daaropvolgende aanbevelingen van de Algemene Rekenkamer zijn verdere veranderingen in de interne organisatie van het ministerie van V</w:t>
      </w:r>
      <w:r w:rsidRPr="00175174" w:rsidR="006A5CBD">
        <w:t>olksgezondheid, Welzijn en Sport</w:t>
      </w:r>
      <w:r w:rsidRPr="00175174">
        <w:t xml:space="preserve"> </w:t>
      </w:r>
      <w:r w:rsidRPr="00175174" w:rsidR="006A5CBD">
        <w:t xml:space="preserve">(VWS) </w:t>
      </w:r>
      <w:r w:rsidRPr="00175174">
        <w:t xml:space="preserve">doorgevoerd. </w:t>
      </w:r>
    </w:p>
    <w:p w:rsidRPr="00175174" w:rsidR="006B6E05" w:rsidP="00175174" w:rsidRDefault="00AD660B" w14:paraId="0C0B531D" w14:textId="23B3FEEF">
      <w:pPr>
        <w:suppressAutoHyphens/>
        <w:jc w:val="left"/>
      </w:pPr>
      <w:r w:rsidRPr="00175174">
        <w:t xml:space="preserve">Begin 2025 was de beleidsverantwoordelijkheid voor het onderwerp medische isotopen al verplaatst van de Programmadirectie Medische Isotopen </w:t>
      </w:r>
      <w:r w:rsidRPr="00175174" w:rsidR="006A5CBD">
        <w:t xml:space="preserve">(PMI) </w:t>
      </w:r>
      <w:r w:rsidRPr="00175174">
        <w:t xml:space="preserve">naar de beleidsdirectie Geneesmiddelen en Medische Technologie (GMT). Daarnaast is per 1 januari 2026 is nieuwe beleidsdirectie Deelnemingen &amp; Aandeelhoudersadvisering (D&amp;A) gevormd, onder de rechtstreekse inhoudelijke aansturing van de secretaris-generaal van VWS. Alle beleidstaken rondom de deelneming NRG PALLAS B.V., die voorheen bij Programmadirectie Medische Isotopen waren belegd, </w:t>
      </w:r>
      <w:r w:rsidRPr="00175174" w:rsidR="006A5CBD">
        <w:t xml:space="preserve">alsmede alle betrokken medewerkers </w:t>
      </w:r>
      <w:r w:rsidRPr="00175174">
        <w:t xml:space="preserve">zijn in deze nieuwe directie ondergebracht. </w:t>
      </w:r>
      <w:r w:rsidRPr="00175174" w:rsidR="00A61561">
        <w:t xml:space="preserve">De </w:t>
      </w:r>
      <w:r w:rsidRPr="00175174">
        <w:t>P</w:t>
      </w:r>
      <w:r w:rsidRPr="00175174" w:rsidR="00A61561">
        <w:t>rogrammadirectie Medische Isotopen</w:t>
      </w:r>
      <w:r w:rsidRPr="00175174">
        <w:t xml:space="preserve"> is per 1 januari 2026 opgeheven.</w:t>
      </w:r>
      <w:r w:rsidRPr="00175174" w:rsidR="00A61561">
        <w:t xml:space="preserve"> </w:t>
      </w:r>
    </w:p>
    <w:p w:rsidRPr="00175174" w:rsidR="006B6E05" w:rsidP="00175174" w:rsidRDefault="006B6E05" w14:paraId="5D8ADD0B" w14:textId="29802F44">
      <w:pPr>
        <w:suppressAutoHyphens/>
        <w:jc w:val="left"/>
      </w:pPr>
    </w:p>
    <w:p w:rsidRPr="00175174" w:rsidR="00807C03" w:rsidP="00175174" w:rsidRDefault="00807C03" w14:paraId="6DBF2990" w14:textId="77777777">
      <w:pPr>
        <w:suppressAutoHyphens/>
        <w:jc w:val="left"/>
      </w:pPr>
    </w:p>
    <w:p w:rsidRPr="00175174" w:rsidR="00A628C0" w:rsidP="00175174" w:rsidRDefault="00A628C0" w14:paraId="4D6164A1" w14:textId="77777777">
      <w:pPr>
        <w:suppressAutoHyphens/>
        <w:jc w:val="left"/>
      </w:pPr>
    </w:p>
    <w:p w:rsidRPr="00175174" w:rsidR="00A628C0" w:rsidP="00175174" w:rsidRDefault="00A628C0" w14:paraId="0AB46045" w14:textId="77777777">
      <w:pPr>
        <w:suppressAutoHyphens/>
        <w:jc w:val="left"/>
      </w:pPr>
    </w:p>
    <w:p w:rsidRPr="00175174" w:rsidR="00A628C0" w:rsidP="00175174" w:rsidRDefault="00A628C0" w14:paraId="728E2220" w14:textId="77777777">
      <w:pPr>
        <w:suppressAutoHyphens/>
        <w:jc w:val="left"/>
      </w:pPr>
    </w:p>
    <w:p w:rsidRPr="00175174" w:rsidR="00A628C0" w:rsidP="00175174" w:rsidRDefault="00A628C0" w14:paraId="555C8415" w14:textId="77777777">
      <w:pPr>
        <w:suppressAutoHyphens/>
        <w:jc w:val="left"/>
      </w:pPr>
    </w:p>
    <w:p w:rsidRPr="00175174" w:rsidR="00A628C0" w:rsidP="00175174" w:rsidRDefault="00A628C0" w14:paraId="6C39EAC6" w14:textId="0A77240F">
      <w:pPr>
        <w:suppressAutoHyphens/>
        <w:jc w:val="left"/>
      </w:pPr>
      <w:r w:rsidRPr="00175174">
        <w:br w:type="page"/>
      </w:r>
    </w:p>
    <w:p w:rsidRPr="00175174" w:rsidR="007B3754" w:rsidP="00175174" w:rsidRDefault="0070155C" w14:paraId="2DA6F326" w14:textId="78603285">
      <w:pPr>
        <w:pStyle w:val="Kop1"/>
        <w:suppressAutoHyphens/>
        <w:jc w:val="left"/>
        <w:rPr>
          <w:sz w:val="18"/>
          <w:szCs w:val="18"/>
        </w:rPr>
      </w:pPr>
      <w:bookmarkStart w:name="_Toc227050510" w:id="17"/>
      <w:bookmarkEnd w:id="6"/>
      <w:bookmarkEnd w:id="12"/>
      <w:bookmarkEnd w:id="13"/>
      <w:bookmarkEnd w:id="14"/>
      <w:bookmarkEnd w:id="15"/>
      <w:r w:rsidRPr="00175174">
        <w:rPr>
          <w:sz w:val="18"/>
          <w:szCs w:val="18"/>
        </w:rPr>
        <w:t>P</w:t>
      </w:r>
      <w:r w:rsidRPr="00175174" w:rsidR="00596748">
        <w:rPr>
          <w:sz w:val="18"/>
          <w:szCs w:val="18"/>
        </w:rPr>
        <w:t>rogrammavoortgang</w:t>
      </w:r>
      <w:bookmarkEnd w:id="17"/>
    </w:p>
    <w:p w:rsidRPr="00175174" w:rsidR="007B3754" w:rsidP="00175174" w:rsidRDefault="007B3754" w14:paraId="78CABC77" w14:textId="77777777">
      <w:pPr>
        <w:pStyle w:val="Kop2"/>
        <w:suppressAutoHyphens/>
        <w:jc w:val="left"/>
      </w:pPr>
      <w:bookmarkStart w:name="_Toc209023451" w:id="18"/>
      <w:bookmarkStart w:name="_Toc227050511" w:id="19"/>
      <w:r w:rsidRPr="00175174">
        <w:t>Inleiding</w:t>
      </w:r>
      <w:bookmarkEnd w:id="18"/>
      <w:bookmarkEnd w:id="19"/>
    </w:p>
    <w:p w:rsidRPr="00175174" w:rsidR="007B3754" w:rsidP="00175174" w:rsidRDefault="007B3754" w14:paraId="14AD0766" w14:textId="7BB64ADF">
      <w:pPr>
        <w:suppressAutoHyphens/>
        <w:jc w:val="left"/>
      </w:pPr>
      <w:r w:rsidRPr="00175174">
        <w:t xml:space="preserve">Deze paragraaf beschrijft de voortgang van het programma gedurende het tweede half jaar van 2025. Het bevat reguliere voortgangsinformatie die aansluit op de tweede basisrapportage </w:t>
      </w:r>
      <w:r w:rsidRPr="00175174" w:rsidR="00A61561">
        <w:t xml:space="preserve">met </w:t>
      </w:r>
      <w:r w:rsidRPr="00175174">
        <w:t>einddatum 30 juni 2025.</w:t>
      </w:r>
    </w:p>
    <w:p w:rsidRPr="00175174" w:rsidR="007B3754" w:rsidP="00175174" w:rsidRDefault="007B3754" w14:paraId="4D018DF9" w14:textId="6C3C069F">
      <w:pPr>
        <w:pStyle w:val="Kop2"/>
        <w:suppressAutoHyphens/>
        <w:jc w:val="left"/>
      </w:pPr>
      <w:bookmarkStart w:name="_Toc227050512" w:id="20"/>
      <w:r w:rsidRPr="00175174">
        <w:t xml:space="preserve">Bestuurlijke </w:t>
      </w:r>
      <w:r w:rsidRPr="00175174" w:rsidR="00A846E8">
        <w:t>ontwikkelingen</w:t>
      </w:r>
      <w:bookmarkEnd w:id="20"/>
    </w:p>
    <w:p w:rsidRPr="00175174" w:rsidR="007B3754" w:rsidP="00175174" w:rsidRDefault="007B3754" w14:paraId="4FB072F5" w14:textId="77777777">
      <w:pPr>
        <w:suppressAutoHyphens/>
        <w:jc w:val="left"/>
      </w:pPr>
      <w:r w:rsidRPr="00175174">
        <w:t>Deze paragraaf beschrijft de bestuurlijke besluitvorming en hieraan gerelateerde processen met betrekking tot het programma.</w:t>
      </w:r>
    </w:p>
    <w:p w:rsidRPr="00175174" w:rsidR="007B3754" w:rsidP="00175174" w:rsidRDefault="007B3754" w14:paraId="3F36F141" w14:textId="77777777">
      <w:pPr>
        <w:pStyle w:val="Kop3"/>
        <w:suppressAutoHyphens/>
      </w:pPr>
      <w:r w:rsidRPr="00175174">
        <w:t>Vergunningen</w:t>
      </w:r>
    </w:p>
    <w:p w:rsidRPr="00175174" w:rsidR="007B3754" w:rsidP="00175174" w:rsidRDefault="007B3754" w14:paraId="39D212B2" w14:textId="77777777">
      <w:pPr>
        <w:pStyle w:val="Kopjezondernummering"/>
        <w:suppressAutoHyphens/>
        <w:jc w:val="left"/>
      </w:pPr>
      <w:r w:rsidRPr="00175174">
        <w:t>Omgevingsvergunning</w:t>
      </w:r>
    </w:p>
    <w:p w:rsidRPr="00175174" w:rsidR="006D04A4" w:rsidP="00175174" w:rsidRDefault="006D04A4" w14:paraId="47E6A9C1" w14:textId="2FE3C65D">
      <w:pPr>
        <w:suppressAutoHyphens/>
        <w:jc w:val="left"/>
      </w:pPr>
      <w:r w:rsidRPr="00175174">
        <w:t xml:space="preserve">De </w:t>
      </w:r>
      <w:r w:rsidRPr="00175174" w:rsidR="00CE17BE">
        <w:t>a</w:t>
      </w:r>
      <w:r w:rsidRPr="00175174">
        <w:t>fdeling bestuursrechtspraak van de Raad van State heeft in een tussenuitspraak</w:t>
      </w:r>
      <w:r w:rsidRPr="00175174" w:rsidR="006A5CBD">
        <w:rPr>
          <w:rStyle w:val="Voetnootmarkering"/>
        </w:rPr>
        <w:footnoteReference w:id="3"/>
      </w:r>
      <w:r w:rsidRPr="00175174">
        <w:t xml:space="preserve"> van 26 november 2025 geoordeeld dat de omgevingsvergunning voor de bouw van de </w:t>
      </w:r>
      <w:r w:rsidRPr="00175174" w:rsidR="00AF10D4">
        <w:t>PALLAS</w:t>
      </w:r>
      <w:r w:rsidRPr="00175174">
        <w:t xml:space="preserve">-reactor op het onderdeel stikstofdepositie nader moet worden gemotiveerd. De overige beroepsgronden, waaronder die over brandveiligheid, zijn niet gehonoreerd. Het college van burgemeester en wethouders krijgt hier vier maanden de tijd voor. Deze uitspraak heeft geen opschortende werking. </w:t>
      </w:r>
    </w:p>
    <w:p w:rsidRPr="00175174" w:rsidR="007B3754" w:rsidP="00175174" w:rsidRDefault="007B3754" w14:paraId="4018C7DD" w14:textId="77777777">
      <w:pPr>
        <w:pStyle w:val="Kopjezondernummering"/>
        <w:suppressAutoHyphens/>
        <w:jc w:val="left"/>
      </w:pPr>
      <w:r w:rsidRPr="00175174">
        <w:t>Kernenergiewetvergunning</w:t>
      </w:r>
    </w:p>
    <w:p w:rsidRPr="00175174" w:rsidR="007B3754" w:rsidP="00175174" w:rsidRDefault="007B3754" w14:paraId="11B851D0" w14:textId="3123EC86">
      <w:pPr>
        <w:suppressAutoHyphens/>
        <w:jc w:val="left"/>
      </w:pPr>
      <w:r w:rsidRPr="00175174">
        <w:t xml:space="preserve">Ten opzichte van de tweede basisrapportage zijn er geen nieuwe ontwikkelingen te melden over het beroep tegen de Kernenergiewetvergunning van NRG PALLAS B.V. voor het oprichten van de PALLAS-reactor. </w:t>
      </w:r>
    </w:p>
    <w:p w:rsidRPr="00175174" w:rsidR="007B3754" w:rsidP="00175174" w:rsidRDefault="007B3754" w14:paraId="67275AF2" w14:textId="77777777">
      <w:pPr>
        <w:pStyle w:val="Kop2"/>
        <w:suppressAutoHyphens/>
        <w:jc w:val="left"/>
      </w:pPr>
      <w:bookmarkStart w:name="_Toc227050513" w:id="21"/>
      <w:r w:rsidRPr="00175174">
        <w:t>Werk in voorbereiding</w:t>
      </w:r>
      <w:bookmarkEnd w:id="21"/>
    </w:p>
    <w:p w:rsidRPr="00175174" w:rsidR="007B3754" w:rsidP="00175174" w:rsidRDefault="007B3754" w14:paraId="6BD8F391" w14:textId="77777777">
      <w:pPr>
        <w:suppressAutoHyphens/>
        <w:jc w:val="left"/>
      </w:pPr>
      <w:r w:rsidRPr="00175174">
        <w:t xml:space="preserve">Deze paragraaf beschrijft de werkzaamheden en activiteiten die nodig zijn ter voorbereiding op de uitvoeringswerkzaamheden van het programma. </w:t>
      </w:r>
    </w:p>
    <w:p w:rsidRPr="00175174" w:rsidR="007B3754" w:rsidP="00175174" w:rsidRDefault="007B3754" w14:paraId="7D04F2F7" w14:textId="77777777">
      <w:pPr>
        <w:pStyle w:val="Kop3"/>
        <w:suppressAutoHyphens/>
      </w:pPr>
      <w:r w:rsidRPr="00175174">
        <w:t>Voorbereidingen PALLAS-reactor</w:t>
      </w:r>
    </w:p>
    <w:p w:rsidRPr="00175174" w:rsidR="007B3754" w:rsidP="00175174" w:rsidRDefault="007B3754" w14:paraId="41E9E025" w14:textId="77777777">
      <w:pPr>
        <w:pStyle w:val="Kopjezondernummering"/>
        <w:suppressAutoHyphens/>
        <w:jc w:val="left"/>
      </w:pPr>
      <w:proofErr w:type="spellStart"/>
      <w:r w:rsidRPr="00175174">
        <w:t>Detailed</w:t>
      </w:r>
      <w:proofErr w:type="spellEnd"/>
      <w:r w:rsidRPr="00175174">
        <w:t xml:space="preserve"> Design</w:t>
      </w:r>
    </w:p>
    <w:p w:rsidRPr="00175174" w:rsidR="00D1314B" w:rsidP="00175174" w:rsidRDefault="00F76A2A" w14:paraId="510F6C91" w14:textId="32E93966">
      <w:pPr>
        <w:suppressAutoHyphens/>
        <w:jc w:val="left"/>
      </w:pPr>
      <w:r w:rsidRPr="00175174">
        <w:t xml:space="preserve">Net als in de </w:t>
      </w:r>
      <w:r w:rsidRPr="00175174" w:rsidR="007B3754">
        <w:t xml:space="preserve">tweede basisrapportage </w:t>
      </w:r>
      <w:r w:rsidRPr="00175174">
        <w:t xml:space="preserve">is beschreven, staat </w:t>
      </w:r>
      <w:r w:rsidRPr="00175174" w:rsidR="007B3754">
        <w:t xml:space="preserve">de voortgang van het </w:t>
      </w:r>
      <w:proofErr w:type="spellStart"/>
      <w:r w:rsidRPr="00175174" w:rsidR="007B3754">
        <w:t>detailed</w:t>
      </w:r>
      <w:proofErr w:type="spellEnd"/>
      <w:r w:rsidRPr="00175174" w:rsidR="007B3754">
        <w:t xml:space="preserve"> design van de PALLA</w:t>
      </w:r>
      <w:r w:rsidRPr="00175174" w:rsidR="006F2944">
        <w:t>S-</w:t>
      </w:r>
      <w:r w:rsidRPr="00175174" w:rsidR="007B3754">
        <w:t>reactor</w:t>
      </w:r>
      <w:r w:rsidRPr="00175174" w:rsidR="006F2944">
        <w:t xml:space="preserve"> </w:t>
      </w:r>
      <w:r w:rsidRPr="00175174" w:rsidR="007B3754">
        <w:t>onder druk. Hoewel voortgang is geboekt, blijft de afronding van het ontwerp achter bij de planning.</w:t>
      </w:r>
      <w:r w:rsidRPr="00175174" w:rsidR="00D1314B">
        <w:t xml:space="preserve"> NRG PALLAS B.V. geeft aan dat de focus zal blijven liggen op het verder verbeteren van de beheersing en op het tijdig opleveren van de resterende ontwerppakketten. De omvang en beheersing van de hieronder genoemde zaken en eventuele impact op scope, planning, kosten en risico’s maken onderdeel uit van de lopende programmabeheersing door NRG PALLAS B.V</w:t>
      </w:r>
      <w:r w:rsidRPr="00175174" w:rsidR="006A5CBD">
        <w:t xml:space="preserve">. </w:t>
      </w:r>
      <w:r w:rsidRPr="00175174" w:rsidR="001B5064">
        <w:t>Deze</w:t>
      </w:r>
      <w:r w:rsidRPr="00175174" w:rsidR="008F741D">
        <w:t xml:space="preserve"> zaken </w:t>
      </w:r>
      <w:r w:rsidRPr="00175174" w:rsidR="001B5064">
        <w:t>hebben continu</w:t>
      </w:r>
      <w:r w:rsidRPr="00175174" w:rsidR="008F741D">
        <w:t xml:space="preserve"> de </w:t>
      </w:r>
      <w:r w:rsidRPr="00175174" w:rsidR="001B5064">
        <w:t>aandacht</w:t>
      </w:r>
      <w:r w:rsidRPr="00175174" w:rsidR="008F741D">
        <w:t xml:space="preserve"> van </w:t>
      </w:r>
      <w:r w:rsidRPr="00175174" w:rsidR="001B5064">
        <w:t>VWS en komen aan bod tijdens</w:t>
      </w:r>
      <w:r w:rsidRPr="00175174" w:rsidR="008F741D">
        <w:t xml:space="preserve"> de reguliere overleggen</w:t>
      </w:r>
      <w:r w:rsidRPr="00175174" w:rsidR="008F741D">
        <w:rPr>
          <w:rStyle w:val="Voetnootmarkering"/>
        </w:rPr>
        <w:footnoteReference w:id="4"/>
      </w:r>
      <w:r w:rsidRPr="00175174" w:rsidR="008F741D">
        <w:t xml:space="preserve"> tussen VWS en NRG PALLAS B.V.</w:t>
      </w:r>
      <w:r w:rsidRPr="00175174" w:rsidR="00D1314B">
        <w:t xml:space="preserve"> De Tweede Kamer zal in de eerstvolgende voortgangsrapportage worden geïnformeerd</w:t>
      </w:r>
      <w:r w:rsidRPr="00175174" w:rsidR="001B1752">
        <w:t xml:space="preserve"> over bovengenoemde zaken</w:t>
      </w:r>
      <w:r w:rsidRPr="00175174" w:rsidR="00D1314B">
        <w:t>.</w:t>
      </w:r>
    </w:p>
    <w:p w:rsidRPr="00175174" w:rsidR="00A549A2" w:rsidP="00175174" w:rsidRDefault="00A549A2" w14:paraId="4FC8A9DC" w14:textId="6EF0BF26">
      <w:pPr>
        <w:suppressAutoHyphens/>
        <w:jc w:val="left"/>
      </w:pPr>
      <w:r w:rsidRPr="00175174">
        <w:t xml:space="preserve">Ten aanzien van het </w:t>
      </w:r>
      <w:proofErr w:type="spellStart"/>
      <w:r w:rsidRPr="00175174">
        <w:t>detailed</w:t>
      </w:r>
      <w:proofErr w:type="spellEnd"/>
      <w:r w:rsidRPr="00175174">
        <w:t xml:space="preserve"> design geeft NRG PALLAS B.V. aan dat, gezien het huidige tempo en de aanvullende ontwikkelingen die extra complexiteit met zich meebrengen, afronding conform planning steeds minder haalbaar wordt. Deze vertraging kan gevolgen hebben voor de totale planning van het PALLAS-reactorproject.</w:t>
      </w:r>
    </w:p>
    <w:p w:rsidRPr="00175174" w:rsidR="007B3754" w:rsidP="00175174" w:rsidRDefault="007B3754" w14:paraId="38E19484" w14:textId="1BC486B1">
      <w:pPr>
        <w:suppressAutoHyphens/>
        <w:jc w:val="left"/>
      </w:pPr>
      <w:r w:rsidRPr="00175174">
        <w:t>NRG PALLAS B.V.</w:t>
      </w:r>
      <w:r w:rsidRPr="00175174" w:rsidR="00A549A2">
        <w:t xml:space="preserve"> geeft</w:t>
      </w:r>
      <w:r w:rsidRPr="00175174">
        <w:t xml:space="preserve"> aan</w:t>
      </w:r>
      <w:r w:rsidRPr="00175174" w:rsidR="006F2944">
        <w:t xml:space="preserve"> </w:t>
      </w:r>
      <w:r w:rsidRPr="00175174">
        <w:t xml:space="preserve">te werken aan de implementatie van zogenoemde </w:t>
      </w:r>
      <w:r w:rsidRPr="00175174" w:rsidR="00C42D96">
        <w:rPr>
          <w:i/>
          <w:iCs/>
        </w:rPr>
        <w:t>b</w:t>
      </w:r>
      <w:r w:rsidRPr="00175174">
        <w:rPr>
          <w:i/>
          <w:iCs/>
        </w:rPr>
        <w:t xml:space="preserve">est </w:t>
      </w:r>
      <w:proofErr w:type="spellStart"/>
      <w:r w:rsidRPr="00175174">
        <w:rPr>
          <w:i/>
          <w:iCs/>
        </w:rPr>
        <w:t>for</w:t>
      </w:r>
      <w:proofErr w:type="spellEnd"/>
      <w:r w:rsidRPr="00175174">
        <w:rPr>
          <w:i/>
          <w:iCs/>
        </w:rPr>
        <w:t xml:space="preserve"> </w:t>
      </w:r>
      <w:r w:rsidRPr="00175174" w:rsidR="00C42D96">
        <w:rPr>
          <w:i/>
          <w:iCs/>
        </w:rPr>
        <w:t>p</w:t>
      </w:r>
      <w:r w:rsidRPr="00175174">
        <w:rPr>
          <w:i/>
          <w:iCs/>
        </w:rPr>
        <w:t>roject</w:t>
      </w:r>
      <w:r w:rsidRPr="00175174">
        <w:t>-</w:t>
      </w:r>
      <w:r w:rsidRPr="00175174" w:rsidR="00AF10D4">
        <w:t>initiatieven</w:t>
      </w:r>
      <w:r w:rsidRPr="00175174">
        <w:t xml:space="preserve">. Deze </w:t>
      </w:r>
      <w:r w:rsidRPr="00175174" w:rsidR="00AF10D4">
        <w:t>initiatieven</w:t>
      </w:r>
      <w:r w:rsidRPr="00175174">
        <w:t xml:space="preserve"> zijn gericht op het optimaliseren van het ontwerp vanuit het perspectief van maakbaarheid, bedrijfsvoering en levensduurkosten, met als doel het </w:t>
      </w:r>
      <w:r w:rsidRPr="00175174" w:rsidR="00984486">
        <w:t>reactor</w:t>
      </w:r>
      <w:r w:rsidRPr="00175174">
        <w:t xml:space="preserve">project als geheel robuuster en beter beheersbaar te maken. </w:t>
      </w:r>
      <w:r w:rsidRPr="00175174" w:rsidR="00CB70FF">
        <w:t xml:space="preserve">NRG PALLAS B.V. geeft aan dat </w:t>
      </w:r>
      <w:r w:rsidRPr="00175174" w:rsidR="00B85C2B">
        <w:t>de verwerking van deze optimalisaties aanvullende ontwerpactiviteiten vraagt</w:t>
      </w:r>
      <w:r w:rsidRPr="00175174" w:rsidR="00AF10D4">
        <w:t>. Hoewel de exacte impact op de planning momenteel nog nader wordt onderzocht, is de</w:t>
      </w:r>
      <w:r w:rsidRPr="00175174" w:rsidR="00CB70FF">
        <w:t xml:space="preserve"> verwachting</w:t>
      </w:r>
      <w:r w:rsidRPr="00175174" w:rsidR="00967C66">
        <w:t xml:space="preserve"> van NRG PALLAS B.V.</w:t>
      </w:r>
      <w:r w:rsidRPr="00175174" w:rsidR="00AF10D4">
        <w:t xml:space="preserve"> dat dit zal</w:t>
      </w:r>
      <w:r w:rsidRPr="00175174" w:rsidR="00CB70FF">
        <w:t xml:space="preserve"> leiden tot een verdere vertraging</w:t>
      </w:r>
      <w:r w:rsidRPr="00175174" w:rsidR="00AF10D4">
        <w:t xml:space="preserve"> van het afronden van het ontwerp</w:t>
      </w:r>
      <w:r w:rsidRPr="00175174" w:rsidR="00CB70FF">
        <w:t xml:space="preserve"> van circa </w:t>
      </w:r>
      <w:r w:rsidRPr="00175174" w:rsidR="00D9000A">
        <w:t xml:space="preserve">zes </w:t>
      </w:r>
      <w:r w:rsidRPr="00175174" w:rsidR="00CB70FF">
        <w:t xml:space="preserve">maanden </w:t>
      </w:r>
      <w:r w:rsidRPr="00175174" w:rsidR="00C50D37">
        <w:t>ten opzichte van de</w:t>
      </w:r>
      <w:r w:rsidRPr="00175174" w:rsidR="00CB70FF">
        <w:t xml:space="preserve"> </w:t>
      </w:r>
      <w:r w:rsidRPr="00175174" w:rsidR="008420D1">
        <w:t xml:space="preserve">eerder geplande </w:t>
      </w:r>
      <w:r w:rsidRPr="00175174" w:rsidR="00CB70FF">
        <w:t xml:space="preserve">afronding van het </w:t>
      </w:r>
      <w:proofErr w:type="spellStart"/>
      <w:r w:rsidRPr="00175174" w:rsidR="00CB70FF">
        <w:t>detailed</w:t>
      </w:r>
      <w:proofErr w:type="spellEnd"/>
      <w:r w:rsidRPr="00175174" w:rsidR="00CB70FF">
        <w:t xml:space="preserve"> design</w:t>
      </w:r>
      <w:r w:rsidRPr="00175174" w:rsidR="00C50D37">
        <w:t xml:space="preserve"> in juni 2026</w:t>
      </w:r>
      <w:r w:rsidRPr="00175174" w:rsidR="00CB70FF">
        <w:t>.</w:t>
      </w:r>
    </w:p>
    <w:p w:rsidRPr="00175174" w:rsidR="007B3754" w:rsidP="00175174" w:rsidRDefault="007B3754" w14:paraId="410B5DDA" w14:textId="38016733">
      <w:pPr>
        <w:suppressAutoHyphens/>
        <w:jc w:val="left"/>
      </w:pPr>
      <w:r w:rsidRPr="00175174">
        <w:t xml:space="preserve">Voorts </w:t>
      </w:r>
      <w:r w:rsidRPr="00175174" w:rsidR="00516A47">
        <w:t xml:space="preserve">heeft </w:t>
      </w:r>
      <w:r w:rsidRPr="00175174">
        <w:t xml:space="preserve">NRG PALLAS B.V. </w:t>
      </w:r>
      <w:r w:rsidRPr="00175174" w:rsidR="004A6A19">
        <w:t>in december 2025</w:t>
      </w:r>
      <w:r w:rsidRPr="00175174" w:rsidR="00516A47">
        <w:t xml:space="preserve"> aangegeven</w:t>
      </w:r>
      <w:r w:rsidRPr="00175174">
        <w:t xml:space="preserve"> te zijn gestart met een strategische verkenning naar een mogelijke vermogensverhoging van de PALLAS-reactor van 25 naar 30 megawatt</w:t>
      </w:r>
      <w:r w:rsidRPr="00175174" w:rsidR="00B8727F">
        <w:t>. Dit</w:t>
      </w:r>
      <w:r w:rsidRPr="00175174">
        <w:t xml:space="preserve"> met het oog op het versterken van de toekomstige concurrentiepositie op de internationale markt voor</w:t>
      </w:r>
      <w:r w:rsidRPr="00175174" w:rsidR="00E63640">
        <w:t xml:space="preserve"> bepaalde</w:t>
      </w:r>
      <w:r w:rsidRPr="00175174">
        <w:t xml:space="preserve"> medische isotopen.</w:t>
      </w:r>
      <w:r w:rsidRPr="00175174" w:rsidR="00352102">
        <w:t xml:space="preserve"> Het verhogen van het</w:t>
      </w:r>
      <w:r w:rsidRPr="00175174" w:rsidR="00352102">
        <w:rPr>
          <w:color w:val="FF0000"/>
        </w:rPr>
        <w:t xml:space="preserve"> </w:t>
      </w:r>
      <w:r w:rsidRPr="00175174" w:rsidR="00352102">
        <w:t>vermogen van de reactor is een middel om de kwaliteit van medische isotopen te verbeteren.</w:t>
      </w:r>
      <w:r w:rsidRPr="00175174" w:rsidR="00DA556D">
        <w:t xml:space="preserve"> NRG PALLAS B.V. geeft daarbij aan dat in het ontwerpproces en het huidige ontwerp reeds rekening is gehouden met een mogelijke toekomstige vermogensverhoging.</w:t>
      </w:r>
      <w:r w:rsidRPr="00175174" w:rsidR="00020226">
        <w:t xml:space="preserve"> </w:t>
      </w:r>
      <w:r w:rsidRPr="00175174">
        <w:t>De</w:t>
      </w:r>
      <w:r w:rsidRPr="00175174" w:rsidR="00DA556D">
        <w:t xml:space="preserve"> strategische</w:t>
      </w:r>
      <w:r w:rsidRPr="00175174">
        <w:t xml:space="preserve"> verkenning</w:t>
      </w:r>
      <w:r w:rsidRPr="00175174" w:rsidR="00DA556D">
        <w:t xml:space="preserve"> van NRG PALLAS B.V.</w:t>
      </w:r>
      <w:r w:rsidRPr="00175174">
        <w:t xml:space="preserve"> bevindt zich in een analysefase. Een vermogensverhoging kan</w:t>
      </w:r>
      <w:r w:rsidRPr="00175174" w:rsidR="00D9000A">
        <w:t xml:space="preserve"> </w:t>
      </w:r>
      <w:r w:rsidRPr="00175174">
        <w:t xml:space="preserve">impact hebben op de planning en voortgang van het </w:t>
      </w:r>
      <w:proofErr w:type="spellStart"/>
      <w:r w:rsidRPr="00175174">
        <w:t>detailed</w:t>
      </w:r>
      <w:proofErr w:type="spellEnd"/>
      <w:r w:rsidRPr="00175174">
        <w:t xml:space="preserve"> design en daarmee op de bouw en de commerciële ingebruikname van de </w:t>
      </w:r>
      <w:r w:rsidRPr="00175174" w:rsidR="00D9000A">
        <w:t>PALLAS-</w:t>
      </w:r>
      <w:r w:rsidRPr="00175174">
        <w:t>reactor.</w:t>
      </w:r>
    </w:p>
    <w:p w:rsidRPr="00175174" w:rsidR="007B3754" w:rsidP="00175174" w:rsidRDefault="00EB7285" w14:paraId="6C1C3C20" w14:textId="343B9105">
      <w:pPr>
        <w:suppressAutoHyphens/>
        <w:jc w:val="left"/>
      </w:pPr>
      <w:r w:rsidRPr="00175174">
        <w:t>Als gevolg van de hierboven beschreven ontwikkelingen</w:t>
      </w:r>
      <w:r w:rsidRPr="00175174" w:rsidR="00B15761">
        <w:t xml:space="preserve"> op </w:t>
      </w:r>
      <w:r w:rsidRPr="00175174" w:rsidR="003E42C5">
        <w:t xml:space="preserve">het gebied van </w:t>
      </w:r>
      <w:r w:rsidRPr="00175174" w:rsidR="00C42D96">
        <w:rPr>
          <w:i/>
          <w:iCs/>
        </w:rPr>
        <w:t>b</w:t>
      </w:r>
      <w:r w:rsidRPr="00175174" w:rsidR="00B15761">
        <w:rPr>
          <w:i/>
          <w:iCs/>
        </w:rPr>
        <w:t xml:space="preserve">est </w:t>
      </w:r>
      <w:proofErr w:type="spellStart"/>
      <w:r w:rsidRPr="00175174" w:rsidR="00B15761">
        <w:rPr>
          <w:i/>
          <w:iCs/>
        </w:rPr>
        <w:t>for</w:t>
      </w:r>
      <w:proofErr w:type="spellEnd"/>
      <w:r w:rsidRPr="00175174" w:rsidR="00B15761">
        <w:rPr>
          <w:i/>
          <w:iCs/>
        </w:rPr>
        <w:t xml:space="preserve"> project</w:t>
      </w:r>
      <w:r w:rsidRPr="00175174" w:rsidR="00C42D96">
        <w:rPr>
          <w:i/>
          <w:iCs/>
        </w:rPr>
        <w:t>-</w:t>
      </w:r>
      <w:r w:rsidRPr="00175174" w:rsidR="00C42D96">
        <w:t>initiatieven</w:t>
      </w:r>
      <w:r w:rsidRPr="00175174" w:rsidR="00B15761">
        <w:t xml:space="preserve"> en vermogensverhoging</w:t>
      </w:r>
      <w:r w:rsidRPr="00175174">
        <w:t xml:space="preserve"> </w:t>
      </w:r>
      <w:r w:rsidRPr="00175174" w:rsidR="007B3754">
        <w:t xml:space="preserve">geeft NRG PALLAS B.V. aan dat ontwerppartij ICHOS </w:t>
      </w:r>
      <w:r w:rsidRPr="00175174" w:rsidR="004A6A19">
        <w:t>verwacht</w:t>
      </w:r>
      <w:r w:rsidRPr="00175174" w:rsidR="007B3754">
        <w:t xml:space="preserve"> dat de ontwerpwerkzaamheden</w:t>
      </w:r>
      <w:r w:rsidRPr="00175174" w:rsidR="004A6A19">
        <w:t xml:space="preserve"> meer inzet zullen vergen. Hierdoor</w:t>
      </w:r>
      <w:r w:rsidRPr="00175174" w:rsidR="00613E9C">
        <w:t xml:space="preserve"> </w:t>
      </w:r>
      <w:r w:rsidRPr="00175174" w:rsidR="004A6A19">
        <w:t xml:space="preserve">zullen de ontwerpkosten voor het </w:t>
      </w:r>
      <w:proofErr w:type="spellStart"/>
      <w:r w:rsidRPr="00175174" w:rsidR="004A6A19">
        <w:t>detailed</w:t>
      </w:r>
      <w:proofErr w:type="spellEnd"/>
      <w:r w:rsidRPr="00175174" w:rsidR="004A6A19">
        <w:t xml:space="preserve"> design </w:t>
      </w:r>
      <w:r w:rsidRPr="00175174" w:rsidR="007B3754">
        <w:t xml:space="preserve">naar verwachting </w:t>
      </w:r>
      <w:r w:rsidRPr="00175174" w:rsidR="004A6A19">
        <w:t xml:space="preserve">hoger uitvallen dan </w:t>
      </w:r>
      <w:r w:rsidRPr="00175174" w:rsidR="007B3754">
        <w:t xml:space="preserve">geraamd </w:t>
      </w:r>
      <w:r w:rsidRPr="00175174" w:rsidR="004A6A19">
        <w:t xml:space="preserve">in </w:t>
      </w:r>
      <w:r w:rsidRPr="00175174" w:rsidR="00D9000A">
        <w:t>b</w:t>
      </w:r>
      <w:r w:rsidRPr="00175174" w:rsidR="004A6A19">
        <w:t>aseline 9</w:t>
      </w:r>
      <w:r w:rsidRPr="00175174" w:rsidR="007B3754">
        <w:t xml:space="preserve">. </w:t>
      </w:r>
      <w:r w:rsidRPr="00175174" w:rsidR="00EE380A">
        <w:t>Daarnaast staat d</w:t>
      </w:r>
      <w:r w:rsidRPr="00175174" w:rsidR="00A549A2">
        <w:t>oor de</w:t>
      </w:r>
      <w:r w:rsidRPr="00175174" w:rsidR="00EE380A">
        <w:t xml:space="preserve"> reeds opgetreden</w:t>
      </w:r>
      <w:r w:rsidRPr="00175174" w:rsidR="00A549A2">
        <w:t xml:space="preserve"> vertraging bij het </w:t>
      </w:r>
      <w:proofErr w:type="spellStart"/>
      <w:r w:rsidRPr="00175174" w:rsidR="00A549A2">
        <w:t>detailed</w:t>
      </w:r>
      <w:proofErr w:type="spellEnd"/>
      <w:r w:rsidRPr="00175174" w:rsidR="00A549A2">
        <w:t xml:space="preserve"> design staat ook de planning van de inkoop van onderdelen met een lange levertijd (Long Lead Items) onder druk.</w:t>
      </w:r>
    </w:p>
    <w:p w:rsidRPr="00175174" w:rsidR="007B3754" w:rsidP="00175174" w:rsidRDefault="007B3754" w14:paraId="123B7FDA" w14:textId="77777777">
      <w:pPr>
        <w:suppressAutoHyphens/>
        <w:jc w:val="left"/>
      </w:pPr>
      <w:r w:rsidRPr="00175174">
        <w:t xml:space="preserve">Tegenover deze aandachtspunten staat dat in de verslagperiode de laatste design reviews van alle nucleaire systemen zijn afgerond. Hiermee is circa een derde van alle ontwerppakketten formeel </w:t>
      </w:r>
      <w:proofErr w:type="spellStart"/>
      <w:r w:rsidRPr="00175174">
        <w:t>gereviewd</w:t>
      </w:r>
      <w:proofErr w:type="spellEnd"/>
      <w:r w:rsidRPr="00175174">
        <w:t xml:space="preserve"> en vastgesteld, hetgeen een belangrijke stap vormt richting verdere vrijgave van het ontwerp.</w:t>
      </w:r>
    </w:p>
    <w:p w:rsidRPr="00175174" w:rsidR="007B3754" w:rsidP="00175174" w:rsidRDefault="007B3754" w14:paraId="38E0C930" w14:textId="77777777">
      <w:pPr>
        <w:pStyle w:val="Kop3"/>
        <w:suppressAutoHyphens/>
      </w:pPr>
      <w:r w:rsidRPr="00175174">
        <w:t xml:space="preserve">Voorbereidingen Processing </w:t>
      </w:r>
      <w:proofErr w:type="spellStart"/>
      <w:r w:rsidRPr="00175174">
        <w:t>Facilities</w:t>
      </w:r>
      <w:proofErr w:type="spellEnd"/>
      <w:r w:rsidRPr="00175174">
        <w:t xml:space="preserve"> (NHC - fase 1)</w:t>
      </w:r>
    </w:p>
    <w:p w:rsidRPr="00175174" w:rsidR="00B85C2B" w:rsidP="00175174" w:rsidRDefault="00B85C2B" w14:paraId="1783E111" w14:textId="1BE906FA">
      <w:pPr>
        <w:suppressAutoHyphens/>
        <w:jc w:val="left"/>
      </w:pPr>
      <w:r w:rsidRPr="00175174">
        <w:t xml:space="preserve">In de tweede basisrapportage is aan de Kamer gemeld dat NRG PALLAS B.V. een alternatief voor het </w:t>
      </w:r>
      <w:r w:rsidRPr="00175174" w:rsidR="00A61561">
        <w:t>Nucleair Health Centre (</w:t>
      </w:r>
      <w:r w:rsidRPr="00175174">
        <w:t>NHC</w:t>
      </w:r>
      <w:r w:rsidRPr="00175174" w:rsidR="00A61561">
        <w:t>)</w:t>
      </w:r>
      <w:r w:rsidRPr="00175174">
        <w:t xml:space="preserve"> heeft uitgewerkt en opgenomen in baseline 9. In het eerste kwartaal van 2026 is een concept voorgelegd aan </w:t>
      </w:r>
      <w:r w:rsidRPr="00175174" w:rsidR="00800F1B">
        <w:t>VWS</w:t>
      </w:r>
      <w:r w:rsidRPr="00175174">
        <w:t xml:space="preserve">. Naar verwachting zal NRG PALLAS B.V. in </w:t>
      </w:r>
      <w:r w:rsidRPr="00175174" w:rsidR="00691EDC">
        <w:t>de tweede helft</w:t>
      </w:r>
      <w:r w:rsidRPr="00175174">
        <w:t xml:space="preserve"> van 2026 het </w:t>
      </w:r>
      <w:r w:rsidRPr="00175174" w:rsidR="0081402B">
        <w:t>definitieve voorstel</w:t>
      </w:r>
      <w:r w:rsidRPr="00175174">
        <w:t xml:space="preserve"> ter besluitvorming voorleggen aan de minister van VWS.</w:t>
      </w:r>
      <w:r w:rsidRPr="00175174" w:rsidR="00691B67">
        <w:t xml:space="preserve"> Met het NHC wil NRG PALLAS B.V. opschuiven in de productieketen van medische isotopen en processing toepassen op het bestraalde materiaal.</w:t>
      </w:r>
    </w:p>
    <w:p w:rsidRPr="00175174" w:rsidR="00B85C2B" w:rsidP="00175174" w:rsidRDefault="00B85C2B" w14:paraId="395DFB01" w14:textId="783B54C8">
      <w:pPr>
        <w:suppressAutoHyphens/>
        <w:jc w:val="left"/>
      </w:pPr>
      <w:r w:rsidRPr="00175174">
        <w:t>NRG PALLAS B.V. geeft aan dat, vooruitlopend op deze besluitvorming</w:t>
      </w:r>
      <w:r w:rsidRPr="00175174" w:rsidR="00A61561">
        <w:t>,</w:t>
      </w:r>
      <w:r w:rsidRPr="00175174">
        <w:t xml:space="preserve"> in de verslagperiode reeds een aantal voorbereidende werkzaamheden is gestart. Het betreft onder meer ontwerpwerkzaamheden en het in gang zetten van aanbestedingstrajecten voor detailontwerp- en </w:t>
      </w:r>
      <w:r w:rsidRPr="00175174" w:rsidR="003B7685">
        <w:t>bouw- en uitvoerings</w:t>
      </w:r>
      <w:r w:rsidRPr="00175174">
        <w:t>diensten, alsmede het indienen van de aanvraag voor de omgevingsvergunning.</w:t>
      </w:r>
    </w:p>
    <w:p w:rsidRPr="00175174" w:rsidR="00B85C2B" w:rsidP="00175174" w:rsidRDefault="00B85C2B" w14:paraId="267FFFC5" w14:textId="2AAAD05C">
      <w:pPr>
        <w:suppressAutoHyphens/>
        <w:jc w:val="left"/>
      </w:pPr>
      <w:r w:rsidRPr="00175174">
        <w:t xml:space="preserve">De opdrachtverlening voor een van de </w:t>
      </w:r>
      <w:r w:rsidRPr="00175174" w:rsidR="00800F1B">
        <w:t>onderdelen met een lange levertijd</w:t>
      </w:r>
      <w:r w:rsidRPr="00175174">
        <w:t>, de bèta hot</w:t>
      </w:r>
      <w:r w:rsidRPr="00175174" w:rsidR="00CE17BE">
        <w:t xml:space="preserve"> </w:t>
      </w:r>
      <w:proofErr w:type="spellStart"/>
      <w:r w:rsidRPr="00175174">
        <w:t>cells</w:t>
      </w:r>
      <w:proofErr w:type="spellEnd"/>
      <w:r w:rsidRPr="00175174">
        <w:t xml:space="preserve">, is </w:t>
      </w:r>
      <w:r w:rsidRPr="00175174" w:rsidR="00691EDC">
        <w:t xml:space="preserve">in afstemming met VWS </w:t>
      </w:r>
      <w:r w:rsidRPr="00175174">
        <w:t>reeds voltooid. Overige voorgenomen verplichtingen en investeringsbesluiten worden, conform de geldende governance-afspraken, nog aan VWS voorgelegd ter besluitvorming.</w:t>
      </w:r>
    </w:p>
    <w:p w:rsidRPr="00175174" w:rsidR="007B3754" w:rsidP="00175174" w:rsidRDefault="007B3754" w14:paraId="0EEC6995" w14:textId="77777777">
      <w:pPr>
        <w:pStyle w:val="Kop3"/>
        <w:suppressAutoHyphens/>
      </w:pPr>
      <w:r w:rsidRPr="00175174">
        <w:t xml:space="preserve">Voorbereidingen </w:t>
      </w:r>
      <w:proofErr w:type="spellStart"/>
      <w:r w:rsidRPr="00175174">
        <w:t>Operational</w:t>
      </w:r>
      <w:proofErr w:type="spellEnd"/>
      <w:r w:rsidRPr="00175174">
        <w:t xml:space="preserve"> Readiness</w:t>
      </w:r>
    </w:p>
    <w:p w:rsidRPr="00175174" w:rsidR="007B3754" w:rsidP="00175174" w:rsidRDefault="007B3754" w14:paraId="1E9B2D82" w14:textId="77777777">
      <w:pPr>
        <w:suppressAutoHyphens/>
        <w:jc w:val="left"/>
      </w:pPr>
      <w:r w:rsidRPr="00175174">
        <w:t xml:space="preserve">Ten aanzien van het </w:t>
      </w:r>
      <w:proofErr w:type="spellStart"/>
      <w:r w:rsidRPr="00175174">
        <w:t>Operational</w:t>
      </w:r>
      <w:proofErr w:type="spellEnd"/>
      <w:r w:rsidRPr="00175174">
        <w:t xml:space="preserve"> Readiness Project geeft NRG PALLAS B.V. aan dat in de verslagperiode voortgang is geboekt op verschillende werkstromen, waaronder organisatie-inrichting, voorbereiding van operationele processen en verdere uitwerking van opleidings- en personeelsplanning.</w:t>
      </w:r>
    </w:p>
    <w:p w:rsidRPr="00175174" w:rsidR="007B3754" w:rsidP="00175174" w:rsidRDefault="007B3754" w14:paraId="422D866E" w14:textId="6FA68B99">
      <w:pPr>
        <w:suppressAutoHyphens/>
        <w:jc w:val="left"/>
      </w:pPr>
      <w:r w:rsidRPr="00175174">
        <w:t xml:space="preserve">NRG PALLAS B.V. geeft aan dat de werkzaamheden conform planning verlopen en binnen de vastgestelde kaders worden uitgevoerd. Volgens NRG PALLAS B.V. doen zich in dit onderdeel van het programma geen afwijkingen voor ten aanzien van scope, planning </w:t>
      </w:r>
      <w:r w:rsidRPr="00175174" w:rsidR="00A42924">
        <w:t>en</w:t>
      </w:r>
      <w:r w:rsidRPr="00175174" w:rsidR="00F76A2A">
        <w:t xml:space="preserve"> </w:t>
      </w:r>
      <w:r w:rsidRPr="00175174">
        <w:t>budget.</w:t>
      </w:r>
    </w:p>
    <w:p w:rsidRPr="00175174" w:rsidR="007B3754" w:rsidP="00175174" w:rsidRDefault="007B3754" w14:paraId="678AF842" w14:textId="77777777">
      <w:pPr>
        <w:pStyle w:val="Kop2"/>
        <w:suppressAutoHyphens/>
        <w:jc w:val="left"/>
      </w:pPr>
      <w:bookmarkStart w:name="_Toc227050514" w:id="22"/>
      <w:r w:rsidRPr="00175174">
        <w:t>Werk in uitvoering</w:t>
      </w:r>
      <w:bookmarkEnd w:id="22"/>
    </w:p>
    <w:p w:rsidRPr="00175174" w:rsidR="007B3754" w:rsidP="00175174" w:rsidRDefault="007B3754" w14:paraId="5962F50F" w14:textId="77777777">
      <w:pPr>
        <w:suppressAutoHyphens/>
        <w:jc w:val="left"/>
      </w:pPr>
      <w:r w:rsidRPr="00175174">
        <w:t xml:space="preserve">Deze paragraaf beschrijft de uitvoeringswerkzaamheden van het programma. </w:t>
      </w:r>
    </w:p>
    <w:p w:rsidRPr="00175174" w:rsidR="007B3754" w:rsidP="00175174" w:rsidRDefault="007B3754" w14:paraId="44602EAB" w14:textId="77777777">
      <w:pPr>
        <w:pStyle w:val="Kop3"/>
        <w:suppressAutoHyphens/>
      </w:pPr>
      <w:r w:rsidRPr="00175174">
        <w:t>Voortgang PALLAS-reactor</w:t>
      </w:r>
    </w:p>
    <w:p w:rsidRPr="00175174" w:rsidR="007B3754" w:rsidP="00175174" w:rsidRDefault="007B3754" w14:paraId="38EB3761" w14:textId="71DEFC99">
      <w:pPr>
        <w:suppressAutoHyphens/>
        <w:jc w:val="left"/>
      </w:pPr>
      <w:r w:rsidRPr="00175174">
        <w:t xml:space="preserve">In de tweede basisrapportage is aangegeven dat NRG PALLAS B.V. de realisatie van de PALLAS-reactor in veertien contract batches </w:t>
      </w:r>
      <w:r w:rsidRPr="00175174" w:rsidR="00A42924">
        <w:t>heeft opgedeeld</w:t>
      </w:r>
      <w:r w:rsidRPr="00175174">
        <w:t>. Hieronder wordt ingegaan op de contract batches waar</w:t>
      </w:r>
      <w:r w:rsidRPr="00175174" w:rsidR="00BF563B">
        <w:t xml:space="preserve"> zich</w:t>
      </w:r>
      <w:r w:rsidRPr="00175174">
        <w:t xml:space="preserve"> in </w:t>
      </w:r>
      <w:r w:rsidRPr="00175174" w:rsidR="00A42924">
        <w:t>de verslagperiode</w:t>
      </w:r>
      <w:r w:rsidRPr="00175174">
        <w:t xml:space="preserve"> relevante </w:t>
      </w:r>
      <w:r w:rsidRPr="00175174" w:rsidR="00E153CE">
        <w:t xml:space="preserve">ontwikkelingen </w:t>
      </w:r>
      <w:r w:rsidRPr="00175174" w:rsidR="00BF563B">
        <w:t>hebben voortgedaan</w:t>
      </w:r>
      <w:r w:rsidRPr="00175174" w:rsidR="00A42924">
        <w:t xml:space="preserve">, te weten de contract batches 0, </w:t>
      </w:r>
      <w:r w:rsidRPr="00175174" w:rsidR="006006AC">
        <w:t xml:space="preserve">1, </w:t>
      </w:r>
      <w:r w:rsidRPr="00175174" w:rsidR="00A42924">
        <w:t>2, 3 en 14</w:t>
      </w:r>
      <w:r w:rsidRPr="00175174">
        <w:t>.</w:t>
      </w:r>
    </w:p>
    <w:p w:rsidRPr="00175174" w:rsidR="007873D8" w:rsidP="00175174" w:rsidRDefault="007B3754" w14:paraId="138F8545" w14:textId="77777777">
      <w:pPr>
        <w:suppressAutoHyphens/>
        <w:jc w:val="left"/>
      </w:pPr>
      <w:r w:rsidRPr="00175174">
        <w:t>NRG PALLAS B.V. geeft aan dat</w:t>
      </w:r>
      <w:r w:rsidRPr="00175174" w:rsidR="00516A47">
        <w:t xml:space="preserve"> de werkzaamheden voor</w:t>
      </w:r>
      <w:r w:rsidRPr="00175174">
        <w:t xml:space="preserve"> Contract Batch 0 (voorbereidende werkzaamheden en bouwrijp maken)</w:t>
      </w:r>
      <w:r w:rsidRPr="00175174" w:rsidR="00516A47">
        <w:t xml:space="preserve"> zijn afgerond en definitieve oplevering</w:t>
      </w:r>
      <w:r w:rsidRPr="00175174" w:rsidR="006C69CF">
        <w:t xml:space="preserve"> heeft</w:t>
      </w:r>
      <w:r w:rsidRPr="00175174" w:rsidR="00516A47">
        <w:t xml:space="preserve"> in het eerste kwartaal van 2026</w:t>
      </w:r>
      <w:r w:rsidRPr="00175174" w:rsidR="00A42924">
        <w:t xml:space="preserve"> plaatsvindt.</w:t>
      </w:r>
      <w:r w:rsidRPr="00175174" w:rsidR="00516A47">
        <w:t xml:space="preserve"> </w:t>
      </w:r>
    </w:p>
    <w:p w:rsidRPr="00175174" w:rsidR="007B3754" w:rsidP="00175174" w:rsidRDefault="00F50E9B" w14:paraId="32B8553D" w14:textId="03F86A88">
      <w:pPr>
        <w:suppressAutoHyphens/>
        <w:jc w:val="left"/>
      </w:pPr>
      <w:r w:rsidRPr="00175174">
        <w:t>NRG PALLAS B.V. geeft aan dat Contract Batch 1 (</w:t>
      </w:r>
      <w:r w:rsidRPr="00175174" w:rsidR="00C838D8">
        <w:t>eerste ondergrondse gelegen vloerdelen van de reactor</w:t>
      </w:r>
      <w:r w:rsidRPr="00175174">
        <w:t xml:space="preserve">) in uitvoering is. Tegelijkertijd is de planning van bepaalde werkzaamheden van deze contract batch aangepast als gevolg van ontwikkelingen in het ontwerp, mede om risico’s op latere aanpassingen tijdens de bouw te beperken. NRG PALLAS B.V. geeft aan dat deze vertraging vooralsnog geen impact heeft op huidige planning voor </w:t>
      </w:r>
      <w:r w:rsidRPr="00175174" w:rsidR="00A42924">
        <w:t xml:space="preserve">commerciële </w:t>
      </w:r>
      <w:r w:rsidRPr="00175174">
        <w:t>ingebruikname van de reactor.</w:t>
      </w:r>
    </w:p>
    <w:p w:rsidRPr="00175174" w:rsidR="007B3754" w:rsidP="00175174" w:rsidRDefault="00A42924" w14:paraId="64AAC632" w14:textId="7241FB8C">
      <w:pPr>
        <w:suppressAutoHyphens/>
        <w:jc w:val="left"/>
      </w:pPr>
      <w:r w:rsidRPr="00175174">
        <w:t>Over</w:t>
      </w:r>
      <w:r w:rsidRPr="00175174" w:rsidR="007B3754">
        <w:t xml:space="preserve"> Contract Batch 2 (</w:t>
      </w:r>
      <w:proofErr w:type="spellStart"/>
      <w:r w:rsidRPr="00175174" w:rsidR="00516A47">
        <w:t>Secondary</w:t>
      </w:r>
      <w:proofErr w:type="spellEnd"/>
      <w:r w:rsidRPr="00175174" w:rsidR="00516A47">
        <w:t xml:space="preserve"> </w:t>
      </w:r>
      <w:proofErr w:type="spellStart"/>
      <w:r w:rsidRPr="00175174" w:rsidR="00516A47">
        <w:t>Cooling</w:t>
      </w:r>
      <w:proofErr w:type="spellEnd"/>
      <w:r w:rsidRPr="00175174" w:rsidR="00516A47">
        <w:t xml:space="preserve"> System building</w:t>
      </w:r>
      <w:r w:rsidRPr="00175174" w:rsidR="007B3754">
        <w:t xml:space="preserve">) geeft NRG PALLAS B.V. aan dat de werkzaamheden zijn voortgezet en dat de voortgang in lijn is met </w:t>
      </w:r>
      <w:r w:rsidRPr="00175174" w:rsidR="00020226">
        <w:t>baseline 9</w:t>
      </w:r>
      <w:r w:rsidRPr="00175174" w:rsidR="007B3754">
        <w:t xml:space="preserve">. </w:t>
      </w:r>
    </w:p>
    <w:p w:rsidRPr="00175174" w:rsidR="004608FA" w:rsidP="00175174" w:rsidRDefault="00F47D4E" w14:paraId="0673545A" w14:textId="3C6CC3B7">
      <w:pPr>
        <w:suppressAutoHyphens/>
        <w:jc w:val="left"/>
      </w:pPr>
      <w:r w:rsidRPr="00175174">
        <w:t xml:space="preserve">Contract Batch 3 betreft de civiele bovenbouw en ruwbouw van het reactorgebouw. </w:t>
      </w:r>
      <w:r w:rsidRPr="00175174" w:rsidR="00A42924">
        <w:t>O</w:t>
      </w:r>
      <w:r w:rsidRPr="00175174">
        <w:t xml:space="preserve">nderdelen van deze contractbatch </w:t>
      </w:r>
      <w:r w:rsidRPr="00175174" w:rsidR="00800F1B">
        <w:t>worden</w:t>
      </w:r>
      <w:r w:rsidRPr="00175174" w:rsidR="00A42924">
        <w:t xml:space="preserve"> </w:t>
      </w:r>
      <w:r w:rsidRPr="00175174">
        <w:t xml:space="preserve">afzonderlijk aanbesteed om eerdere realisatie mogelijk te maken. Dit heeft geleid tot de afzonderlijke contractbatches CB3.1 (bovenloopkranen en hijsvoorzieningen) en CB3.2 (hot </w:t>
      </w:r>
      <w:proofErr w:type="spellStart"/>
      <w:r w:rsidRPr="00175174">
        <w:t>cells</w:t>
      </w:r>
      <w:proofErr w:type="spellEnd"/>
      <w:r w:rsidRPr="00175174">
        <w:t>).</w:t>
      </w:r>
      <w:r w:rsidRPr="00175174" w:rsidR="009D7A1F">
        <w:t xml:space="preserve"> </w:t>
      </w:r>
      <w:r w:rsidRPr="00175174">
        <w:t xml:space="preserve">NRG PALLAS B.V. geeft aan dat binnen CB3.1 in de verslagperiode </w:t>
      </w:r>
      <w:r w:rsidRPr="00175174" w:rsidR="00CE17BE">
        <w:t>voorbereidingen zijn getroffen</w:t>
      </w:r>
      <w:r w:rsidRPr="00175174">
        <w:t xml:space="preserve">. Voor CB3.2 zijn de voorbereidingen voor de uitvoering voortgezet. Volgens NRG PALLAS B.V. worden binnen deze contractbatches aandachtspunten gemonitord die samenhangen met de afstemming tussen ontwerp en uitvoering, maar leiden deze op dit moment niet tot bijstelling van scope </w:t>
      </w:r>
      <w:r w:rsidRPr="00175174" w:rsidR="00A42924">
        <w:t>en</w:t>
      </w:r>
      <w:r w:rsidRPr="00175174">
        <w:t xml:space="preserve"> budget.</w:t>
      </w:r>
      <w:r w:rsidRPr="00175174" w:rsidR="00625A01">
        <w:t xml:space="preserve"> </w:t>
      </w:r>
    </w:p>
    <w:p w:rsidRPr="00175174" w:rsidR="00800F1B" w:rsidP="00175174" w:rsidRDefault="00800F1B" w14:paraId="7A369623" w14:textId="7A21C624">
      <w:pPr>
        <w:suppressAutoHyphens/>
        <w:jc w:val="left"/>
      </w:pPr>
      <w:r w:rsidRPr="00175174">
        <w:t>Over Contract Batch 14</w:t>
      </w:r>
      <w:r w:rsidRPr="00175174" w:rsidR="004C3B8B">
        <w:t>-2026</w:t>
      </w:r>
      <w:r w:rsidRPr="00175174">
        <w:t xml:space="preserve"> geeft NRG PALLAS B.V.</w:t>
      </w:r>
      <w:r w:rsidRPr="00175174" w:rsidR="00EB2D0E">
        <w:t xml:space="preserve"> aan</w:t>
      </w:r>
      <w:r w:rsidRPr="00175174">
        <w:t xml:space="preserve"> dat deze in december 2025 getekend is. Deze contract batch is de opvolger van Contract Batch 0 en bevat de indirecte en lopende kosten van de tijdelijke constructiefaciliteiten voor 2026. </w:t>
      </w:r>
      <w:r w:rsidRPr="00175174" w:rsidR="004C3B8B">
        <w:t>NRG PALLAS B.V. is voornemens deze specifieke contract batch op jaarlijkse basis opnieuw te contracteren ter waarborging van de continuïteit van de programma-ondersteunende diensten.</w:t>
      </w:r>
    </w:p>
    <w:p w:rsidRPr="00175174" w:rsidR="007B3754" w:rsidP="00175174" w:rsidRDefault="007B3754" w14:paraId="550FE37C" w14:textId="77777777">
      <w:pPr>
        <w:suppressAutoHyphens/>
        <w:jc w:val="left"/>
      </w:pPr>
      <w:r w:rsidRPr="00175174">
        <w:t>NRG PALLAS B.V. geeft aan dat eventuele risico’s binnen de genoemde contract batches onderdeel uitmaken van de reguliere programmabeheersing en dat zich in de verslagperiode geen ontwikkelingen hebben voorgedaan die aanleiding geven tot aanpassing van de overall planning of het budget van het programma.</w:t>
      </w:r>
    </w:p>
    <w:p w:rsidRPr="00175174" w:rsidR="009B1E2E" w:rsidP="00175174" w:rsidRDefault="007B3754" w14:paraId="656D834B" w14:textId="4F726EA6">
      <w:pPr>
        <w:pStyle w:val="Bijschrift"/>
        <w:suppressAutoHyphens/>
      </w:pPr>
      <w:bookmarkStart w:name="_Ref211939705" w:id="23"/>
      <w:r w:rsidRPr="00175174">
        <w:t xml:space="preserve">Tabel </w:t>
      </w:r>
      <w:r w:rsidRPr="00175174" w:rsidR="00EE7376">
        <w:fldChar w:fldCharType="begin"/>
      </w:r>
      <w:r w:rsidRPr="00175174" w:rsidR="00EE7376">
        <w:instrText xml:space="preserve"> SEQ Tabel \* ARABIC </w:instrText>
      </w:r>
      <w:r w:rsidRPr="00175174" w:rsidR="00EE7376">
        <w:fldChar w:fldCharType="separate"/>
      </w:r>
      <w:r w:rsidR="00175174">
        <w:rPr>
          <w:noProof/>
        </w:rPr>
        <w:t>2</w:t>
      </w:r>
      <w:r w:rsidRPr="00175174" w:rsidR="00EE7376">
        <w:rPr>
          <w:noProof/>
        </w:rPr>
        <w:fldChar w:fldCharType="end"/>
      </w:r>
      <w:bookmarkEnd w:id="23"/>
      <w:r w:rsidRPr="00175174">
        <w:t>. Overzicht van Contract Batches en andere relevante deelwerken per 31 december 2025.</w:t>
      </w:r>
      <w:r w:rsidRPr="00175174" w:rsidR="006006AC">
        <w:t xml:space="preserve"> </w:t>
      </w:r>
    </w:p>
    <w:tbl>
      <w:tblPr>
        <w:tblStyle w:val="Tabelraster"/>
        <w:tblW w:w="0" w:type="auto"/>
        <w:tblLook w:val="04A0" w:firstRow="1" w:lastRow="0" w:firstColumn="1" w:lastColumn="0" w:noHBand="0" w:noVBand="1"/>
      </w:tblPr>
      <w:tblGrid>
        <w:gridCol w:w="1925"/>
        <w:gridCol w:w="2480"/>
        <w:gridCol w:w="1686"/>
        <w:gridCol w:w="24"/>
        <w:gridCol w:w="1586"/>
      </w:tblGrid>
      <w:tr w:rsidRPr="00175174" w:rsidR="00923317" w:rsidTr="007873D8" w14:paraId="661A342A" w14:textId="77777777">
        <w:tc>
          <w:tcPr>
            <w:tcW w:w="1925" w:type="dxa"/>
            <w:tcBorders>
              <w:top w:val="single" w:color="auto" w:sz="4" w:space="0"/>
              <w:left w:val="single" w:color="auto" w:sz="4" w:space="0"/>
              <w:bottom w:val="single" w:color="auto" w:sz="4" w:space="0"/>
              <w:right w:val="single" w:color="auto" w:sz="4" w:space="0"/>
            </w:tcBorders>
            <w:shd w:val="clear" w:color="auto" w:fill="00305B"/>
            <w:vAlign w:val="center"/>
          </w:tcPr>
          <w:p w:rsidRPr="00175174" w:rsidR="00923317" w:rsidP="00175174" w:rsidRDefault="00923317" w14:paraId="50C66026" w14:textId="15F7624B">
            <w:pPr>
              <w:suppressAutoHyphens/>
              <w:jc w:val="left"/>
              <w:rPr>
                <w:b/>
                <w:bCs/>
                <w:color w:val="FFFFFF" w:themeColor="background1"/>
                <w:lang w:val="nl-NL"/>
              </w:rPr>
            </w:pPr>
            <w:r w:rsidRPr="00175174">
              <w:rPr>
                <w:b/>
                <w:bCs/>
                <w:color w:val="FFFFFF" w:themeColor="background1"/>
                <w:lang w:val="nl-NL"/>
              </w:rPr>
              <w:t>Deelwerken</w:t>
            </w:r>
          </w:p>
        </w:tc>
        <w:tc>
          <w:tcPr>
            <w:tcW w:w="2480" w:type="dxa"/>
            <w:tcBorders>
              <w:top w:val="single" w:color="auto" w:sz="4" w:space="0"/>
              <w:left w:val="single" w:color="auto" w:sz="4" w:space="0"/>
              <w:bottom w:val="single" w:color="auto" w:sz="4" w:space="0"/>
              <w:right w:val="single" w:color="auto" w:sz="4" w:space="0"/>
            </w:tcBorders>
            <w:shd w:val="clear" w:color="auto" w:fill="00305B"/>
            <w:vAlign w:val="center"/>
          </w:tcPr>
          <w:p w:rsidRPr="00175174" w:rsidR="00923317" w:rsidP="00175174" w:rsidRDefault="00923317" w14:paraId="65637FB9" w14:textId="0C495614">
            <w:pPr>
              <w:suppressAutoHyphens/>
              <w:jc w:val="left"/>
              <w:rPr>
                <w:b/>
                <w:bCs/>
                <w:color w:val="FFFFFF" w:themeColor="background1"/>
                <w:lang w:val="nl-NL"/>
              </w:rPr>
            </w:pPr>
            <w:r w:rsidRPr="00175174">
              <w:rPr>
                <w:b/>
                <w:bCs/>
                <w:color w:val="FFFFFF" w:themeColor="background1"/>
                <w:lang w:val="nl-NL"/>
              </w:rPr>
              <w:t>Beschrijving</w:t>
            </w:r>
          </w:p>
        </w:tc>
        <w:tc>
          <w:tcPr>
            <w:tcW w:w="1686" w:type="dxa"/>
            <w:tcBorders>
              <w:top w:val="single" w:color="auto" w:sz="4" w:space="0"/>
              <w:left w:val="single" w:color="auto" w:sz="4" w:space="0"/>
              <w:bottom w:val="single" w:color="auto" w:sz="4" w:space="0"/>
              <w:right w:val="single" w:color="auto" w:sz="4" w:space="0"/>
            </w:tcBorders>
            <w:shd w:val="clear" w:color="auto" w:fill="00305B"/>
            <w:vAlign w:val="center"/>
          </w:tcPr>
          <w:p w:rsidRPr="00175174" w:rsidR="00923317" w:rsidP="00175174" w:rsidRDefault="00923317" w14:paraId="3527C7F4" w14:textId="03083B78">
            <w:pPr>
              <w:suppressAutoHyphens/>
              <w:jc w:val="left"/>
              <w:rPr>
                <w:b/>
                <w:bCs/>
                <w:color w:val="FFFFFF" w:themeColor="background1"/>
                <w:lang w:val="nl-NL"/>
              </w:rPr>
            </w:pPr>
            <w:r w:rsidRPr="00175174">
              <w:rPr>
                <w:b/>
                <w:bCs/>
                <w:color w:val="FFFFFF" w:themeColor="background1"/>
                <w:lang w:val="nl-NL"/>
              </w:rPr>
              <w:t>Contractpartij</w:t>
            </w:r>
          </w:p>
        </w:tc>
        <w:tc>
          <w:tcPr>
            <w:tcW w:w="1610" w:type="dxa"/>
            <w:gridSpan w:val="2"/>
            <w:tcBorders>
              <w:top w:val="single" w:color="auto" w:sz="4" w:space="0"/>
              <w:left w:val="single" w:color="auto" w:sz="4" w:space="0"/>
              <w:bottom w:val="single" w:color="auto" w:sz="4" w:space="0"/>
              <w:right w:val="single" w:color="auto" w:sz="4" w:space="0"/>
            </w:tcBorders>
            <w:shd w:val="clear" w:color="auto" w:fill="00305B"/>
            <w:vAlign w:val="center"/>
          </w:tcPr>
          <w:p w:rsidRPr="00175174" w:rsidR="00923317" w:rsidP="00175174" w:rsidRDefault="00923317" w14:paraId="522EBD1F" w14:textId="708400E9">
            <w:pPr>
              <w:suppressAutoHyphens/>
              <w:jc w:val="left"/>
              <w:rPr>
                <w:b/>
                <w:bCs/>
                <w:color w:val="FFFFFF" w:themeColor="background1"/>
                <w:lang w:val="nl-NL"/>
              </w:rPr>
            </w:pPr>
            <w:r w:rsidRPr="00175174">
              <w:rPr>
                <w:b/>
                <w:bCs/>
                <w:color w:val="FFFFFF" w:themeColor="background1"/>
                <w:lang w:val="nl-NL"/>
              </w:rPr>
              <w:t>Status</w:t>
            </w:r>
          </w:p>
        </w:tc>
      </w:tr>
      <w:tr w:rsidRPr="00175174" w:rsidR="001A79CD" w:rsidTr="007873D8" w14:paraId="78422AED" w14:textId="77777777">
        <w:tc>
          <w:tcPr>
            <w:tcW w:w="1925" w:type="dxa"/>
          </w:tcPr>
          <w:p w:rsidRPr="00175174" w:rsidR="001A79CD" w:rsidP="00175174" w:rsidRDefault="001A79CD" w14:paraId="69BF9FDB" w14:textId="6B802F7C">
            <w:pPr>
              <w:suppressAutoHyphens/>
              <w:jc w:val="left"/>
            </w:pPr>
            <w:r w:rsidRPr="00175174">
              <w:rPr>
                <w:lang w:val="nl-NL"/>
              </w:rPr>
              <w:t>Pit &amp; Foundation PALLAS-reactor</w:t>
            </w:r>
          </w:p>
        </w:tc>
        <w:tc>
          <w:tcPr>
            <w:tcW w:w="2480" w:type="dxa"/>
          </w:tcPr>
          <w:p w:rsidRPr="00175174" w:rsidR="001A79CD" w:rsidP="00175174" w:rsidRDefault="001A79CD" w14:paraId="77648EC3" w14:textId="2FAA9AD7">
            <w:pPr>
              <w:suppressAutoHyphens/>
              <w:jc w:val="left"/>
              <w:rPr>
                <w:lang w:val="nl-NL"/>
              </w:rPr>
            </w:pPr>
            <w:r w:rsidRPr="00175174">
              <w:rPr>
                <w:lang w:val="nl-NL"/>
              </w:rPr>
              <w:t>Realisatie van bouwput en fundatie van de PALLAS-reactor</w:t>
            </w:r>
          </w:p>
        </w:tc>
        <w:tc>
          <w:tcPr>
            <w:tcW w:w="1710" w:type="dxa"/>
            <w:gridSpan w:val="2"/>
          </w:tcPr>
          <w:p w:rsidRPr="00175174" w:rsidR="001A79CD" w:rsidP="00175174" w:rsidRDefault="001A79CD" w14:paraId="67C5D8DB" w14:textId="3F02E812">
            <w:pPr>
              <w:suppressAutoHyphens/>
              <w:jc w:val="left"/>
            </w:pPr>
            <w:proofErr w:type="spellStart"/>
            <w:r w:rsidRPr="00175174">
              <w:rPr>
                <w:lang w:val="nl-NL"/>
              </w:rPr>
              <w:t>Besix</w:t>
            </w:r>
            <w:proofErr w:type="spellEnd"/>
          </w:p>
        </w:tc>
        <w:tc>
          <w:tcPr>
            <w:tcW w:w="1586" w:type="dxa"/>
          </w:tcPr>
          <w:p w:rsidRPr="00175174" w:rsidR="001A79CD" w:rsidP="00175174" w:rsidRDefault="001A79CD" w14:paraId="2C1D39E1" w14:textId="6D8DDCB1">
            <w:pPr>
              <w:suppressAutoHyphens/>
              <w:jc w:val="left"/>
            </w:pPr>
            <w:r w:rsidRPr="00175174">
              <w:rPr>
                <w:lang w:val="nl-NL"/>
              </w:rPr>
              <w:t>Afgerond</w:t>
            </w:r>
          </w:p>
        </w:tc>
      </w:tr>
      <w:tr w:rsidRPr="00175174" w:rsidR="001A79CD" w:rsidTr="007873D8" w14:paraId="1309DBC0" w14:textId="77777777">
        <w:tc>
          <w:tcPr>
            <w:tcW w:w="1925" w:type="dxa"/>
          </w:tcPr>
          <w:p w:rsidRPr="00175174" w:rsidR="001A79CD" w:rsidP="00175174" w:rsidRDefault="001A79CD" w14:paraId="1D75BD29" w14:textId="7658708D">
            <w:pPr>
              <w:suppressAutoHyphens/>
              <w:jc w:val="left"/>
            </w:pPr>
            <w:r w:rsidRPr="00175174">
              <w:rPr>
                <w:lang w:val="nl-NL"/>
              </w:rPr>
              <w:t xml:space="preserve">Contract Batch 0 </w:t>
            </w:r>
          </w:p>
        </w:tc>
        <w:tc>
          <w:tcPr>
            <w:tcW w:w="2480" w:type="dxa"/>
          </w:tcPr>
          <w:p w:rsidRPr="00175174" w:rsidR="001A79CD" w:rsidP="00175174" w:rsidRDefault="001A79CD" w14:paraId="48E6997F" w14:textId="39E2D3F9">
            <w:pPr>
              <w:suppressAutoHyphens/>
              <w:jc w:val="left"/>
            </w:pPr>
            <w:r w:rsidRPr="00175174">
              <w:rPr>
                <w:lang w:val="nl-NL"/>
              </w:rPr>
              <w:t>Voorbereiden bouwterrein</w:t>
            </w:r>
          </w:p>
        </w:tc>
        <w:tc>
          <w:tcPr>
            <w:tcW w:w="1710" w:type="dxa"/>
            <w:gridSpan w:val="2"/>
          </w:tcPr>
          <w:p w:rsidRPr="00175174" w:rsidR="001A79CD" w:rsidP="00175174" w:rsidRDefault="001A79CD" w14:paraId="519B818A" w14:textId="4DEACFF2">
            <w:pPr>
              <w:suppressAutoHyphens/>
              <w:jc w:val="left"/>
            </w:pPr>
            <w:r w:rsidRPr="00175174">
              <w:rPr>
                <w:lang w:val="nl-NL"/>
              </w:rPr>
              <w:t>FCC</w:t>
            </w:r>
          </w:p>
        </w:tc>
        <w:tc>
          <w:tcPr>
            <w:tcW w:w="1586" w:type="dxa"/>
          </w:tcPr>
          <w:p w:rsidRPr="00175174" w:rsidR="001A79CD" w:rsidP="00175174" w:rsidRDefault="001A79CD" w14:paraId="55C57442" w14:textId="4438649C">
            <w:pPr>
              <w:suppressAutoHyphens/>
              <w:jc w:val="left"/>
            </w:pPr>
            <w:r w:rsidRPr="00175174">
              <w:rPr>
                <w:lang w:val="nl-NL"/>
              </w:rPr>
              <w:t>Afgerond</w:t>
            </w:r>
          </w:p>
        </w:tc>
      </w:tr>
      <w:tr w:rsidRPr="00175174" w:rsidR="001A79CD" w:rsidTr="007873D8" w14:paraId="640A5412" w14:textId="77777777">
        <w:tc>
          <w:tcPr>
            <w:tcW w:w="1925" w:type="dxa"/>
          </w:tcPr>
          <w:p w:rsidRPr="00175174" w:rsidR="001A79CD" w:rsidP="00175174" w:rsidRDefault="001A79CD" w14:paraId="7C400B12" w14:textId="42788B84">
            <w:pPr>
              <w:suppressAutoHyphens/>
              <w:jc w:val="left"/>
            </w:pPr>
            <w:r w:rsidRPr="00175174">
              <w:rPr>
                <w:lang w:val="nl-NL"/>
              </w:rPr>
              <w:t xml:space="preserve">Contract Batch 1 </w:t>
            </w:r>
          </w:p>
        </w:tc>
        <w:tc>
          <w:tcPr>
            <w:tcW w:w="2480" w:type="dxa"/>
          </w:tcPr>
          <w:p w:rsidRPr="00175174" w:rsidR="001A79CD" w:rsidP="00175174" w:rsidRDefault="001A79CD" w14:paraId="3FF5A5D4" w14:textId="258D0E70">
            <w:pPr>
              <w:suppressAutoHyphens/>
              <w:jc w:val="left"/>
              <w:rPr>
                <w:lang w:val="nl-NL"/>
              </w:rPr>
            </w:pPr>
            <w:proofErr w:type="spellStart"/>
            <w:r w:rsidRPr="00175174">
              <w:rPr>
                <w:lang w:val="nl-NL"/>
              </w:rPr>
              <w:t>Nuclear</w:t>
            </w:r>
            <w:proofErr w:type="spellEnd"/>
            <w:r w:rsidRPr="00175174">
              <w:rPr>
                <w:lang w:val="nl-NL"/>
              </w:rPr>
              <w:t xml:space="preserve"> Island vloerdelen -3 tot en met -1 van de PALLAS-reactor</w:t>
            </w:r>
          </w:p>
        </w:tc>
        <w:tc>
          <w:tcPr>
            <w:tcW w:w="1710" w:type="dxa"/>
            <w:gridSpan w:val="2"/>
          </w:tcPr>
          <w:p w:rsidRPr="00175174" w:rsidR="001A79CD" w:rsidP="00175174" w:rsidRDefault="001A79CD" w14:paraId="4DE78C42" w14:textId="2F6F9D1B">
            <w:pPr>
              <w:suppressAutoHyphens/>
              <w:jc w:val="left"/>
            </w:pPr>
            <w:r w:rsidRPr="00175174">
              <w:rPr>
                <w:lang w:val="nl-NL"/>
              </w:rPr>
              <w:t>FCC</w:t>
            </w:r>
          </w:p>
        </w:tc>
        <w:tc>
          <w:tcPr>
            <w:tcW w:w="1586" w:type="dxa"/>
          </w:tcPr>
          <w:p w:rsidRPr="00175174" w:rsidR="001A79CD" w:rsidP="00175174" w:rsidRDefault="001A79CD" w14:paraId="46FC9C70" w14:textId="67EAD40C">
            <w:pPr>
              <w:suppressAutoHyphens/>
              <w:jc w:val="left"/>
            </w:pPr>
            <w:r w:rsidRPr="00175174">
              <w:rPr>
                <w:lang w:val="nl-NL"/>
              </w:rPr>
              <w:t>Gestart</w:t>
            </w:r>
          </w:p>
        </w:tc>
      </w:tr>
      <w:tr w:rsidRPr="00175174" w:rsidR="001A79CD" w:rsidTr="007873D8" w14:paraId="0F298CF5" w14:textId="77777777">
        <w:tc>
          <w:tcPr>
            <w:tcW w:w="1925" w:type="dxa"/>
          </w:tcPr>
          <w:p w:rsidRPr="00175174" w:rsidR="001A79CD" w:rsidP="00175174" w:rsidRDefault="001A79CD" w14:paraId="7B481924" w14:textId="36D5B5E3">
            <w:pPr>
              <w:suppressAutoHyphens/>
              <w:jc w:val="left"/>
            </w:pPr>
            <w:r w:rsidRPr="00175174">
              <w:rPr>
                <w:lang w:val="nl-NL"/>
              </w:rPr>
              <w:t>Contract Batch 2</w:t>
            </w:r>
          </w:p>
        </w:tc>
        <w:tc>
          <w:tcPr>
            <w:tcW w:w="2480" w:type="dxa"/>
          </w:tcPr>
          <w:p w:rsidRPr="00175174" w:rsidR="001A79CD" w:rsidP="00175174" w:rsidRDefault="001A79CD" w14:paraId="17F97BC8" w14:textId="3FAFA406">
            <w:pPr>
              <w:suppressAutoHyphens/>
              <w:jc w:val="left"/>
              <w:rPr>
                <w:lang w:val="nl-NL"/>
              </w:rPr>
            </w:pPr>
            <w:r w:rsidRPr="00175174">
              <w:rPr>
                <w:lang w:val="nl-NL"/>
              </w:rPr>
              <w:t xml:space="preserve">Realisatie van </w:t>
            </w:r>
            <w:proofErr w:type="spellStart"/>
            <w:r w:rsidRPr="00175174">
              <w:rPr>
                <w:lang w:val="nl-NL"/>
              </w:rPr>
              <w:t>Secondary</w:t>
            </w:r>
            <w:proofErr w:type="spellEnd"/>
            <w:r w:rsidRPr="00175174">
              <w:rPr>
                <w:lang w:val="nl-NL"/>
              </w:rPr>
              <w:t xml:space="preserve"> </w:t>
            </w:r>
            <w:proofErr w:type="spellStart"/>
            <w:r w:rsidRPr="00175174">
              <w:rPr>
                <w:lang w:val="nl-NL"/>
              </w:rPr>
              <w:t>Cooling</w:t>
            </w:r>
            <w:proofErr w:type="spellEnd"/>
            <w:r w:rsidRPr="00175174">
              <w:rPr>
                <w:lang w:val="nl-NL"/>
              </w:rPr>
              <w:t xml:space="preserve"> System bouwput, fundatie en koelwaterleiding van het </w:t>
            </w:r>
            <w:proofErr w:type="spellStart"/>
            <w:r w:rsidRPr="00175174">
              <w:rPr>
                <w:lang w:val="nl-NL"/>
              </w:rPr>
              <w:t>Noord-Hollandsch</w:t>
            </w:r>
            <w:proofErr w:type="spellEnd"/>
            <w:r w:rsidRPr="00175174">
              <w:rPr>
                <w:lang w:val="nl-NL"/>
              </w:rPr>
              <w:t xml:space="preserve"> kanaal naar de PALLAS-locatie en van de PALLAS-locatie naar de Noordzee.</w:t>
            </w:r>
          </w:p>
        </w:tc>
        <w:tc>
          <w:tcPr>
            <w:tcW w:w="1710" w:type="dxa"/>
            <w:gridSpan w:val="2"/>
          </w:tcPr>
          <w:p w:rsidRPr="00175174" w:rsidR="001A79CD" w:rsidP="00175174" w:rsidRDefault="001A79CD" w14:paraId="590E6B51" w14:textId="50345CDC">
            <w:pPr>
              <w:suppressAutoHyphens/>
              <w:jc w:val="left"/>
            </w:pPr>
            <w:r w:rsidRPr="00175174">
              <w:rPr>
                <w:lang w:val="nl-NL"/>
              </w:rPr>
              <w:t>FCC</w:t>
            </w:r>
          </w:p>
        </w:tc>
        <w:tc>
          <w:tcPr>
            <w:tcW w:w="1586" w:type="dxa"/>
          </w:tcPr>
          <w:p w:rsidRPr="00175174" w:rsidR="001A79CD" w:rsidP="00175174" w:rsidRDefault="001A79CD" w14:paraId="1937DD17" w14:textId="03DB463B">
            <w:pPr>
              <w:suppressAutoHyphens/>
              <w:jc w:val="left"/>
            </w:pPr>
            <w:r w:rsidRPr="00175174">
              <w:rPr>
                <w:lang w:val="nl-NL"/>
              </w:rPr>
              <w:t>Gestart</w:t>
            </w:r>
          </w:p>
        </w:tc>
      </w:tr>
      <w:tr w:rsidRPr="00175174" w:rsidR="001A79CD" w:rsidTr="007873D8" w14:paraId="6E770C95" w14:textId="77777777">
        <w:tc>
          <w:tcPr>
            <w:tcW w:w="1925" w:type="dxa"/>
          </w:tcPr>
          <w:p w:rsidRPr="00175174" w:rsidR="001A79CD" w:rsidP="00175174" w:rsidRDefault="001A79CD" w14:paraId="48113F10" w14:textId="0E2204E7">
            <w:pPr>
              <w:suppressAutoHyphens/>
              <w:jc w:val="left"/>
            </w:pPr>
            <w:r w:rsidRPr="00175174">
              <w:rPr>
                <w:lang w:val="nl-NL"/>
              </w:rPr>
              <w:t>Contract Batch 3</w:t>
            </w:r>
          </w:p>
        </w:tc>
        <w:tc>
          <w:tcPr>
            <w:tcW w:w="2480" w:type="dxa"/>
          </w:tcPr>
          <w:p w:rsidRPr="00175174" w:rsidR="001A79CD" w:rsidP="00175174" w:rsidRDefault="001A79CD" w14:paraId="58AD1B28" w14:textId="4A22BFA0">
            <w:pPr>
              <w:suppressAutoHyphens/>
              <w:jc w:val="left"/>
              <w:rPr>
                <w:lang w:val="nl-NL"/>
              </w:rPr>
            </w:pPr>
            <w:r w:rsidRPr="00175174">
              <w:rPr>
                <w:lang w:val="nl-NL"/>
              </w:rPr>
              <w:t xml:space="preserve">Civiele bovenbouw en ruwbouw </w:t>
            </w:r>
            <w:proofErr w:type="spellStart"/>
            <w:r w:rsidRPr="00175174">
              <w:rPr>
                <w:lang w:val="nl-NL"/>
              </w:rPr>
              <w:t>Nuclear</w:t>
            </w:r>
            <w:proofErr w:type="spellEnd"/>
            <w:r w:rsidRPr="00175174">
              <w:rPr>
                <w:lang w:val="nl-NL"/>
              </w:rPr>
              <w:t xml:space="preserve"> Island van de PALLAS-reactor</w:t>
            </w:r>
          </w:p>
        </w:tc>
        <w:tc>
          <w:tcPr>
            <w:tcW w:w="1710" w:type="dxa"/>
            <w:gridSpan w:val="2"/>
          </w:tcPr>
          <w:p w:rsidRPr="00175174" w:rsidR="001A79CD" w:rsidP="00175174" w:rsidRDefault="001A79CD" w14:paraId="03F7BF47" w14:textId="321E2F53">
            <w:pPr>
              <w:suppressAutoHyphens/>
              <w:jc w:val="left"/>
            </w:pPr>
            <w:r w:rsidRPr="00175174">
              <w:rPr>
                <w:lang w:val="nl-NL"/>
              </w:rPr>
              <w:t>FCC</w:t>
            </w:r>
          </w:p>
        </w:tc>
        <w:tc>
          <w:tcPr>
            <w:tcW w:w="1586" w:type="dxa"/>
          </w:tcPr>
          <w:p w:rsidRPr="00175174" w:rsidR="001A79CD" w:rsidP="00175174" w:rsidRDefault="001A79CD" w14:paraId="5271AFEE" w14:textId="4B0A4098">
            <w:pPr>
              <w:suppressAutoHyphens/>
              <w:jc w:val="left"/>
            </w:pPr>
            <w:r w:rsidRPr="00175174">
              <w:rPr>
                <w:lang w:val="nl-NL"/>
              </w:rPr>
              <w:t>Niet gestart</w:t>
            </w:r>
          </w:p>
        </w:tc>
      </w:tr>
      <w:tr w:rsidRPr="00175174" w:rsidR="001A79CD" w:rsidTr="007873D8" w14:paraId="0F7734B1" w14:textId="77777777">
        <w:tc>
          <w:tcPr>
            <w:tcW w:w="1925" w:type="dxa"/>
          </w:tcPr>
          <w:p w:rsidRPr="00175174" w:rsidR="001A79CD" w:rsidP="00175174" w:rsidRDefault="001A79CD" w14:paraId="29A4D2D2" w14:textId="635CDEF5">
            <w:pPr>
              <w:suppressAutoHyphens/>
              <w:jc w:val="left"/>
            </w:pPr>
            <w:r w:rsidRPr="00175174">
              <w:rPr>
                <w:lang w:val="nl-NL"/>
              </w:rPr>
              <w:t>Contract Batch 3.1</w:t>
            </w:r>
          </w:p>
        </w:tc>
        <w:tc>
          <w:tcPr>
            <w:tcW w:w="2480" w:type="dxa"/>
          </w:tcPr>
          <w:p w:rsidRPr="00175174" w:rsidR="001A79CD" w:rsidP="00175174" w:rsidRDefault="001A79CD" w14:paraId="333897DC" w14:textId="7CE251BD">
            <w:pPr>
              <w:suppressAutoHyphens/>
              <w:jc w:val="left"/>
            </w:pPr>
            <w:r w:rsidRPr="00175174">
              <w:rPr>
                <w:lang w:val="nl-NL"/>
              </w:rPr>
              <w:t>Realisatie Bovenloopkranen en hijsvoorzieningen</w:t>
            </w:r>
          </w:p>
        </w:tc>
        <w:tc>
          <w:tcPr>
            <w:tcW w:w="1710" w:type="dxa"/>
            <w:gridSpan w:val="2"/>
          </w:tcPr>
          <w:p w:rsidRPr="00175174" w:rsidR="001A79CD" w:rsidP="00175174" w:rsidRDefault="001A79CD" w14:paraId="1D269709" w14:textId="1166BFB7">
            <w:pPr>
              <w:suppressAutoHyphens/>
              <w:jc w:val="left"/>
            </w:pPr>
            <w:r w:rsidRPr="00175174">
              <w:rPr>
                <w:lang w:val="nl-NL"/>
              </w:rPr>
              <w:t>FCC</w:t>
            </w:r>
          </w:p>
        </w:tc>
        <w:tc>
          <w:tcPr>
            <w:tcW w:w="1586" w:type="dxa"/>
          </w:tcPr>
          <w:p w:rsidRPr="00175174" w:rsidR="001A79CD" w:rsidP="00175174" w:rsidRDefault="001A79CD" w14:paraId="6C7CEC04" w14:textId="2DD5934B">
            <w:pPr>
              <w:suppressAutoHyphens/>
              <w:jc w:val="left"/>
            </w:pPr>
            <w:r w:rsidRPr="00175174">
              <w:rPr>
                <w:lang w:val="nl-NL"/>
              </w:rPr>
              <w:t>Niet gestart</w:t>
            </w:r>
          </w:p>
        </w:tc>
      </w:tr>
      <w:tr w:rsidRPr="00175174" w:rsidR="001A79CD" w:rsidTr="007873D8" w14:paraId="25584DDB" w14:textId="77777777">
        <w:tc>
          <w:tcPr>
            <w:tcW w:w="1925" w:type="dxa"/>
          </w:tcPr>
          <w:p w:rsidRPr="00175174" w:rsidR="001A79CD" w:rsidP="00175174" w:rsidRDefault="001A79CD" w14:paraId="6B2D18AE" w14:textId="7580667B">
            <w:pPr>
              <w:suppressAutoHyphens/>
              <w:jc w:val="left"/>
            </w:pPr>
            <w:r w:rsidRPr="00175174">
              <w:rPr>
                <w:lang w:val="nl-NL"/>
              </w:rPr>
              <w:t>Contract Batch 3.2</w:t>
            </w:r>
          </w:p>
        </w:tc>
        <w:tc>
          <w:tcPr>
            <w:tcW w:w="2480" w:type="dxa"/>
          </w:tcPr>
          <w:p w:rsidRPr="00175174" w:rsidR="001A79CD" w:rsidP="00175174" w:rsidRDefault="001A79CD" w14:paraId="3C18B5C2" w14:textId="59E86C67">
            <w:pPr>
              <w:suppressAutoHyphens/>
              <w:jc w:val="left"/>
            </w:pPr>
            <w:r w:rsidRPr="00175174">
              <w:rPr>
                <w:lang w:val="nl-NL"/>
              </w:rPr>
              <w:t xml:space="preserve">Realisatie hot </w:t>
            </w:r>
            <w:proofErr w:type="spellStart"/>
            <w:r w:rsidRPr="00175174">
              <w:rPr>
                <w:lang w:val="nl-NL"/>
              </w:rPr>
              <w:t>cells</w:t>
            </w:r>
            <w:proofErr w:type="spellEnd"/>
          </w:p>
        </w:tc>
        <w:tc>
          <w:tcPr>
            <w:tcW w:w="1710" w:type="dxa"/>
            <w:gridSpan w:val="2"/>
          </w:tcPr>
          <w:p w:rsidRPr="00175174" w:rsidR="001A79CD" w:rsidP="00175174" w:rsidRDefault="000301E6" w14:paraId="1B01B8B5" w14:textId="052ED1AD">
            <w:pPr>
              <w:suppressAutoHyphens/>
              <w:jc w:val="left"/>
            </w:pPr>
            <w:r w:rsidRPr="00175174">
              <w:t>FCC</w:t>
            </w:r>
          </w:p>
        </w:tc>
        <w:tc>
          <w:tcPr>
            <w:tcW w:w="1586" w:type="dxa"/>
          </w:tcPr>
          <w:p w:rsidRPr="00175174" w:rsidR="001A79CD" w:rsidP="00175174" w:rsidRDefault="00043C84" w14:paraId="2C17BA71" w14:textId="7E4A3541">
            <w:pPr>
              <w:suppressAutoHyphens/>
              <w:jc w:val="left"/>
            </w:pPr>
            <w:proofErr w:type="spellStart"/>
            <w:r w:rsidRPr="00175174">
              <w:t>Niet</w:t>
            </w:r>
            <w:proofErr w:type="spellEnd"/>
            <w:r w:rsidRPr="00175174">
              <w:t xml:space="preserve"> </w:t>
            </w:r>
            <w:proofErr w:type="spellStart"/>
            <w:r w:rsidRPr="00175174">
              <w:t>gestart</w:t>
            </w:r>
            <w:proofErr w:type="spellEnd"/>
          </w:p>
        </w:tc>
      </w:tr>
      <w:tr w:rsidRPr="00175174" w:rsidR="001A79CD" w:rsidTr="007873D8" w14:paraId="485E1070" w14:textId="77777777">
        <w:tc>
          <w:tcPr>
            <w:tcW w:w="1925" w:type="dxa"/>
          </w:tcPr>
          <w:p w:rsidRPr="00175174" w:rsidR="001A79CD" w:rsidP="00175174" w:rsidRDefault="001A79CD" w14:paraId="47AF8501" w14:textId="44937EAA">
            <w:pPr>
              <w:suppressAutoHyphens/>
              <w:jc w:val="left"/>
            </w:pPr>
            <w:r w:rsidRPr="00175174">
              <w:rPr>
                <w:lang w:val="nl-NL"/>
              </w:rPr>
              <w:t>Contract Batch 4</w:t>
            </w:r>
          </w:p>
        </w:tc>
        <w:tc>
          <w:tcPr>
            <w:tcW w:w="2480" w:type="dxa"/>
          </w:tcPr>
          <w:p w:rsidRPr="00175174" w:rsidR="001A79CD" w:rsidP="00175174" w:rsidRDefault="001A79CD" w14:paraId="338E44EA" w14:textId="696F1207">
            <w:pPr>
              <w:suppressAutoHyphens/>
              <w:jc w:val="left"/>
            </w:pPr>
            <w:r w:rsidRPr="00175174">
              <w:rPr>
                <w:lang w:val="nl-NL"/>
              </w:rPr>
              <w:t xml:space="preserve">Realisatie technische installaties binnen </w:t>
            </w:r>
            <w:proofErr w:type="spellStart"/>
            <w:r w:rsidRPr="00175174">
              <w:rPr>
                <w:lang w:val="nl-NL"/>
              </w:rPr>
              <w:t>Nuclear</w:t>
            </w:r>
            <w:proofErr w:type="spellEnd"/>
            <w:r w:rsidRPr="00175174">
              <w:rPr>
                <w:lang w:val="nl-NL"/>
              </w:rPr>
              <w:t xml:space="preserve"> Island</w:t>
            </w:r>
          </w:p>
        </w:tc>
        <w:tc>
          <w:tcPr>
            <w:tcW w:w="1710" w:type="dxa"/>
            <w:gridSpan w:val="2"/>
          </w:tcPr>
          <w:p w:rsidRPr="00175174" w:rsidR="001A79CD" w:rsidP="00175174" w:rsidRDefault="001A79CD" w14:paraId="73F69EC5" w14:textId="65138150">
            <w:pPr>
              <w:suppressAutoHyphens/>
              <w:jc w:val="left"/>
            </w:pPr>
            <w:r w:rsidRPr="00175174">
              <w:rPr>
                <w:lang w:val="nl-NL"/>
              </w:rPr>
              <w:t>FCC</w:t>
            </w:r>
          </w:p>
        </w:tc>
        <w:tc>
          <w:tcPr>
            <w:tcW w:w="1586" w:type="dxa"/>
          </w:tcPr>
          <w:p w:rsidRPr="00175174" w:rsidR="001A79CD" w:rsidP="00175174" w:rsidRDefault="001A79CD" w14:paraId="5735DCA2" w14:textId="3854D40C">
            <w:pPr>
              <w:suppressAutoHyphens/>
              <w:jc w:val="left"/>
            </w:pPr>
            <w:r w:rsidRPr="00175174">
              <w:rPr>
                <w:lang w:val="nl-NL"/>
              </w:rPr>
              <w:t>Niet gestart</w:t>
            </w:r>
          </w:p>
        </w:tc>
      </w:tr>
      <w:tr w:rsidRPr="00175174" w:rsidR="001A79CD" w:rsidTr="007873D8" w14:paraId="2306C231" w14:textId="77777777">
        <w:tc>
          <w:tcPr>
            <w:tcW w:w="1925" w:type="dxa"/>
          </w:tcPr>
          <w:p w:rsidRPr="00175174" w:rsidR="001A79CD" w:rsidP="00175174" w:rsidRDefault="001A79CD" w14:paraId="5BA96D81" w14:textId="29579F1C">
            <w:pPr>
              <w:suppressAutoHyphens/>
              <w:jc w:val="left"/>
            </w:pPr>
            <w:r w:rsidRPr="00175174">
              <w:rPr>
                <w:lang w:val="nl-NL"/>
              </w:rPr>
              <w:t>Contract Batch 5</w:t>
            </w:r>
          </w:p>
        </w:tc>
        <w:tc>
          <w:tcPr>
            <w:tcW w:w="2480" w:type="dxa"/>
          </w:tcPr>
          <w:p w:rsidRPr="00175174" w:rsidR="001A79CD" w:rsidP="00175174" w:rsidRDefault="001A79CD" w14:paraId="0DDADF62" w14:textId="217FCB57">
            <w:pPr>
              <w:suppressAutoHyphens/>
              <w:jc w:val="left"/>
            </w:pPr>
            <w:r w:rsidRPr="00175174">
              <w:rPr>
                <w:lang w:val="nl-NL"/>
              </w:rPr>
              <w:t xml:space="preserve">Realisatie technische installaties </w:t>
            </w:r>
            <w:proofErr w:type="spellStart"/>
            <w:r w:rsidRPr="00175174">
              <w:rPr>
                <w:lang w:val="nl-NL"/>
              </w:rPr>
              <w:t>Logistics</w:t>
            </w:r>
            <w:proofErr w:type="spellEnd"/>
            <w:r w:rsidRPr="00175174">
              <w:rPr>
                <w:lang w:val="nl-NL"/>
              </w:rPr>
              <w:t xml:space="preserve"> Building </w:t>
            </w:r>
          </w:p>
        </w:tc>
        <w:tc>
          <w:tcPr>
            <w:tcW w:w="1710" w:type="dxa"/>
            <w:gridSpan w:val="2"/>
          </w:tcPr>
          <w:p w:rsidRPr="00175174" w:rsidR="001A79CD" w:rsidP="00175174" w:rsidRDefault="001A79CD" w14:paraId="20B86D33" w14:textId="3EA89E19">
            <w:pPr>
              <w:suppressAutoHyphens/>
              <w:jc w:val="left"/>
            </w:pPr>
            <w:r w:rsidRPr="00175174">
              <w:rPr>
                <w:lang w:val="nl-NL"/>
              </w:rPr>
              <w:t>FCC</w:t>
            </w:r>
          </w:p>
        </w:tc>
        <w:tc>
          <w:tcPr>
            <w:tcW w:w="1586" w:type="dxa"/>
          </w:tcPr>
          <w:p w:rsidRPr="00175174" w:rsidR="001A79CD" w:rsidP="00175174" w:rsidRDefault="001A79CD" w14:paraId="5E41F2A6" w14:textId="65C60896">
            <w:pPr>
              <w:suppressAutoHyphens/>
              <w:jc w:val="left"/>
            </w:pPr>
            <w:r w:rsidRPr="00175174">
              <w:rPr>
                <w:lang w:val="nl-NL"/>
              </w:rPr>
              <w:t>Niet gestart</w:t>
            </w:r>
          </w:p>
        </w:tc>
      </w:tr>
      <w:tr w:rsidRPr="00175174" w:rsidR="001A79CD" w:rsidTr="007873D8" w14:paraId="0961E4BF" w14:textId="77777777">
        <w:tc>
          <w:tcPr>
            <w:tcW w:w="1925" w:type="dxa"/>
          </w:tcPr>
          <w:p w:rsidRPr="00175174" w:rsidR="001A79CD" w:rsidP="00175174" w:rsidRDefault="001A79CD" w14:paraId="55549D41" w14:textId="794444B8">
            <w:pPr>
              <w:suppressAutoHyphens/>
              <w:jc w:val="left"/>
            </w:pPr>
            <w:r w:rsidRPr="00175174">
              <w:rPr>
                <w:lang w:val="nl-NL"/>
              </w:rPr>
              <w:t>Contract Batch 6</w:t>
            </w:r>
          </w:p>
        </w:tc>
        <w:tc>
          <w:tcPr>
            <w:tcW w:w="2480" w:type="dxa"/>
          </w:tcPr>
          <w:p w:rsidRPr="00175174" w:rsidR="001A79CD" w:rsidP="00175174" w:rsidRDefault="001A79CD" w14:paraId="2A219D15" w14:textId="4B0D4C11">
            <w:pPr>
              <w:suppressAutoHyphens/>
              <w:jc w:val="left"/>
            </w:pPr>
            <w:r w:rsidRPr="00175174">
              <w:rPr>
                <w:lang w:val="nl-NL"/>
              </w:rPr>
              <w:t>Realisatie civiele werken Support Building</w:t>
            </w:r>
          </w:p>
        </w:tc>
        <w:tc>
          <w:tcPr>
            <w:tcW w:w="1710" w:type="dxa"/>
            <w:gridSpan w:val="2"/>
          </w:tcPr>
          <w:p w:rsidRPr="00175174" w:rsidR="001A79CD" w:rsidP="00175174" w:rsidRDefault="001A79CD" w14:paraId="6693F9A1" w14:textId="582C0084">
            <w:pPr>
              <w:suppressAutoHyphens/>
              <w:jc w:val="left"/>
            </w:pPr>
            <w:r w:rsidRPr="00175174">
              <w:rPr>
                <w:lang w:val="nl-NL"/>
              </w:rPr>
              <w:t>FCC</w:t>
            </w:r>
          </w:p>
        </w:tc>
        <w:tc>
          <w:tcPr>
            <w:tcW w:w="1586" w:type="dxa"/>
          </w:tcPr>
          <w:p w:rsidRPr="00175174" w:rsidR="001A79CD" w:rsidP="00175174" w:rsidRDefault="001A79CD" w14:paraId="55DC8EDF" w14:textId="2B1CA7B7">
            <w:pPr>
              <w:suppressAutoHyphens/>
              <w:jc w:val="left"/>
            </w:pPr>
            <w:r w:rsidRPr="00175174">
              <w:rPr>
                <w:lang w:val="nl-NL"/>
              </w:rPr>
              <w:t>Niet gestart</w:t>
            </w:r>
          </w:p>
        </w:tc>
      </w:tr>
      <w:tr w:rsidRPr="00175174" w:rsidR="001A79CD" w:rsidTr="007873D8" w14:paraId="58922879" w14:textId="77777777">
        <w:tc>
          <w:tcPr>
            <w:tcW w:w="1925" w:type="dxa"/>
          </w:tcPr>
          <w:p w:rsidRPr="00175174" w:rsidR="001A79CD" w:rsidP="00175174" w:rsidRDefault="001A79CD" w14:paraId="0B911DCD" w14:textId="055AD035">
            <w:pPr>
              <w:suppressAutoHyphens/>
              <w:jc w:val="left"/>
            </w:pPr>
            <w:r w:rsidRPr="00175174">
              <w:rPr>
                <w:lang w:val="nl-NL"/>
              </w:rPr>
              <w:t>Contract Batch 7</w:t>
            </w:r>
          </w:p>
        </w:tc>
        <w:tc>
          <w:tcPr>
            <w:tcW w:w="2480" w:type="dxa"/>
          </w:tcPr>
          <w:p w:rsidRPr="00175174" w:rsidR="001A79CD" w:rsidP="00175174" w:rsidRDefault="001A79CD" w14:paraId="5930ED9B" w14:textId="07F221A0">
            <w:pPr>
              <w:suppressAutoHyphens/>
              <w:jc w:val="left"/>
              <w:rPr>
                <w:lang w:val="nl-NL"/>
              </w:rPr>
            </w:pPr>
            <w:r w:rsidRPr="00175174">
              <w:rPr>
                <w:lang w:val="nl-NL"/>
              </w:rPr>
              <w:t>Realisatie overige civiele werken en technische installaties</w:t>
            </w:r>
          </w:p>
        </w:tc>
        <w:tc>
          <w:tcPr>
            <w:tcW w:w="1710" w:type="dxa"/>
            <w:gridSpan w:val="2"/>
          </w:tcPr>
          <w:p w:rsidRPr="00175174" w:rsidR="001A79CD" w:rsidP="00175174" w:rsidRDefault="001A79CD" w14:paraId="45182CA0" w14:textId="6F00BC95">
            <w:pPr>
              <w:suppressAutoHyphens/>
              <w:jc w:val="left"/>
            </w:pPr>
            <w:r w:rsidRPr="00175174">
              <w:rPr>
                <w:lang w:val="nl-NL"/>
              </w:rPr>
              <w:t>FCC</w:t>
            </w:r>
          </w:p>
        </w:tc>
        <w:tc>
          <w:tcPr>
            <w:tcW w:w="1586" w:type="dxa"/>
          </w:tcPr>
          <w:p w:rsidRPr="00175174" w:rsidR="001A79CD" w:rsidP="00175174" w:rsidRDefault="001A79CD" w14:paraId="4B74BD62" w14:textId="0A4F8895">
            <w:pPr>
              <w:suppressAutoHyphens/>
              <w:jc w:val="left"/>
            </w:pPr>
            <w:r w:rsidRPr="00175174">
              <w:rPr>
                <w:lang w:val="nl-NL"/>
              </w:rPr>
              <w:t>Niet gestart</w:t>
            </w:r>
          </w:p>
        </w:tc>
      </w:tr>
      <w:tr w:rsidRPr="00175174" w:rsidR="001A79CD" w:rsidTr="007873D8" w14:paraId="166CE137" w14:textId="77777777">
        <w:tc>
          <w:tcPr>
            <w:tcW w:w="1925" w:type="dxa"/>
          </w:tcPr>
          <w:p w:rsidRPr="00175174" w:rsidR="001A79CD" w:rsidP="00175174" w:rsidRDefault="001A79CD" w14:paraId="7A279BEB" w14:textId="283777B3">
            <w:pPr>
              <w:suppressAutoHyphens/>
              <w:jc w:val="left"/>
            </w:pPr>
            <w:r w:rsidRPr="00175174">
              <w:rPr>
                <w:lang w:val="nl-NL"/>
              </w:rPr>
              <w:t>Contract Batch 8</w:t>
            </w:r>
          </w:p>
        </w:tc>
        <w:tc>
          <w:tcPr>
            <w:tcW w:w="2480" w:type="dxa"/>
          </w:tcPr>
          <w:p w:rsidRPr="00175174" w:rsidR="001A79CD" w:rsidP="00175174" w:rsidRDefault="001A79CD" w14:paraId="5C959123" w14:textId="72F7D103">
            <w:pPr>
              <w:suppressAutoHyphens/>
              <w:jc w:val="left"/>
            </w:pPr>
            <w:r w:rsidRPr="00175174">
              <w:rPr>
                <w:lang w:val="nl-NL"/>
              </w:rPr>
              <w:t xml:space="preserve">Realisatie </w:t>
            </w:r>
            <w:proofErr w:type="spellStart"/>
            <w:r w:rsidRPr="00175174">
              <w:rPr>
                <w:lang w:val="nl-NL"/>
              </w:rPr>
              <w:t>Secondary</w:t>
            </w:r>
            <w:proofErr w:type="spellEnd"/>
            <w:r w:rsidRPr="00175174">
              <w:rPr>
                <w:lang w:val="nl-NL"/>
              </w:rPr>
              <w:t xml:space="preserve"> </w:t>
            </w:r>
            <w:proofErr w:type="spellStart"/>
            <w:r w:rsidRPr="00175174">
              <w:rPr>
                <w:lang w:val="nl-NL"/>
              </w:rPr>
              <w:t>Coolings</w:t>
            </w:r>
            <w:proofErr w:type="spellEnd"/>
            <w:r w:rsidRPr="00175174">
              <w:rPr>
                <w:lang w:val="nl-NL"/>
              </w:rPr>
              <w:t xml:space="preserve"> System Building en technische installaties</w:t>
            </w:r>
          </w:p>
        </w:tc>
        <w:tc>
          <w:tcPr>
            <w:tcW w:w="1710" w:type="dxa"/>
            <w:gridSpan w:val="2"/>
          </w:tcPr>
          <w:p w:rsidRPr="00175174" w:rsidR="001A79CD" w:rsidP="00175174" w:rsidRDefault="001A79CD" w14:paraId="70EDD4D6" w14:textId="281A48C4">
            <w:pPr>
              <w:suppressAutoHyphens/>
              <w:jc w:val="left"/>
            </w:pPr>
            <w:r w:rsidRPr="00175174">
              <w:rPr>
                <w:lang w:val="nl-NL"/>
              </w:rPr>
              <w:t>FCC</w:t>
            </w:r>
          </w:p>
        </w:tc>
        <w:tc>
          <w:tcPr>
            <w:tcW w:w="1586" w:type="dxa"/>
          </w:tcPr>
          <w:p w:rsidRPr="00175174" w:rsidR="001A79CD" w:rsidP="00175174" w:rsidRDefault="001A79CD" w14:paraId="6F0B0FDF" w14:textId="1366579B">
            <w:pPr>
              <w:suppressAutoHyphens/>
              <w:jc w:val="left"/>
            </w:pPr>
            <w:r w:rsidRPr="00175174">
              <w:rPr>
                <w:lang w:val="nl-NL"/>
              </w:rPr>
              <w:t>Niet gestart</w:t>
            </w:r>
          </w:p>
        </w:tc>
      </w:tr>
      <w:tr w:rsidRPr="00175174" w:rsidR="001A79CD" w:rsidTr="007873D8" w14:paraId="6A535D8C" w14:textId="77777777">
        <w:tc>
          <w:tcPr>
            <w:tcW w:w="1925" w:type="dxa"/>
          </w:tcPr>
          <w:p w:rsidRPr="00175174" w:rsidR="001A79CD" w:rsidP="00175174" w:rsidRDefault="001A79CD" w14:paraId="6A08B08D" w14:textId="583B84F6">
            <w:pPr>
              <w:suppressAutoHyphens/>
              <w:jc w:val="left"/>
            </w:pPr>
            <w:r w:rsidRPr="00175174">
              <w:rPr>
                <w:lang w:val="nl-NL"/>
              </w:rPr>
              <w:t>Contract Batch 9</w:t>
            </w:r>
          </w:p>
        </w:tc>
        <w:tc>
          <w:tcPr>
            <w:tcW w:w="2480" w:type="dxa"/>
          </w:tcPr>
          <w:p w:rsidRPr="00175174" w:rsidR="001A79CD" w:rsidP="00175174" w:rsidRDefault="001A79CD" w14:paraId="6A6A0C8D" w14:textId="7E68BF49">
            <w:pPr>
              <w:suppressAutoHyphens/>
              <w:jc w:val="left"/>
            </w:pPr>
            <w:r w:rsidRPr="00175174">
              <w:rPr>
                <w:lang w:val="nl-NL"/>
              </w:rPr>
              <w:t>Nader te bepalen</w:t>
            </w:r>
          </w:p>
        </w:tc>
        <w:tc>
          <w:tcPr>
            <w:tcW w:w="1710" w:type="dxa"/>
            <w:gridSpan w:val="2"/>
          </w:tcPr>
          <w:p w:rsidRPr="00175174" w:rsidR="001A79CD" w:rsidP="00175174" w:rsidRDefault="001A79CD" w14:paraId="01707CAE" w14:textId="137F3F45">
            <w:pPr>
              <w:suppressAutoHyphens/>
              <w:jc w:val="left"/>
            </w:pPr>
            <w:r w:rsidRPr="00175174">
              <w:rPr>
                <w:lang w:val="nl-NL"/>
              </w:rPr>
              <w:t>FCC</w:t>
            </w:r>
          </w:p>
        </w:tc>
        <w:tc>
          <w:tcPr>
            <w:tcW w:w="1586" w:type="dxa"/>
          </w:tcPr>
          <w:p w:rsidRPr="00175174" w:rsidR="001A79CD" w:rsidP="00175174" w:rsidRDefault="001A79CD" w14:paraId="536BD190" w14:textId="13AAF556">
            <w:pPr>
              <w:suppressAutoHyphens/>
              <w:jc w:val="left"/>
            </w:pPr>
            <w:r w:rsidRPr="00175174">
              <w:rPr>
                <w:lang w:val="nl-NL"/>
              </w:rPr>
              <w:t>Niet gestart</w:t>
            </w:r>
          </w:p>
        </w:tc>
      </w:tr>
      <w:tr w:rsidRPr="00175174" w:rsidR="001A79CD" w:rsidTr="007873D8" w14:paraId="61E5F071" w14:textId="77777777">
        <w:tc>
          <w:tcPr>
            <w:tcW w:w="1925" w:type="dxa"/>
          </w:tcPr>
          <w:p w:rsidRPr="00175174" w:rsidR="001A79CD" w:rsidP="00175174" w:rsidRDefault="001A79CD" w14:paraId="1B38C02B" w14:textId="2092B1B8">
            <w:pPr>
              <w:suppressAutoHyphens/>
              <w:jc w:val="left"/>
            </w:pPr>
            <w:r w:rsidRPr="00175174">
              <w:rPr>
                <w:lang w:val="nl-NL"/>
              </w:rPr>
              <w:t>Contract Batch 10</w:t>
            </w:r>
          </w:p>
        </w:tc>
        <w:tc>
          <w:tcPr>
            <w:tcW w:w="2480" w:type="dxa"/>
          </w:tcPr>
          <w:p w:rsidRPr="00175174" w:rsidR="001A79CD" w:rsidP="00175174" w:rsidRDefault="001A79CD" w14:paraId="6B30F235" w14:textId="36B8B2A4">
            <w:pPr>
              <w:suppressAutoHyphens/>
              <w:jc w:val="left"/>
            </w:pPr>
            <w:r w:rsidRPr="00175174">
              <w:rPr>
                <w:lang w:val="nl-NL"/>
              </w:rPr>
              <w:t>Realisatie technische installaties Office Building</w:t>
            </w:r>
          </w:p>
        </w:tc>
        <w:tc>
          <w:tcPr>
            <w:tcW w:w="1710" w:type="dxa"/>
            <w:gridSpan w:val="2"/>
          </w:tcPr>
          <w:p w:rsidRPr="00175174" w:rsidR="001A79CD" w:rsidP="00175174" w:rsidRDefault="001A79CD" w14:paraId="4FC8CB1F" w14:textId="66AA0C67">
            <w:pPr>
              <w:suppressAutoHyphens/>
              <w:jc w:val="left"/>
            </w:pPr>
            <w:r w:rsidRPr="00175174">
              <w:rPr>
                <w:lang w:val="nl-NL"/>
              </w:rPr>
              <w:t>FCC</w:t>
            </w:r>
          </w:p>
        </w:tc>
        <w:tc>
          <w:tcPr>
            <w:tcW w:w="1586" w:type="dxa"/>
          </w:tcPr>
          <w:p w:rsidRPr="00175174" w:rsidR="001A79CD" w:rsidP="00175174" w:rsidRDefault="001A79CD" w14:paraId="65254571" w14:textId="24AAA88E">
            <w:pPr>
              <w:suppressAutoHyphens/>
              <w:jc w:val="left"/>
            </w:pPr>
            <w:r w:rsidRPr="00175174">
              <w:rPr>
                <w:lang w:val="nl-NL"/>
              </w:rPr>
              <w:t>Niet gestart</w:t>
            </w:r>
          </w:p>
        </w:tc>
      </w:tr>
      <w:tr w:rsidRPr="00175174" w:rsidR="001A79CD" w:rsidTr="007873D8" w14:paraId="685EC7EB" w14:textId="77777777">
        <w:tc>
          <w:tcPr>
            <w:tcW w:w="1925" w:type="dxa"/>
          </w:tcPr>
          <w:p w:rsidRPr="00175174" w:rsidR="001A79CD" w:rsidP="00175174" w:rsidRDefault="001A79CD" w14:paraId="4D460A93" w14:textId="421120F5">
            <w:pPr>
              <w:suppressAutoHyphens/>
              <w:jc w:val="left"/>
            </w:pPr>
            <w:r w:rsidRPr="00175174">
              <w:rPr>
                <w:lang w:val="nl-NL"/>
              </w:rPr>
              <w:t>Contract Batch 11</w:t>
            </w:r>
          </w:p>
        </w:tc>
        <w:tc>
          <w:tcPr>
            <w:tcW w:w="2480" w:type="dxa"/>
          </w:tcPr>
          <w:p w:rsidRPr="00175174" w:rsidR="001A79CD" w:rsidP="00175174" w:rsidRDefault="001A79CD" w14:paraId="131075FB" w14:textId="262A3AE3">
            <w:pPr>
              <w:suppressAutoHyphens/>
              <w:jc w:val="left"/>
            </w:pPr>
            <w:r w:rsidRPr="00175174">
              <w:rPr>
                <w:lang w:val="nl-NL"/>
              </w:rPr>
              <w:t>Nader te bepalen</w:t>
            </w:r>
          </w:p>
        </w:tc>
        <w:tc>
          <w:tcPr>
            <w:tcW w:w="1710" w:type="dxa"/>
            <w:gridSpan w:val="2"/>
          </w:tcPr>
          <w:p w:rsidRPr="00175174" w:rsidR="001A79CD" w:rsidP="00175174" w:rsidRDefault="001A79CD" w14:paraId="798AEA15" w14:textId="3D21CED0">
            <w:pPr>
              <w:suppressAutoHyphens/>
              <w:jc w:val="left"/>
            </w:pPr>
            <w:r w:rsidRPr="00175174">
              <w:rPr>
                <w:lang w:val="nl-NL"/>
              </w:rPr>
              <w:t>FCC</w:t>
            </w:r>
          </w:p>
        </w:tc>
        <w:tc>
          <w:tcPr>
            <w:tcW w:w="1586" w:type="dxa"/>
          </w:tcPr>
          <w:p w:rsidRPr="00175174" w:rsidR="001A79CD" w:rsidP="00175174" w:rsidRDefault="001A79CD" w14:paraId="614327E8" w14:textId="5507CBD1">
            <w:pPr>
              <w:suppressAutoHyphens/>
              <w:jc w:val="left"/>
            </w:pPr>
            <w:r w:rsidRPr="00175174">
              <w:rPr>
                <w:lang w:val="nl-NL"/>
              </w:rPr>
              <w:t>Niet gestart</w:t>
            </w:r>
          </w:p>
        </w:tc>
      </w:tr>
      <w:tr w:rsidRPr="00175174" w:rsidR="001A79CD" w:rsidTr="007873D8" w14:paraId="247CBC47" w14:textId="77777777">
        <w:tc>
          <w:tcPr>
            <w:tcW w:w="1925" w:type="dxa"/>
          </w:tcPr>
          <w:p w:rsidRPr="00175174" w:rsidR="001A79CD" w:rsidP="00175174" w:rsidRDefault="001A79CD" w14:paraId="17287E01" w14:textId="2722EAFE">
            <w:pPr>
              <w:suppressAutoHyphens/>
              <w:jc w:val="left"/>
            </w:pPr>
            <w:r w:rsidRPr="00175174">
              <w:rPr>
                <w:lang w:val="nl-NL"/>
              </w:rPr>
              <w:t>Contract Batch 12</w:t>
            </w:r>
          </w:p>
        </w:tc>
        <w:tc>
          <w:tcPr>
            <w:tcW w:w="2480" w:type="dxa"/>
          </w:tcPr>
          <w:p w:rsidRPr="00175174" w:rsidR="001A79CD" w:rsidP="00175174" w:rsidRDefault="001A79CD" w14:paraId="0776BAF8" w14:textId="019DD27E">
            <w:pPr>
              <w:suppressAutoHyphens/>
              <w:jc w:val="left"/>
            </w:pPr>
            <w:proofErr w:type="spellStart"/>
            <w:r w:rsidRPr="00175174">
              <w:rPr>
                <w:lang w:val="nl-NL"/>
              </w:rPr>
              <w:t>Facillity</w:t>
            </w:r>
            <w:proofErr w:type="spellEnd"/>
            <w:r w:rsidRPr="00175174">
              <w:rPr>
                <w:lang w:val="nl-NL"/>
              </w:rPr>
              <w:t xml:space="preserve"> management: site </w:t>
            </w:r>
            <w:proofErr w:type="spellStart"/>
            <w:r w:rsidRPr="00175174">
              <w:rPr>
                <w:lang w:val="nl-NL"/>
              </w:rPr>
              <w:t>facilities</w:t>
            </w:r>
            <w:proofErr w:type="spellEnd"/>
            <w:r w:rsidRPr="00175174">
              <w:rPr>
                <w:lang w:val="nl-NL"/>
              </w:rPr>
              <w:t xml:space="preserve"> en technische installaties Support Building</w:t>
            </w:r>
          </w:p>
        </w:tc>
        <w:tc>
          <w:tcPr>
            <w:tcW w:w="1710" w:type="dxa"/>
            <w:gridSpan w:val="2"/>
          </w:tcPr>
          <w:p w:rsidRPr="00175174" w:rsidR="001A79CD" w:rsidP="00175174" w:rsidRDefault="001A79CD" w14:paraId="70EF5DF5" w14:textId="1EA0D270">
            <w:pPr>
              <w:suppressAutoHyphens/>
              <w:jc w:val="left"/>
            </w:pPr>
            <w:r w:rsidRPr="00175174">
              <w:rPr>
                <w:lang w:val="nl-NL"/>
              </w:rPr>
              <w:t>FCC</w:t>
            </w:r>
          </w:p>
        </w:tc>
        <w:tc>
          <w:tcPr>
            <w:tcW w:w="1586" w:type="dxa"/>
          </w:tcPr>
          <w:p w:rsidRPr="00175174" w:rsidR="001A79CD" w:rsidP="00175174" w:rsidRDefault="001A79CD" w14:paraId="29F4841B" w14:textId="1AB5E20A">
            <w:pPr>
              <w:suppressAutoHyphens/>
              <w:jc w:val="left"/>
            </w:pPr>
            <w:r w:rsidRPr="00175174">
              <w:rPr>
                <w:lang w:val="nl-NL"/>
              </w:rPr>
              <w:t>Niet gestart</w:t>
            </w:r>
          </w:p>
        </w:tc>
      </w:tr>
      <w:tr w:rsidRPr="00175174" w:rsidR="001A79CD" w:rsidTr="007873D8" w14:paraId="0D04E85D" w14:textId="77777777">
        <w:tc>
          <w:tcPr>
            <w:tcW w:w="1925" w:type="dxa"/>
          </w:tcPr>
          <w:p w:rsidRPr="00175174" w:rsidR="001A79CD" w:rsidP="00175174" w:rsidRDefault="001A79CD" w14:paraId="604FB9AC" w14:textId="4EAD6652">
            <w:pPr>
              <w:suppressAutoHyphens/>
              <w:jc w:val="left"/>
            </w:pPr>
            <w:r w:rsidRPr="00175174">
              <w:rPr>
                <w:lang w:val="nl-NL"/>
              </w:rPr>
              <w:t>Contract Batch 13</w:t>
            </w:r>
          </w:p>
        </w:tc>
        <w:tc>
          <w:tcPr>
            <w:tcW w:w="2480" w:type="dxa"/>
          </w:tcPr>
          <w:p w:rsidRPr="00175174" w:rsidR="001A79CD" w:rsidP="00175174" w:rsidRDefault="001A79CD" w14:paraId="6D92D911" w14:textId="6D3B4153">
            <w:pPr>
              <w:suppressAutoHyphens/>
              <w:jc w:val="left"/>
            </w:pPr>
            <w:r w:rsidRPr="00175174">
              <w:rPr>
                <w:lang w:val="nl-NL"/>
              </w:rPr>
              <w:t>Nader te bepalen</w:t>
            </w:r>
          </w:p>
        </w:tc>
        <w:tc>
          <w:tcPr>
            <w:tcW w:w="1710" w:type="dxa"/>
            <w:gridSpan w:val="2"/>
          </w:tcPr>
          <w:p w:rsidRPr="00175174" w:rsidR="001A79CD" w:rsidP="00175174" w:rsidRDefault="001A79CD" w14:paraId="359E5C5C" w14:textId="1545F41B">
            <w:pPr>
              <w:suppressAutoHyphens/>
              <w:jc w:val="left"/>
            </w:pPr>
            <w:r w:rsidRPr="00175174">
              <w:rPr>
                <w:lang w:val="nl-NL"/>
              </w:rPr>
              <w:t>FCC</w:t>
            </w:r>
          </w:p>
        </w:tc>
        <w:tc>
          <w:tcPr>
            <w:tcW w:w="1586" w:type="dxa"/>
          </w:tcPr>
          <w:p w:rsidRPr="00175174" w:rsidR="001A79CD" w:rsidP="00175174" w:rsidRDefault="001A79CD" w14:paraId="174A0094" w14:textId="37B27977">
            <w:pPr>
              <w:suppressAutoHyphens/>
              <w:jc w:val="left"/>
            </w:pPr>
            <w:r w:rsidRPr="00175174">
              <w:rPr>
                <w:lang w:val="nl-NL"/>
              </w:rPr>
              <w:t>Niet gestart</w:t>
            </w:r>
          </w:p>
        </w:tc>
      </w:tr>
      <w:tr w:rsidRPr="00175174" w:rsidR="001A79CD" w:rsidTr="007873D8" w14:paraId="43CC3473" w14:textId="77777777">
        <w:tc>
          <w:tcPr>
            <w:tcW w:w="1925" w:type="dxa"/>
          </w:tcPr>
          <w:p w:rsidRPr="00175174" w:rsidR="001A79CD" w:rsidP="00175174" w:rsidRDefault="001A79CD" w14:paraId="2946D7E5" w14:textId="0C04E756">
            <w:pPr>
              <w:suppressAutoHyphens/>
              <w:jc w:val="left"/>
            </w:pPr>
            <w:r w:rsidRPr="00175174">
              <w:rPr>
                <w:lang w:val="nl-NL"/>
              </w:rPr>
              <w:t>Contract Batch 14-2026</w:t>
            </w:r>
          </w:p>
        </w:tc>
        <w:tc>
          <w:tcPr>
            <w:tcW w:w="2480" w:type="dxa"/>
          </w:tcPr>
          <w:p w:rsidRPr="00175174" w:rsidR="001A79CD" w:rsidP="00175174" w:rsidRDefault="001A79CD" w14:paraId="1DD5383F" w14:textId="332B93A0">
            <w:pPr>
              <w:suppressAutoHyphens/>
              <w:jc w:val="left"/>
            </w:pPr>
            <w:r w:rsidRPr="00175174">
              <w:t xml:space="preserve">Facility management: site facilities and all </w:t>
            </w:r>
            <w:proofErr w:type="spellStart"/>
            <w:r w:rsidRPr="00175174">
              <w:t>installaties</w:t>
            </w:r>
            <w:proofErr w:type="spellEnd"/>
          </w:p>
        </w:tc>
        <w:tc>
          <w:tcPr>
            <w:tcW w:w="1710" w:type="dxa"/>
            <w:gridSpan w:val="2"/>
          </w:tcPr>
          <w:p w:rsidRPr="00175174" w:rsidR="001A79CD" w:rsidP="00175174" w:rsidRDefault="001A79CD" w14:paraId="17DB8A60" w14:textId="29CB429C">
            <w:pPr>
              <w:suppressAutoHyphens/>
              <w:jc w:val="left"/>
            </w:pPr>
            <w:r w:rsidRPr="00175174">
              <w:rPr>
                <w:lang w:val="nl-NL"/>
              </w:rPr>
              <w:t>FCC</w:t>
            </w:r>
          </w:p>
        </w:tc>
        <w:tc>
          <w:tcPr>
            <w:tcW w:w="1586" w:type="dxa"/>
          </w:tcPr>
          <w:p w:rsidRPr="00175174" w:rsidR="001A79CD" w:rsidP="00175174" w:rsidRDefault="00043C84" w14:paraId="5C585546" w14:textId="7323E9E0">
            <w:pPr>
              <w:suppressAutoHyphens/>
              <w:jc w:val="left"/>
            </w:pPr>
            <w:r w:rsidRPr="00175174">
              <w:rPr>
                <w:lang w:val="nl-NL"/>
              </w:rPr>
              <w:t>G</w:t>
            </w:r>
            <w:r w:rsidRPr="00175174" w:rsidR="001A79CD">
              <w:rPr>
                <w:lang w:val="nl-NL"/>
              </w:rPr>
              <w:t>estart</w:t>
            </w:r>
          </w:p>
        </w:tc>
      </w:tr>
    </w:tbl>
    <w:p w:rsidRPr="00175174" w:rsidR="001A79CD" w:rsidP="00175174" w:rsidRDefault="001A79CD" w14:paraId="2C5EBF07" w14:textId="77777777">
      <w:pPr>
        <w:suppressAutoHyphens/>
        <w:jc w:val="left"/>
      </w:pPr>
    </w:p>
    <w:p w:rsidRPr="00175174" w:rsidR="003F1513" w:rsidP="00175174" w:rsidRDefault="003F1513" w14:paraId="375FB862" w14:textId="65EB5755">
      <w:pPr>
        <w:pStyle w:val="Bijschrift"/>
        <w:suppressAutoHyphens/>
      </w:pPr>
    </w:p>
    <w:p w:rsidRPr="00175174" w:rsidR="007B3754" w:rsidP="00175174" w:rsidRDefault="007B3754" w14:paraId="1AC3C0FE" w14:textId="77777777">
      <w:pPr>
        <w:suppressAutoHyphens/>
        <w:jc w:val="left"/>
      </w:pPr>
      <w:r w:rsidRPr="00175174">
        <w:t xml:space="preserve"> </w:t>
      </w:r>
    </w:p>
    <w:p w:rsidRPr="00175174" w:rsidR="007B3754" w:rsidP="00175174" w:rsidRDefault="007B3754" w14:paraId="62CF85D8" w14:textId="77777777">
      <w:pPr>
        <w:suppressAutoHyphens/>
        <w:jc w:val="left"/>
        <w:rPr>
          <w:color w:val="00305B"/>
        </w:rPr>
      </w:pPr>
      <w:r w:rsidRPr="00175174">
        <w:br w:type="page"/>
      </w:r>
    </w:p>
    <w:p w:rsidRPr="00175174" w:rsidR="00DF698A" w:rsidP="00175174" w:rsidRDefault="000D6ADE" w14:paraId="01E75F72" w14:textId="6997B421">
      <w:pPr>
        <w:pStyle w:val="Kop1"/>
        <w:suppressAutoHyphens/>
        <w:jc w:val="left"/>
        <w:rPr>
          <w:sz w:val="18"/>
          <w:szCs w:val="18"/>
        </w:rPr>
      </w:pPr>
      <w:bookmarkStart w:name="_Toc227050515" w:id="24"/>
      <w:r w:rsidRPr="00175174">
        <w:rPr>
          <w:sz w:val="18"/>
          <w:szCs w:val="18"/>
        </w:rPr>
        <w:t>P</w:t>
      </w:r>
      <w:r w:rsidRPr="00175174" w:rsidR="00596748">
        <w:rPr>
          <w:sz w:val="18"/>
          <w:szCs w:val="18"/>
        </w:rPr>
        <w:t>rogrammabeheersing</w:t>
      </w:r>
      <w:bookmarkEnd w:id="24"/>
    </w:p>
    <w:p w:rsidRPr="00175174" w:rsidR="001F497D" w:rsidP="00175174" w:rsidRDefault="001F497D" w14:paraId="6915E6C3" w14:textId="47F378D6">
      <w:pPr>
        <w:pStyle w:val="Kop2"/>
        <w:suppressAutoHyphens/>
        <w:jc w:val="left"/>
      </w:pPr>
      <w:bookmarkStart w:name="_Toc227050516" w:id="25"/>
      <w:r w:rsidRPr="00175174">
        <w:t>Inleiding</w:t>
      </w:r>
      <w:bookmarkEnd w:id="25"/>
    </w:p>
    <w:p w:rsidRPr="00175174" w:rsidR="002860C3" w:rsidP="00175174" w:rsidRDefault="002860C3" w14:paraId="11C9D708" w14:textId="1A642407">
      <w:pPr>
        <w:suppressAutoHyphens/>
        <w:jc w:val="left"/>
      </w:pPr>
      <w:r w:rsidRPr="00175174">
        <w:t>In dit hoofdstuk wordt er ingegaan op de aspecten scope, financiën, planning en risico’s van het PALLAS-nieuwbouwprogramma. De in de tweede basisrapportage</w:t>
      </w:r>
      <w:r w:rsidRPr="00175174">
        <w:rPr>
          <w:rStyle w:val="Voetnootmarkering"/>
        </w:rPr>
        <w:footnoteReference w:id="5"/>
      </w:r>
      <w:r w:rsidRPr="00175174">
        <w:t xml:space="preserve"> gepresenteerde informatie dient daarvoor als referentie.</w:t>
      </w:r>
    </w:p>
    <w:p w:rsidRPr="00175174" w:rsidR="002860C3" w:rsidP="00175174" w:rsidRDefault="002860C3" w14:paraId="6751C80F" w14:textId="77777777">
      <w:pPr>
        <w:pStyle w:val="Kop2"/>
        <w:suppressAutoHyphens/>
        <w:jc w:val="left"/>
      </w:pPr>
      <w:bookmarkStart w:name="_Toc222320536" w:id="26"/>
      <w:bookmarkStart w:name="_Toc227050517" w:id="27"/>
      <w:r w:rsidRPr="00175174">
        <w:t>Scopewijzigingen</w:t>
      </w:r>
      <w:bookmarkEnd w:id="26"/>
      <w:bookmarkEnd w:id="27"/>
    </w:p>
    <w:p w:rsidRPr="00175174" w:rsidR="002860C3" w:rsidP="00175174" w:rsidRDefault="002860C3" w14:paraId="4774DA8A" w14:textId="16BD520C">
      <w:pPr>
        <w:suppressAutoHyphens/>
        <w:jc w:val="left"/>
      </w:pPr>
      <w:r w:rsidRPr="00175174">
        <w:t xml:space="preserve">Er zijn in de afgelopen verslagperiode geen besluiten genomen over scopewijzigingen. In de tweede basisrapportage is aan de Kamer gemeld dat NRG PALLAS B.V. een alternatief voor het NHC heeft uitgewerkt en opgenomen in baseline 9. In het eerste kwartaal van 2026 is een concept voorgelegd aan </w:t>
      </w:r>
      <w:r w:rsidRPr="00175174" w:rsidR="00E36DFD">
        <w:t>VWS</w:t>
      </w:r>
      <w:r w:rsidRPr="00175174">
        <w:t xml:space="preserve">. Naar verwachting zal NRG PALLAS B.V. in het tweede kwartaal van 2026 een </w:t>
      </w:r>
      <w:r w:rsidRPr="00175174" w:rsidR="0081402B">
        <w:t>definitief voorstel</w:t>
      </w:r>
      <w:r w:rsidRPr="00175174">
        <w:t xml:space="preserve"> ter besluitvorming voorleggen aan de minister van VWS.</w:t>
      </w:r>
    </w:p>
    <w:p w:rsidRPr="00175174" w:rsidR="006F60EE" w:rsidP="00175174" w:rsidRDefault="006F60EE" w14:paraId="34F4131E" w14:textId="1D7A317B">
      <w:pPr>
        <w:suppressAutoHyphens/>
        <w:jc w:val="left"/>
      </w:pPr>
      <w:r w:rsidRPr="00175174">
        <w:t xml:space="preserve">Daarnaast verkent NRG PALLAS B.V. de mogelijkheid tot een vermogensverhoging van de PALLAS-reactor van 25 naar 30 </w:t>
      </w:r>
      <w:r w:rsidRPr="00175174" w:rsidR="005A0F10">
        <w:t>megawatt</w:t>
      </w:r>
      <w:r w:rsidRPr="00175174">
        <w:t>. Deze verkenning bevindt zich in een analysefase en heeft nog niet geleid tot een formeel besluit.</w:t>
      </w:r>
      <w:r w:rsidRPr="00175174" w:rsidR="00101167">
        <w:t xml:space="preserve"> NRG PALLAS B.V. geeft aan dat in het ontwerpproces en het huidige ontwerp reeds rekening is gehouden met een mogelijke toekomstige vermogensverhoging. Desalniettemin kan ee</w:t>
      </w:r>
      <w:r w:rsidRPr="00175174">
        <w:t>n eventuele vermogensverhoging leiden tot een wijziging in de scope van het project.</w:t>
      </w:r>
    </w:p>
    <w:p w:rsidRPr="00175174" w:rsidR="00736BBE" w:rsidP="00175174" w:rsidRDefault="00736BBE" w14:paraId="6607872A" w14:textId="1B7DF7BA">
      <w:pPr>
        <w:pStyle w:val="Kop2"/>
        <w:suppressAutoHyphens/>
        <w:jc w:val="left"/>
      </w:pPr>
      <w:bookmarkStart w:name="_Toc227050518" w:id="28"/>
      <w:r w:rsidRPr="00175174">
        <w:t>Planning</w:t>
      </w:r>
      <w:bookmarkEnd w:id="28"/>
    </w:p>
    <w:p w:rsidRPr="00175174" w:rsidR="00CC1E75" w:rsidP="00175174" w:rsidRDefault="000D6ADE" w14:paraId="78EBABE9" w14:textId="2DC552D7">
      <w:pPr>
        <w:suppressAutoHyphens/>
        <w:jc w:val="left"/>
      </w:pPr>
      <w:r w:rsidRPr="00175174">
        <w:t>In deze paragraaf worden de relevante ontwikkelingen van de projectplanning en belangrijke mijlpaaldata gerapporteerd.</w:t>
      </w:r>
    </w:p>
    <w:p w:rsidRPr="00175174" w:rsidR="000D6ADE" w:rsidP="00175174" w:rsidRDefault="000D6ADE" w14:paraId="5F95EBE5" w14:textId="442B66CE">
      <w:pPr>
        <w:pStyle w:val="Kop3"/>
        <w:suppressAutoHyphens/>
      </w:pPr>
      <w:r w:rsidRPr="00175174">
        <w:t>Mijlpalen PALLAS-nieuwbouwprogramma</w:t>
      </w:r>
    </w:p>
    <w:p w:rsidRPr="00175174" w:rsidR="005C5229" w:rsidP="00175174" w:rsidRDefault="005C5229" w14:paraId="332A9F3F" w14:textId="2C50E477">
      <w:pPr>
        <w:suppressAutoHyphens/>
        <w:jc w:val="left"/>
      </w:pPr>
      <w:r w:rsidRPr="00175174">
        <w:t>In de tweede basisrapportag</w:t>
      </w:r>
      <w:r w:rsidRPr="00175174" w:rsidR="002860C3">
        <w:t>e</w:t>
      </w:r>
      <w:r w:rsidRPr="00175174">
        <w:t xml:space="preserve"> zijn de mijlpalen van het PALLAS-nieuwbouwprogramma opgenomen. In de afgelopen verslagperiode zijn hierop geen wijzigingen vastgesteld.</w:t>
      </w:r>
    </w:p>
    <w:p w:rsidRPr="00175174" w:rsidR="00C40A3F" w:rsidP="00175174" w:rsidRDefault="003B6E68" w14:paraId="64154AE6" w14:textId="51B38913">
      <w:pPr>
        <w:suppressAutoHyphens/>
        <w:jc w:val="left"/>
      </w:pPr>
      <w:r w:rsidRPr="00175174">
        <w:t xml:space="preserve">NRG PALLAS B.V. geeft aan dat zich binnen het </w:t>
      </w:r>
      <w:proofErr w:type="spellStart"/>
      <w:r w:rsidRPr="00175174">
        <w:t>detailed</w:t>
      </w:r>
      <w:proofErr w:type="spellEnd"/>
      <w:r w:rsidRPr="00175174">
        <w:t xml:space="preserve"> design, mede in samenhang met de implementatie van </w:t>
      </w:r>
      <w:r w:rsidRPr="00175174">
        <w:rPr>
          <w:i/>
          <w:iCs/>
        </w:rPr>
        <w:t xml:space="preserve">Best </w:t>
      </w:r>
      <w:proofErr w:type="spellStart"/>
      <w:r w:rsidRPr="00175174">
        <w:rPr>
          <w:i/>
          <w:iCs/>
        </w:rPr>
        <w:t>for</w:t>
      </w:r>
      <w:proofErr w:type="spellEnd"/>
      <w:r w:rsidRPr="00175174">
        <w:rPr>
          <w:i/>
          <w:iCs/>
        </w:rPr>
        <w:t xml:space="preserve"> Project</w:t>
      </w:r>
      <w:r w:rsidRPr="00175174">
        <w:t xml:space="preserve">-maatregelen en de verkenning van een mogelijke vermogensverhoging van 25 naar 30 </w:t>
      </w:r>
      <w:r w:rsidRPr="00175174" w:rsidR="005A0F10">
        <w:t>megawatt</w:t>
      </w:r>
      <w:r w:rsidRPr="00175174">
        <w:t xml:space="preserve">, ontwikkelingen hebben voorgedaan die hebben geleid tot vertragingen in de planning van de inkoop van onderdelen met een lange levertijd. </w:t>
      </w:r>
      <w:r w:rsidRPr="00175174" w:rsidR="00C40A3F">
        <w:t>Daarnaast is de start van de eerste beton</w:t>
      </w:r>
      <w:r w:rsidRPr="00175174" w:rsidR="00800F1B">
        <w:t>stort</w:t>
      </w:r>
      <w:r w:rsidRPr="00175174" w:rsidR="00C40A3F">
        <w:t xml:space="preserve">werkzaamheden voor het reactorgebouw uitgesteld. Volgens NRG PALLAS B.V. raken deze ontwikkelingen het kritieke pad van het </w:t>
      </w:r>
      <w:r w:rsidRPr="00175174" w:rsidR="003C6DD8">
        <w:t>reactor</w:t>
      </w:r>
      <w:r w:rsidRPr="00175174" w:rsidR="00C40A3F">
        <w:t xml:space="preserve">project. </w:t>
      </w:r>
      <w:r w:rsidRPr="00175174" w:rsidR="003C6DD8">
        <w:t xml:space="preserve">NRG PALLAS B.V. verwacht </w:t>
      </w:r>
      <w:r w:rsidRPr="00175174" w:rsidR="00366AFF">
        <w:t>halverwege</w:t>
      </w:r>
      <w:r w:rsidRPr="00175174" w:rsidR="003C6DD8">
        <w:t xml:space="preserve"> 2026 een geactualiseerde planning op te leveren aan VWS waarin de gevolgen van deze ontwikkelingen nader </w:t>
      </w:r>
      <w:r w:rsidRPr="00175174" w:rsidR="00E36DFD">
        <w:t>zijn</w:t>
      </w:r>
      <w:r w:rsidRPr="00175174" w:rsidR="003C6DD8">
        <w:t xml:space="preserve"> verwerkt.</w:t>
      </w:r>
      <w:r w:rsidRPr="00175174" w:rsidR="003F1513">
        <w:t xml:space="preserve"> </w:t>
      </w:r>
      <w:r w:rsidRPr="00175174" w:rsidR="00800F1B">
        <w:t>Tot die tijd gaat NRG PALLAS B.V. uit van een ongewijzigde geplande commerciële ingebruikname.</w:t>
      </w:r>
      <w:r w:rsidRPr="00175174" w:rsidR="00C40A3F">
        <w:t xml:space="preserve"> </w:t>
      </w:r>
      <w:r w:rsidRPr="00175174" w:rsidR="00366AFF">
        <w:t xml:space="preserve">De Tweede Kamer zal hierover in de eerstvolgende voortgangsrapportage </w:t>
      </w:r>
      <w:r w:rsidRPr="00175174" w:rsidR="002D4D2F">
        <w:t xml:space="preserve">nader </w:t>
      </w:r>
      <w:r w:rsidRPr="00175174" w:rsidR="00366AFF">
        <w:t>worden geïnformeerd.</w:t>
      </w:r>
    </w:p>
    <w:p w:rsidRPr="00175174" w:rsidR="00800F1B" w:rsidP="00175174" w:rsidRDefault="00800F1B" w14:paraId="0BBA3DCA" w14:textId="4106AEA9">
      <w:pPr>
        <w:suppressAutoHyphens/>
        <w:jc w:val="left"/>
      </w:pPr>
      <w:r w:rsidRPr="00175174">
        <w:t xml:space="preserve">De planning van het PALLAS-nieuwbouwprogramma kent een deterministische basisplanning, aangevuld met een probabilistische analyse waarin risico’s en onzekerheden zijn meegenomen. De uitkomsten, uitgedrukt in P10-, P50- en P90-waarden, geven inzicht in de mate van haalbaarheid en robuustheid van de planning, evenals in de bandbreedte van de verwachte doorlooptijd van het programma als geheel en </w:t>
      </w:r>
      <w:r w:rsidRPr="00175174" w:rsidR="002D4D2F">
        <w:t xml:space="preserve">van </w:t>
      </w:r>
      <w:r w:rsidRPr="00175174">
        <w:t xml:space="preserve">de drie afzonderlijke deelprojecten PALLAS-reactor, Processing </w:t>
      </w:r>
      <w:proofErr w:type="spellStart"/>
      <w:r w:rsidRPr="00175174">
        <w:t>Facilities</w:t>
      </w:r>
      <w:proofErr w:type="spellEnd"/>
      <w:r w:rsidRPr="00175174">
        <w:t xml:space="preserve"> en </w:t>
      </w:r>
      <w:proofErr w:type="spellStart"/>
      <w:r w:rsidRPr="00175174">
        <w:t>Operational</w:t>
      </w:r>
      <w:proofErr w:type="spellEnd"/>
      <w:r w:rsidRPr="00175174">
        <w:t xml:space="preserve"> Readiness.</w:t>
      </w:r>
    </w:p>
    <w:p w:rsidRPr="00175174" w:rsidR="004D087F" w:rsidP="00175174" w:rsidRDefault="00013E74" w14:paraId="2C1BD2BE" w14:textId="33050759">
      <w:pPr>
        <w:suppressAutoHyphens/>
        <w:spacing w:after="0"/>
        <w:jc w:val="left"/>
      </w:pPr>
      <w:r w:rsidRPr="00175174">
        <w:fldChar w:fldCharType="begin"/>
      </w:r>
      <w:r w:rsidRPr="00175174">
        <w:instrText xml:space="preserve"> REF _Ref211854293 \h </w:instrText>
      </w:r>
      <w:r w:rsidRPr="00175174" w:rsidR="00175174">
        <w:instrText xml:space="preserve"> \* MERGEFORMAT </w:instrText>
      </w:r>
      <w:r w:rsidRPr="00175174">
        <w:fldChar w:fldCharType="separate"/>
      </w:r>
      <w:r w:rsidRPr="00175174" w:rsidR="00175174">
        <w:t xml:space="preserve">Tabel </w:t>
      </w:r>
      <w:r w:rsidR="00175174">
        <w:rPr>
          <w:noProof/>
        </w:rPr>
        <w:t>3</w:t>
      </w:r>
      <w:r w:rsidRPr="00175174">
        <w:fldChar w:fldCharType="end"/>
      </w:r>
      <w:r w:rsidRPr="00175174" w:rsidR="004D087F">
        <w:t xml:space="preserve"> </w:t>
      </w:r>
      <w:r w:rsidRPr="00175174" w:rsidR="009F4BF6">
        <w:t>geeft</w:t>
      </w:r>
      <w:r w:rsidRPr="00175174" w:rsidR="003F14E7">
        <w:t xml:space="preserve"> een overzicht van de</w:t>
      </w:r>
      <w:r w:rsidRPr="00175174" w:rsidR="009F4BF6">
        <w:t xml:space="preserve"> mijlpalen </w:t>
      </w:r>
      <w:r w:rsidRPr="00175174" w:rsidR="003F14E7">
        <w:t>van</w:t>
      </w:r>
      <w:r w:rsidRPr="00175174" w:rsidR="009F4BF6">
        <w:t xml:space="preserve"> het PALLAS-nieuwbouwprogramma </w:t>
      </w:r>
      <w:r w:rsidRPr="00175174" w:rsidR="003F14E7">
        <w:t>inclusief</w:t>
      </w:r>
      <w:r w:rsidRPr="00175174" w:rsidR="009F4BF6">
        <w:t xml:space="preserve"> de drie </w:t>
      </w:r>
      <w:r w:rsidRPr="00175174" w:rsidR="003F14E7">
        <w:t>deelprojecten</w:t>
      </w:r>
      <w:r w:rsidRPr="00175174" w:rsidR="009F4BF6">
        <w:t xml:space="preserve"> op basis van P50-waarden. </w:t>
      </w:r>
    </w:p>
    <w:p w:rsidRPr="00175174" w:rsidR="00540A77" w:rsidP="00175174" w:rsidRDefault="00540A77" w14:paraId="03E2031E" w14:textId="77777777">
      <w:pPr>
        <w:suppressAutoHyphens/>
        <w:spacing w:after="0"/>
        <w:jc w:val="left"/>
      </w:pPr>
    </w:p>
    <w:p w:rsidRPr="00175174" w:rsidR="00013E74" w:rsidP="00175174" w:rsidRDefault="00013E74" w14:paraId="6DAB60DD" w14:textId="7C9A0A22">
      <w:pPr>
        <w:pStyle w:val="Bijschrift"/>
        <w:keepNext/>
        <w:suppressAutoHyphens/>
      </w:pPr>
      <w:bookmarkStart w:name="_Ref211854293" w:id="29"/>
      <w:r w:rsidRPr="00175174">
        <w:t xml:space="preserve">Tabel </w:t>
      </w:r>
      <w:r w:rsidRPr="00175174" w:rsidR="00EE7376">
        <w:fldChar w:fldCharType="begin"/>
      </w:r>
      <w:r w:rsidRPr="00175174" w:rsidR="00EE7376">
        <w:instrText xml:space="preserve"> SEQ Tabel \* ARABIC </w:instrText>
      </w:r>
      <w:r w:rsidRPr="00175174" w:rsidR="00EE7376">
        <w:fldChar w:fldCharType="separate"/>
      </w:r>
      <w:r w:rsidR="00175174">
        <w:rPr>
          <w:noProof/>
        </w:rPr>
        <w:t>3</w:t>
      </w:r>
      <w:r w:rsidRPr="00175174" w:rsidR="00EE7376">
        <w:rPr>
          <w:noProof/>
        </w:rPr>
        <w:fldChar w:fldCharType="end"/>
      </w:r>
      <w:bookmarkEnd w:id="29"/>
      <w:r w:rsidRPr="00175174">
        <w:t>. Mijlpalen en bijbehorende data (P50 waarden).</w:t>
      </w:r>
    </w:p>
    <w:tbl>
      <w:tblPr>
        <w:tblStyle w:val="Tabelraster"/>
        <w:tblW w:w="7933" w:type="dxa"/>
        <w:tblLayout w:type="fixed"/>
        <w:tblLook w:val="04A0" w:firstRow="1" w:lastRow="0" w:firstColumn="1" w:lastColumn="0" w:noHBand="0" w:noVBand="1"/>
      </w:tblPr>
      <w:tblGrid>
        <w:gridCol w:w="364"/>
        <w:gridCol w:w="2750"/>
        <w:gridCol w:w="1412"/>
        <w:gridCol w:w="1198"/>
        <w:gridCol w:w="968"/>
        <w:gridCol w:w="1241"/>
      </w:tblGrid>
      <w:tr w:rsidRPr="00175174" w:rsidR="004D087F" w:rsidTr="00261EA0" w14:paraId="1D64ACFF" w14:textId="77777777">
        <w:trPr>
          <w:tblHeader/>
        </w:trPr>
        <w:tc>
          <w:tcPr>
            <w:tcW w:w="3114" w:type="dxa"/>
            <w:gridSpan w:val="2"/>
            <w:tcBorders>
              <w:top w:val="single" w:color="auto" w:sz="4" w:space="0"/>
              <w:left w:val="single" w:color="auto" w:sz="4" w:space="0"/>
              <w:bottom w:val="single" w:color="auto" w:sz="4" w:space="0"/>
              <w:right w:val="single" w:color="auto" w:sz="4" w:space="0"/>
            </w:tcBorders>
            <w:shd w:val="clear" w:color="auto" w:fill="00305B"/>
            <w:vAlign w:val="center"/>
          </w:tcPr>
          <w:p w:rsidRPr="00175174" w:rsidR="004D087F" w:rsidP="00175174" w:rsidRDefault="004D087F" w14:paraId="2C0A1EB8" w14:textId="77777777">
            <w:pPr>
              <w:suppressAutoHyphens/>
              <w:jc w:val="left"/>
              <w:rPr>
                <w:b/>
                <w:bCs/>
                <w:color w:val="FFFFFF" w:themeColor="background1"/>
                <w:lang w:val="nl-NL"/>
              </w:rPr>
            </w:pPr>
            <w:bookmarkStart w:name="_Hlk163570180" w:id="30"/>
            <w:r w:rsidRPr="00175174">
              <w:rPr>
                <w:b/>
                <w:bCs/>
                <w:color w:val="FFFFFF" w:themeColor="background1"/>
                <w:lang w:val="nl-NL"/>
              </w:rPr>
              <w:t>Mijlpalen</w:t>
            </w:r>
          </w:p>
        </w:tc>
        <w:tc>
          <w:tcPr>
            <w:tcW w:w="1412" w:type="dxa"/>
            <w:tcBorders>
              <w:top w:val="single" w:color="auto" w:sz="4" w:space="0"/>
              <w:left w:val="single" w:color="auto" w:sz="4" w:space="0"/>
              <w:bottom w:val="single" w:color="auto" w:sz="4" w:space="0"/>
              <w:right w:val="single" w:color="auto" w:sz="4" w:space="0"/>
            </w:tcBorders>
            <w:shd w:val="clear" w:color="auto" w:fill="00305B"/>
            <w:vAlign w:val="center"/>
          </w:tcPr>
          <w:p w:rsidRPr="00175174" w:rsidR="004D087F" w:rsidP="00175174" w:rsidRDefault="00A47309" w14:paraId="1B493790" w14:textId="5B40A5B7">
            <w:pPr>
              <w:suppressAutoHyphens/>
              <w:jc w:val="left"/>
              <w:rPr>
                <w:b/>
                <w:bCs/>
                <w:color w:val="FFFFFF" w:themeColor="background1"/>
                <w:lang w:val="nl-NL"/>
              </w:rPr>
            </w:pPr>
            <w:r w:rsidRPr="00175174">
              <w:rPr>
                <w:b/>
                <w:bCs/>
                <w:color w:val="FFFFFF" w:themeColor="background1"/>
                <w:lang w:val="nl-NL"/>
              </w:rPr>
              <w:t>Tweede Basis-rapportage</w:t>
            </w:r>
          </w:p>
        </w:tc>
        <w:tc>
          <w:tcPr>
            <w:tcW w:w="1198" w:type="dxa"/>
            <w:tcBorders>
              <w:top w:val="single" w:color="auto" w:sz="4" w:space="0"/>
              <w:left w:val="single" w:color="auto" w:sz="4" w:space="0"/>
              <w:bottom w:val="single" w:color="auto" w:sz="4" w:space="0"/>
              <w:right w:val="single" w:color="auto" w:sz="4" w:space="0"/>
            </w:tcBorders>
            <w:shd w:val="clear" w:color="auto" w:fill="00305B"/>
            <w:vAlign w:val="center"/>
          </w:tcPr>
          <w:p w:rsidRPr="00175174" w:rsidR="004D087F" w:rsidP="00175174" w:rsidRDefault="004D087F" w14:paraId="62E5440F" w14:textId="77777777">
            <w:pPr>
              <w:suppressAutoHyphens/>
              <w:jc w:val="left"/>
              <w:rPr>
                <w:b/>
                <w:bCs/>
                <w:color w:val="FFFFFF" w:themeColor="background1"/>
                <w:lang w:val="nl-NL"/>
              </w:rPr>
            </w:pPr>
            <w:r w:rsidRPr="00175174">
              <w:rPr>
                <w:b/>
                <w:bCs/>
                <w:color w:val="FFFFFF" w:themeColor="background1"/>
                <w:lang w:val="nl-NL"/>
              </w:rPr>
              <w:t>Status</w:t>
            </w:r>
          </w:p>
        </w:tc>
        <w:tc>
          <w:tcPr>
            <w:tcW w:w="968" w:type="dxa"/>
            <w:tcBorders>
              <w:top w:val="single" w:color="auto" w:sz="4" w:space="0"/>
              <w:left w:val="single" w:color="auto" w:sz="4" w:space="0"/>
              <w:bottom w:val="single" w:color="auto" w:sz="4" w:space="0"/>
              <w:right w:val="single" w:color="auto" w:sz="4" w:space="0"/>
            </w:tcBorders>
            <w:shd w:val="clear" w:color="auto" w:fill="00305B"/>
            <w:vAlign w:val="center"/>
          </w:tcPr>
          <w:p w:rsidRPr="00175174" w:rsidR="004D087F" w:rsidP="00175174" w:rsidRDefault="004D087F" w14:paraId="1070EEDC" w14:textId="77777777">
            <w:pPr>
              <w:suppressAutoHyphens/>
              <w:jc w:val="left"/>
              <w:rPr>
                <w:b/>
                <w:bCs/>
                <w:color w:val="FFFFFF" w:themeColor="background1"/>
                <w:lang w:val="nl-NL"/>
              </w:rPr>
            </w:pPr>
            <w:r w:rsidRPr="00175174">
              <w:rPr>
                <w:b/>
                <w:bCs/>
                <w:color w:val="FFFFFF" w:themeColor="background1"/>
                <w:lang w:val="nl-NL"/>
              </w:rPr>
              <w:t>Mutatie</w:t>
            </w:r>
          </w:p>
        </w:tc>
        <w:tc>
          <w:tcPr>
            <w:tcW w:w="1241" w:type="dxa"/>
            <w:tcBorders>
              <w:top w:val="single" w:color="auto" w:sz="4" w:space="0"/>
              <w:left w:val="single" w:color="auto" w:sz="4" w:space="0"/>
              <w:bottom w:val="single" w:color="auto" w:sz="4" w:space="0"/>
              <w:right w:val="single" w:color="auto" w:sz="4" w:space="0"/>
            </w:tcBorders>
            <w:shd w:val="clear" w:color="auto" w:fill="00305B"/>
            <w:vAlign w:val="center"/>
          </w:tcPr>
          <w:p w:rsidRPr="00175174" w:rsidR="004D087F" w:rsidP="00175174" w:rsidRDefault="004D087F" w14:paraId="5788279E" w14:textId="5FA7E017">
            <w:pPr>
              <w:suppressAutoHyphens/>
              <w:jc w:val="left"/>
              <w:rPr>
                <w:b/>
                <w:bCs/>
                <w:color w:val="FFFFFF" w:themeColor="background1"/>
                <w:lang w:val="nl-NL"/>
              </w:rPr>
            </w:pPr>
            <w:r w:rsidRPr="00175174">
              <w:rPr>
                <w:b/>
                <w:bCs/>
                <w:color w:val="FFFFFF" w:themeColor="background1"/>
                <w:lang w:val="nl-NL"/>
              </w:rPr>
              <w:t>Actuele prognose</w:t>
            </w:r>
            <w:r w:rsidRPr="00175174">
              <w:rPr>
                <w:b/>
                <w:bCs/>
                <w:color w:val="FFFFFF" w:themeColor="background1"/>
                <w:lang w:val="nl-NL"/>
              </w:rPr>
              <w:br/>
            </w:r>
            <w:r w:rsidRPr="00175174" w:rsidR="003C6DD8">
              <w:rPr>
                <w:b/>
                <w:bCs/>
                <w:color w:val="FFFFFF" w:themeColor="background1"/>
                <w:lang w:val="nl-NL"/>
              </w:rPr>
              <w:t>31-12-2025</w:t>
            </w:r>
          </w:p>
        </w:tc>
      </w:tr>
      <w:tr w:rsidRPr="00175174" w:rsidR="004D087F" w:rsidTr="00261EA0" w14:paraId="46BD936C" w14:textId="77777777">
        <w:trPr>
          <w:tblHeader/>
        </w:trPr>
        <w:tc>
          <w:tcPr>
            <w:tcW w:w="7933" w:type="dxa"/>
            <w:gridSpan w:val="6"/>
            <w:tcBorders>
              <w:top w:val="single" w:color="auto" w:sz="4" w:space="0"/>
            </w:tcBorders>
            <w:shd w:val="clear" w:color="auto" w:fill="76D2B6"/>
          </w:tcPr>
          <w:p w:rsidRPr="00175174" w:rsidR="004D087F" w:rsidP="00175174" w:rsidRDefault="004D087F" w14:paraId="3A4D68E3" w14:textId="77777777">
            <w:pPr>
              <w:suppressAutoHyphens/>
              <w:jc w:val="left"/>
              <w:rPr>
                <w:lang w:val="nl-NL"/>
              </w:rPr>
            </w:pPr>
            <w:r w:rsidRPr="00175174">
              <w:rPr>
                <w:lang w:val="nl-NL"/>
              </w:rPr>
              <w:t>PALLAS-nieuwbouwprogramma</w:t>
            </w:r>
          </w:p>
        </w:tc>
      </w:tr>
      <w:tr w:rsidRPr="00175174" w:rsidR="004D087F" w:rsidTr="00261EA0" w14:paraId="794FD2C0" w14:textId="77777777">
        <w:trPr>
          <w:tblHeader/>
        </w:trPr>
        <w:tc>
          <w:tcPr>
            <w:tcW w:w="364" w:type="dxa"/>
            <w:tcBorders>
              <w:bottom w:val="single" w:color="auto" w:sz="4" w:space="0"/>
            </w:tcBorders>
          </w:tcPr>
          <w:p w:rsidRPr="00175174" w:rsidR="004D087F" w:rsidP="00175174" w:rsidRDefault="004D087F" w14:paraId="71CD7098" w14:textId="77777777">
            <w:pPr>
              <w:suppressAutoHyphens/>
              <w:jc w:val="left"/>
              <w:rPr>
                <w:lang w:val="nl-NL"/>
              </w:rPr>
            </w:pPr>
          </w:p>
        </w:tc>
        <w:tc>
          <w:tcPr>
            <w:tcW w:w="2750" w:type="dxa"/>
            <w:tcBorders>
              <w:bottom w:val="single" w:color="auto" w:sz="4" w:space="0"/>
            </w:tcBorders>
            <w:vAlign w:val="center"/>
          </w:tcPr>
          <w:p w:rsidRPr="00175174" w:rsidR="004D087F" w:rsidP="00175174" w:rsidRDefault="004D087F" w14:paraId="716579AB" w14:textId="77777777">
            <w:pPr>
              <w:suppressAutoHyphens/>
              <w:jc w:val="left"/>
              <w:rPr>
                <w:lang w:val="nl-NL"/>
              </w:rPr>
            </w:pPr>
            <w:r w:rsidRPr="00175174">
              <w:rPr>
                <w:lang w:val="nl-NL"/>
              </w:rPr>
              <w:t>PALLAS-nieuwbouwprogramma gereed</w:t>
            </w:r>
          </w:p>
        </w:tc>
        <w:tc>
          <w:tcPr>
            <w:tcW w:w="1412" w:type="dxa"/>
            <w:tcBorders>
              <w:bottom w:val="single" w:color="auto" w:sz="4" w:space="0"/>
            </w:tcBorders>
            <w:vAlign w:val="center"/>
          </w:tcPr>
          <w:p w:rsidRPr="00175174" w:rsidR="004D087F" w:rsidP="00175174" w:rsidRDefault="004D087F" w14:paraId="5CF9781A" w14:textId="427B25F9">
            <w:pPr>
              <w:suppressAutoHyphens/>
              <w:jc w:val="left"/>
              <w:rPr>
                <w:lang w:val="nl-NL"/>
              </w:rPr>
            </w:pPr>
            <w:r w:rsidRPr="00175174">
              <w:rPr>
                <w:lang w:val="nl-NL"/>
              </w:rPr>
              <w:t>203</w:t>
            </w:r>
            <w:r w:rsidRPr="00175174" w:rsidR="00C40A3F">
              <w:rPr>
                <w:lang w:val="nl-NL"/>
              </w:rPr>
              <w:t>2</w:t>
            </w:r>
          </w:p>
        </w:tc>
        <w:tc>
          <w:tcPr>
            <w:tcW w:w="1198" w:type="dxa"/>
            <w:tcBorders>
              <w:bottom w:val="single" w:color="auto" w:sz="4" w:space="0"/>
            </w:tcBorders>
            <w:vAlign w:val="center"/>
          </w:tcPr>
          <w:p w:rsidRPr="00175174" w:rsidR="004D087F" w:rsidP="00175174" w:rsidRDefault="00B31EF0" w14:paraId="69815556" w14:textId="11675BB2">
            <w:pPr>
              <w:suppressAutoHyphens/>
              <w:jc w:val="left"/>
              <w:rPr>
                <w:lang w:val="nl-NL"/>
              </w:rPr>
            </w:pPr>
            <w:r w:rsidRPr="00175174">
              <w:rPr>
                <w:lang w:val="nl-NL"/>
              </w:rPr>
              <w:t>Nog niet opgeleverd</w:t>
            </w:r>
          </w:p>
        </w:tc>
        <w:tc>
          <w:tcPr>
            <w:tcW w:w="968" w:type="dxa"/>
            <w:tcBorders>
              <w:bottom w:val="single" w:color="auto" w:sz="4" w:space="0"/>
            </w:tcBorders>
            <w:shd w:val="clear" w:color="auto" w:fill="auto"/>
            <w:vAlign w:val="center"/>
          </w:tcPr>
          <w:p w:rsidRPr="00175174" w:rsidR="004D087F" w:rsidP="00175174" w:rsidRDefault="00C40A3F" w14:paraId="21B3A08E" w14:textId="284090C1">
            <w:pPr>
              <w:suppressAutoHyphens/>
              <w:jc w:val="left"/>
              <w:rPr>
                <w:lang w:val="nl-NL"/>
              </w:rPr>
            </w:pPr>
            <w:r w:rsidRPr="00175174">
              <w:rPr>
                <w:lang w:val="nl-NL"/>
              </w:rPr>
              <w:t>-</w:t>
            </w:r>
          </w:p>
        </w:tc>
        <w:tc>
          <w:tcPr>
            <w:tcW w:w="1241" w:type="dxa"/>
            <w:tcBorders>
              <w:bottom w:val="single" w:color="auto" w:sz="4" w:space="0"/>
            </w:tcBorders>
            <w:vAlign w:val="center"/>
          </w:tcPr>
          <w:p w:rsidRPr="00175174" w:rsidR="004D087F" w:rsidP="00175174" w:rsidRDefault="004D087F" w14:paraId="03233909" w14:textId="77777777">
            <w:pPr>
              <w:suppressAutoHyphens/>
              <w:jc w:val="left"/>
              <w:rPr>
                <w:lang w:val="nl-NL"/>
              </w:rPr>
            </w:pPr>
            <w:r w:rsidRPr="00175174">
              <w:rPr>
                <w:lang w:val="nl-NL"/>
              </w:rPr>
              <w:t>2032</w:t>
            </w:r>
          </w:p>
        </w:tc>
      </w:tr>
      <w:tr w:rsidRPr="00175174" w:rsidR="004D087F" w:rsidTr="00261EA0" w14:paraId="086EAB07" w14:textId="77777777">
        <w:trPr>
          <w:trHeight w:val="248"/>
          <w:tblHeader/>
        </w:trPr>
        <w:tc>
          <w:tcPr>
            <w:tcW w:w="7933" w:type="dxa"/>
            <w:gridSpan w:val="6"/>
            <w:shd w:val="clear" w:color="auto" w:fill="76D2B6"/>
          </w:tcPr>
          <w:p w:rsidRPr="00175174" w:rsidR="004D087F" w:rsidP="00175174" w:rsidRDefault="004D087F" w14:paraId="065510B5" w14:textId="23567EBC">
            <w:pPr>
              <w:pStyle w:val="Lijstalinea"/>
              <w:numPr>
                <w:ilvl w:val="0"/>
                <w:numId w:val="23"/>
              </w:numPr>
              <w:suppressAutoHyphens/>
              <w:ind w:left="316" w:hanging="284"/>
              <w:jc w:val="left"/>
              <w:rPr>
                <w:lang w:val="nl-NL"/>
              </w:rPr>
            </w:pPr>
            <w:r w:rsidRPr="00175174">
              <w:rPr>
                <w:lang w:val="nl-NL"/>
              </w:rPr>
              <w:t>PALLAS-reactor</w:t>
            </w:r>
          </w:p>
        </w:tc>
      </w:tr>
      <w:tr w:rsidRPr="00175174" w:rsidR="004D087F" w:rsidTr="00261EA0" w14:paraId="3E410640" w14:textId="77777777">
        <w:trPr>
          <w:tblHeader/>
        </w:trPr>
        <w:tc>
          <w:tcPr>
            <w:tcW w:w="364" w:type="dxa"/>
            <w:tcBorders>
              <w:bottom w:val="single" w:color="auto" w:sz="4" w:space="0"/>
            </w:tcBorders>
          </w:tcPr>
          <w:p w:rsidRPr="00175174" w:rsidR="004D087F" w:rsidP="00175174" w:rsidRDefault="004D087F" w14:paraId="18A3D2A9" w14:textId="77777777">
            <w:pPr>
              <w:suppressAutoHyphens/>
              <w:jc w:val="left"/>
              <w:rPr>
                <w:lang w:val="nl-NL"/>
              </w:rPr>
            </w:pPr>
          </w:p>
        </w:tc>
        <w:tc>
          <w:tcPr>
            <w:tcW w:w="2750" w:type="dxa"/>
            <w:tcBorders>
              <w:bottom w:val="single" w:color="auto" w:sz="4" w:space="0"/>
            </w:tcBorders>
          </w:tcPr>
          <w:p w:rsidRPr="00175174" w:rsidR="004D087F" w:rsidP="00175174" w:rsidRDefault="004D087F" w14:paraId="5FD549D3" w14:textId="77777777">
            <w:pPr>
              <w:suppressAutoHyphens/>
              <w:jc w:val="left"/>
              <w:rPr>
                <w:lang w:val="nl-NL"/>
              </w:rPr>
            </w:pPr>
            <w:r w:rsidRPr="00175174">
              <w:rPr>
                <w:lang w:val="nl-NL"/>
              </w:rPr>
              <w:t>Commerciële inbedrijfname PALLAS-reactor</w:t>
            </w:r>
          </w:p>
        </w:tc>
        <w:tc>
          <w:tcPr>
            <w:tcW w:w="1412" w:type="dxa"/>
            <w:tcBorders>
              <w:bottom w:val="single" w:color="auto" w:sz="4" w:space="0"/>
            </w:tcBorders>
          </w:tcPr>
          <w:p w:rsidRPr="00175174" w:rsidR="004D087F" w:rsidP="00175174" w:rsidRDefault="004D087F" w14:paraId="147E18D8" w14:textId="2B87E03F">
            <w:pPr>
              <w:suppressAutoHyphens/>
              <w:jc w:val="left"/>
              <w:rPr>
                <w:lang w:val="nl-NL"/>
              </w:rPr>
            </w:pPr>
            <w:r w:rsidRPr="00175174">
              <w:rPr>
                <w:lang w:val="nl-NL"/>
              </w:rPr>
              <w:t>203</w:t>
            </w:r>
            <w:r w:rsidRPr="00175174" w:rsidR="00C40A3F">
              <w:rPr>
                <w:lang w:val="nl-NL"/>
              </w:rPr>
              <w:t>2</w:t>
            </w:r>
          </w:p>
        </w:tc>
        <w:tc>
          <w:tcPr>
            <w:tcW w:w="1198" w:type="dxa"/>
            <w:tcBorders>
              <w:bottom w:val="single" w:color="auto" w:sz="4" w:space="0"/>
            </w:tcBorders>
          </w:tcPr>
          <w:p w:rsidRPr="00175174" w:rsidR="004D087F" w:rsidP="00175174" w:rsidRDefault="004D087F" w14:paraId="448BCD3E" w14:textId="77777777">
            <w:pPr>
              <w:suppressAutoHyphens/>
              <w:jc w:val="left"/>
              <w:rPr>
                <w:lang w:val="nl-NL"/>
              </w:rPr>
            </w:pPr>
            <w:r w:rsidRPr="00175174">
              <w:rPr>
                <w:lang w:val="nl-NL"/>
              </w:rPr>
              <w:t>Nog niet opgeleverd</w:t>
            </w:r>
          </w:p>
        </w:tc>
        <w:tc>
          <w:tcPr>
            <w:tcW w:w="968" w:type="dxa"/>
            <w:tcBorders>
              <w:bottom w:val="single" w:color="auto" w:sz="4" w:space="0"/>
            </w:tcBorders>
            <w:shd w:val="clear" w:color="auto" w:fill="auto"/>
          </w:tcPr>
          <w:p w:rsidRPr="00175174" w:rsidR="004D087F" w:rsidP="00175174" w:rsidRDefault="00C40A3F" w14:paraId="424D94E5" w14:textId="7C44E492">
            <w:pPr>
              <w:suppressAutoHyphens/>
              <w:jc w:val="left"/>
              <w:rPr>
                <w:lang w:val="nl-NL"/>
              </w:rPr>
            </w:pPr>
            <w:r w:rsidRPr="00175174">
              <w:rPr>
                <w:lang w:val="nl-NL"/>
              </w:rPr>
              <w:t>-</w:t>
            </w:r>
          </w:p>
        </w:tc>
        <w:tc>
          <w:tcPr>
            <w:tcW w:w="1241" w:type="dxa"/>
            <w:tcBorders>
              <w:bottom w:val="single" w:color="auto" w:sz="4" w:space="0"/>
            </w:tcBorders>
          </w:tcPr>
          <w:p w:rsidRPr="00175174" w:rsidR="004D087F" w:rsidP="00175174" w:rsidRDefault="004D087F" w14:paraId="3555F912" w14:textId="77777777">
            <w:pPr>
              <w:suppressAutoHyphens/>
              <w:jc w:val="left"/>
              <w:rPr>
                <w:lang w:val="nl-NL"/>
              </w:rPr>
            </w:pPr>
            <w:r w:rsidRPr="00175174">
              <w:rPr>
                <w:lang w:val="nl-NL"/>
              </w:rPr>
              <w:t>2032</w:t>
            </w:r>
          </w:p>
        </w:tc>
      </w:tr>
      <w:tr w:rsidRPr="00175174" w:rsidR="004D087F" w:rsidTr="00261EA0" w14:paraId="212321EE" w14:textId="77777777">
        <w:trPr>
          <w:tblHeader/>
        </w:trPr>
        <w:tc>
          <w:tcPr>
            <w:tcW w:w="7933" w:type="dxa"/>
            <w:gridSpan w:val="6"/>
            <w:shd w:val="clear" w:color="auto" w:fill="76D2B6"/>
          </w:tcPr>
          <w:p w:rsidRPr="00175174" w:rsidR="004D087F" w:rsidP="00175174" w:rsidRDefault="004D087F" w14:paraId="5F998F81" w14:textId="47363314">
            <w:pPr>
              <w:pStyle w:val="Lijstalinea"/>
              <w:numPr>
                <w:ilvl w:val="0"/>
                <w:numId w:val="23"/>
              </w:numPr>
              <w:suppressAutoHyphens/>
              <w:ind w:left="316" w:hanging="284"/>
              <w:jc w:val="left"/>
              <w:rPr>
                <w:lang w:val="nl-NL"/>
              </w:rPr>
            </w:pPr>
            <w:r w:rsidRPr="00175174">
              <w:rPr>
                <w:lang w:val="nl-NL"/>
              </w:rPr>
              <w:t xml:space="preserve">Processing </w:t>
            </w:r>
            <w:proofErr w:type="spellStart"/>
            <w:r w:rsidRPr="00175174">
              <w:rPr>
                <w:lang w:val="nl-NL"/>
              </w:rPr>
              <w:t>Facilities</w:t>
            </w:r>
            <w:proofErr w:type="spellEnd"/>
            <w:r w:rsidRPr="00175174" w:rsidR="00C40A3F">
              <w:rPr>
                <w:lang w:val="nl-NL"/>
              </w:rPr>
              <w:t xml:space="preserve"> – NHC fase 1</w:t>
            </w:r>
          </w:p>
        </w:tc>
      </w:tr>
      <w:tr w:rsidRPr="00175174" w:rsidR="004D087F" w:rsidTr="00261EA0" w14:paraId="786783F0" w14:textId="77777777">
        <w:trPr>
          <w:tblHeader/>
        </w:trPr>
        <w:tc>
          <w:tcPr>
            <w:tcW w:w="364" w:type="dxa"/>
            <w:tcBorders>
              <w:bottom w:val="single" w:color="auto" w:sz="4" w:space="0"/>
            </w:tcBorders>
          </w:tcPr>
          <w:p w:rsidRPr="00175174" w:rsidR="004D087F" w:rsidP="00175174" w:rsidRDefault="004D087F" w14:paraId="5BD967AC" w14:textId="77777777">
            <w:pPr>
              <w:suppressAutoHyphens/>
              <w:jc w:val="left"/>
              <w:rPr>
                <w:lang w:val="nl-NL"/>
              </w:rPr>
            </w:pPr>
          </w:p>
        </w:tc>
        <w:tc>
          <w:tcPr>
            <w:tcW w:w="2750" w:type="dxa"/>
            <w:tcBorders>
              <w:bottom w:val="single" w:color="auto" w:sz="4" w:space="0"/>
            </w:tcBorders>
          </w:tcPr>
          <w:p w:rsidRPr="00175174" w:rsidR="004D087F" w:rsidP="00175174" w:rsidRDefault="004D087F" w14:paraId="3E6B24E0" w14:textId="77777777">
            <w:pPr>
              <w:suppressAutoHyphens/>
              <w:jc w:val="left"/>
              <w:rPr>
                <w:lang w:val="nl-NL"/>
              </w:rPr>
            </w:pPr>
            <w:r w:rsidRPr="00175174">
              <w:rPr>
                <w:lang w:val="nl-NL"/>
              </w:rPr>
              <w:t>Commerciële inbedrijfname Processing Faciliteit</w:t>
            </w:r>
          </w:p>
        </w:tc>
        <w:tc>
          <w:tcPr>
            <w:tcW w:w="1412" w:type="dxa"/>
            <w:tcBorders>
              <w:bottom w:val="single" w:color="auto" w:sz="4" w:space="0"/>
            </w:tcBorders>
          </w:tcPr>
          <w:p w:rsidRPr="00175174" w:rsidR="004D087F" w:rsidP="00175174" w:rsidRDefault="00C40A3F" w14:paraId="2F7274BA" w14:textId="3544B6CF">
            <w:pPr>
              <w:suppressAutoHyphens/>
              <w:jc w:val="left"/>
              <w:rPr>
                <w:lang w:val="nl-NL"/>
              </w:rPr>
            </w:pPr>
            <w:r w:rsidRPr="00175174">
              <w:rPr>
                <w:lang w:val="nl-NL"/>
              </w:rPr>
              <w:t>2029</w:t>
            </w:r>
          </w:p>
        </w:tc>
        <w:tc>
          <w:tcPr>
            <w:tcW w:w="1198" w:type="dxa"/>
            <w:tcBorders>
              <w:bottom w:val="single" w:color="auto" w:sz="4" w:space="0"/>
            </w:tcBorders>
          </w:tcPr>
          <w:p w:rsidRPr="00175174" w:rsidR="004D087F" w:rsidP="00175174" w:rsidRDefault="004D087F" w14:paraId="54F4C4C2" w14:textId="77777777">
            <w:pPr>
              <w:suppressAutoHyphens/>
              <w:jc w:val="left"/>
              <w:rPr>
                <w:lang w:val="nl-NL"/>
              </w:rPr>
            </w:pPr>
            <w:r w:rsidRPr="00175174">
              <w:rPr>
                <w:lang w:val="nl-NL"/>
              </w:rPr>
              <w:t>Nog niet opgeleverd</w:t>
            </w:r>
          </w:p>
        </w:tc>
        <w:tc>
          <w:tcPr>
            <w:tcW w:w="968" w:type="dxa"/>
            <w:tcBorders>
              <w:bottom w:val="single" w:color="auto" w:sz="4" w:space="0"/>
            </w:tcBorders>
            <w:shd w:val="clear" w:color="auto" w:fill="auto"/>
          </w:tcPr>
          <w:p w:rsidRPr="00175174" w:rsidR="004D087F" w:rsidP="00175174" w:rsidRDefault="00C40A3F" w14:paraId="4D2D215D" w14:textId="278B43F7">
            <w:pPr>
              <w:suppressAutoHyphens/>
              <w:jc w:val="left"/>
              <w:rPr>
                <w:lang w:val="nl-NL"/>
              </w:rPr>
            </w:pPr>
            <w:r w:rsidRPr="00175174">
              <w:rPr>
                <w:lang w:val="nl-NL"/>
              </w:rPr>
              <w:t>-</w:t>
            </w:r>
          </w:p>
        </w:tc>
        <w:tc>
          <w:tcPr>
            <w:tcW w:w="1241" w:type="dxa"/>
            <w:tcBorders>
              <w:bottom w:val="single" w:color="auto" w:sz="4" w:space="0"/>
            </w:tcBorders>
          </w:tcPr>
          <w:p w:rsidRPr="00175174" w:rsidR="004D087F" w:rsidP="00175174" w:rsidRDefault="004D087F" w14:paraId="5765D349" w14:textId="77777777">
            <w:pPr>
              <w:suppressAutoHyphens/>
              <w:jc w:val="left"/>
              <w:rPr>
                <w:lang w:val="nl-NL"/>
              </w:rPr>
            </w:pPr>
            <w:r w:rsidRPr="00175174">
              <w:rPr>
                <w:lang w:val="nl-NL"/>
              </w:rPr>
              <w:t>2029</w:t>
            </w:r>
          </w:p>
        </w:tc>
      </w:tr>
      <w:tr w:rsidRPr="00175174" w:rsidR="004D087F" w:rsidTr="00261EA0" w14:paraId="71980F24" w14:textId="77777777">
        <w:trPr>
          <w:tblHeader/>
        </w:trPr>
        <w:tc>
          <w:tcPr>
            <w:tcW w:w="7933" w:type="dxa"/>
            <w:gridSpan w:val="6"/>
            <w:shd w:val="clear" w:color="auto" w:fill="76D2B6"/>
          </w:tcPr>
          <w:p w:rsidRPr="00175174" w:rsidR="004D087F" w:rsidP="00175174" w:rsidRDefault="004D087F" w14:paraId="363D8806" w14:textId="21CD2ABC">
            <w:pPr>
              <w:pStyle w:val="Lijstalinea"/>
              <w:numPr>
                <w:ilvl w:val="0"/>
                <w:numId w:val="23"/>
              </w:numPr>
              <w:suppressAutoHyphens/>
              <w:ind w:left="316" w:hanging="284"/>
              <w:jc w:val="left"/>
              <w:rPr>
                <w:lang w:val="nl-NL"/>
              </w:rPr>
            </w:pPr>
            <w:proofErr w:type="spellStart"/>
            <w:r w:rsidRPr="00175174">
              <w:rPr>
                <w:lang w:val="nl-NL"/>
              </w:rPr>
              <w:t>Operational</w:t>
            </w:r>
            <w:proofErr w:type="spellEnd"/>
            <w:r w:rsidRPr="00175174">
              <w:rPr>
                <w:lang w:val="nl-NL"/>
              </w:rPr>
              <w:t xml:space="preserve"> Readiness</w:t>
            </w:r>
          </w:p>
        </w:tc>
      </w:tr>
      <w:tr w:rsidRPr="00175174" w:rsidR="004D087F" w:rsidTr="00261EA0" w14:paraId="2E5E1B87" w14:textId="77777777">
        <w:trPr>
          <w:tblHeader/>
        </w:trPr>
        <w:tc>
          <w:tcPr>
            <w:tcW w:w="364" w:type="dxa"/>
          </w:tcPr>
          <w:p w:rsidRPr="00175174" w:rsidR="004D087F" w:rsidP="00175174" w:rsidRDefault="004D087F" w14:paraId="7189C46C" w14:textId="77777777">
            <w:pPr>
              <w:suppressAutoHyphens/>
              <w:jc w:val="left"/>
              <w:rPr>
                <w:lang w:val="nl-NL"/>
              </w:rPr>
            </w:pPr>
          </w:p>
        </w:tc>
        <w:tc>
          <w:tcPr>
            <w:tcW w:w="2750" w:type="dxa"/>
          </w:tcPr>
          <w:p w:rsidRPr="00175174" w:rsidR="004D087F" w:rsidP="00175174" w:rsidRDefault="004D087F" w14:paraId="4D415640" w14:textId="77777777">
            <w:pPr>
              <w:suppressAutoHyphens/>
              <w:jc w:val="left"/>
              <w:rPr>
                <w:lang w:val="nl-NL"/>
              </w:rPr>
            </w:pPr>
            <w:r w:rsidRPr="00175174">
              <w:rPr>
                <w:lang w:val="nl-NL"/>
              </w:rPr>
              <w:t xml:space="preserve">Organisatie geschikt voor start bedrijfsvoering Processing </w:t>
            </w:r>
            <w:proofErr w:type="spellStart"/>
            <w:r w:rsidRPr="00175174">
              <w:rPr>
                <w:lang w:val="nl-NL"/>
              </w:rPr>
              <w:t>Facilities</w:t>
            </w:r>
            <w:proofErr w:type="spellEnd"/>
          </w:p>
        </w:tc>
        <w:tc>
          <w:tcPr>
            <w:tcW w:w="1412" w:type="dxa"/>
          </w:tcPr>
          <w:p w:rsidRPr="00175174" w:rsidR="004D087F" w:rsidP="00175174" w:rsidRDefault="00B31EF0" w14:paraId="5E96A832" w14:textId="230B168D">
            <w:pPr>
              <w:suppressAutoHyphens/>
              <w:jc w:val="left"/>
              <w:rPr>
                <w:lang w:val="nl-NL"/>
              </w:rPr>
            </w:pPr>
            <w:r w:rsidRPr="00175174">
              <w:rPr>
                <w:lang w:val="nl-NL"/>
              </w:rPr>
              <w:t>n.v.t.</w:t>
            </w:r>
          </w:p>
        </w:tc>
        <w:tc>
          <w:tcPr>
            <w:tcW w:w="1198" w:type="dxa"/>
          </w:tcPr>
          <w:p w:rsidRPr="00175174" w:rsidR="004D087F" w:rsidP="00175174" w:rsidRDefault="004D087F" w14:paraId="54BF62ED" w14:textId="77777777">
            <w:pPr>
              <w:suppressAutoHyphens/>
              <w:jc w:val="left"/>
              <w:rPr>
                <w:lang w:val="nl-NL"/>
              </w:rPr>
            </w:pPr>
            <w:r w:rsidRPr="00175174">
              <w:rPr>
                <w:lang w:val="nl-NL"/>
              </w:rPr>
              <w:t>Nog niet opgeleverd</w:t>
            </w:r>
          </w:p>
        </w:tc>
        <w:tc>
          <w:tcPr>
            <w:tcW w:w="968" w:type="dxa"/>
          </w:tcPr>
          <w:p w:rsidRPr="00175174" w:rsidR="004D087F" w:rsidP="00175174" w:rsidRDefault="00B31EF0" w14:paraId="4D42F2FE" w14:textId="1B7C9071">
            <w:pPr>
              <w:suppressAutoHyphens/>
              <w:jc w:val="left"/>
              <w:rPr>
                <w:lang w:val="nl-NL"/>
              </w:rPr>
            </w:pPr>
            <w:r w:rsidRPr="00175174">
              <w:rPr>
                <w:lang w:val="nl-NL"/>
              </w:rPr>
              <w:t>n.v.t.</w:t>
            </w:r>
          </w:p>
        </w:tc>
        <w:tc>
          <w:tcPr>
            <w:tcW w:w="1241" w:type="dxa"/>
          </w:tcPr>
          <w:p w:rsidRPr="00175174" w:rsidR="004D087F" w:rsidP="00175174" w:rsidRDefault="004D087F" w14:paraId="1C70CC66" w14:textId="77777777">
            <w:pPr>
              <w:suppressAutoHyphens/>
              <w:jc w:val="left"/>
              <w:rPr>
                <w:lang w:val="nl-NL"/>
              </w:rPr>
            </w:pPr>
            <w:r w:rsidRPr="00175174">
              <w:rPr>
                <w:lang w:val="nl-NL"/>
              </w:rPr>
              <w:t>Nader te bepalen</w:t>
            </w:r>
          </w:p>
        </w:tc>
      </w:tr>
      <w:tr w:rsidRPr="00175174" w:rsidR="004D087F" w:rsidTr="00261EA0" w14:paraId="7E50E4B9" w14:textId="77777777">
        <w:trPr>
          <w:tblHeader/>
        </w:trPr>
        <w:tc>
          <w:tcPr>
            <w:tcW w:w="364" w:type="dxa"/>
          </w:tcPr>
          <w:p w:rsidRPr="00175174" w:rsidR="004D087F" w:rsidP="00175174" w:rsidRDefault="004D087F" w14:paraId="6B52E5E7" w14:textId="77777777">
            <w:pPr>
              <w:suppressAutoHyphens/>
              <w:jc w:val="left"/>
              <w:rPr>
                <w:lang w:val="nl-NL"/>
              </w:rPr>
            </w:pPr>
          </w:p>
        </w:tc>
        <w:tc>
          <w:tcPr>
            <w:tcW w:w="2750" w:type="dxa"/>
          </w:tcPr>
          <w:p w:rsidRPr="00175174" w:rsidR="004D087F" w:rsidP="00175174" w:rsidRDefault="004D087F" w14:paraId="664AC348" w14:textId="77777777">
            <w:pPr>
              <w:suppressAutoHyphens/>
              <w:jc w:val="left"/>
              <w:rPr>
                <w:lang w:val="nl-NL"/>
              </w:rPr>
            </w:pPr>
            <w:r w:rsidRPr="00175174">
              <w:rPr>
                <w:lang w:val="nl-NL"/>
              </w:rPr>
              <w:t>Organisatie geschikt voor start Bedrijfsvoering PALLAS-reactor</w:t>
            </w:r>
          </w:p>
        </w:tc>
        <w:tc>
          <w:tcPr>
            <w:tcW w:w="1412" w:type="dxa"/>
          </w:tcPr>
          <w:p w:rsidRPr="00175174" w:rsidR="004D087F" w:rsidP="00175174" w:rsidRDefault="00C40A3F" w14:paraId="5D327E71" w14:textId="6A094884">
            <w:pPr>
              <w:suppressAutoHyphens/>
              <w:jc w:val="left"/>
              <w:rPr>
                <w:lang w:val="nl-NL"/>
              </w:rPr>
            </w:pPr>
            <w:r w:rsidRPr="00175174">
              <w:rPr>
                <w:lang w:val="nl-NL"/>
              </w:rPr>
              <w:t>2031</w:t>
            </w:r>
          </w:p>
        </w:tc>
        <w:tc>
          <w:tcPr>
            <w:tcW w:w="1198" w:type="dxa"/>
          </w:tcPr>
          <w:p w:rsidRPr="00175174" w:rsidR="004D087F" w:rsidP="00175174" w:rsidRDefault="004D087F" w14:paraId="7529945B" w14:textId="77777777">
            <w:pPr>
              <w:suppressAutoHyphens/>
              <w:jc w:val="left"/>
              <w:rPr>
                <w:lang w:val="nl-NL"/>
              </w:rPr>
            </w:pPr>
            <w:r w:rsidRPr="00175174">
              <w:rPr>
                <w:lang w:val="nl-NL"/>
              </w:rPr>
              <w:t>Nog niet opgeleverd</w:t>
            </w:r>
          </w:p>
        </w:tc>
        <w:tc>
          <w:tcPr>
            <w:tcW w:w="968" w:type="dxa"/>
          </w:tcPr>
          <w:p w:rsidRPr="00175174" w:rsidR="004D087F" w:rsidP="00175174" w:rsidRDefault="00C40A3F" w14:paraId="572D690F" w14:textId="240C4383">
            <w:pPr>
              <w:suppressAutoHyphens/>
              <w:jc w:val="left"/>
              <w:rPr>
                <w:lang w:val="nl-NL"/>
              </w:rPr>
            </w:pPr>
            <w:r w:rsidRPr="00175174">
              <w:rPr>
                <w:lang w:val="nl-NL"/>
              </w:rPr>
              <w:t>-</w:t>
            </w:r>
          </w:p>
        </w:tc>
        <w:tc>
          <w:tcPr>
            <w:tcW w:w="1241" w:type="dxa"/>
          </w:tcPr>
          <w:p w:rsidRPr="00175174" w:rsidR="004D087F" w:rsidP="00175174" w:rsidRDefault="004D087F" w14:paraId="042443FD" w14:textId="77777777">
            <w:pPr>
              <w:suppressAutoHyphens/>
              <w:jc w:val="left"/>
              <w:rPr>
                <w:lang w:val="nl-NL"/>
              </w:rPr>
            </w:pPr>
            <w:r w:rsidRPr="00175174">
              <w:rPr>
                <w:lang w:val="nl-NL"/>
              </w:rPr>
              <w:t>2031</w:t>
            </w:r>
          </w:p>
        </w:tc>
      </w:tr>
      <w:bookmarkEnd w:id="30"/>
    </w:tbl>
    <w:p w:rsidRPr="00175174" w:rsidR="00800F1B" w:rsidP="00175174" w:rsidRDefault="00800F1B" w14:paraId="73FBE35F" w14:textId="77777777">
      <w:pPr>
        <w:suppressAutoHyphens/>
        <w:spacing w:after="0"/>
        <w:jc w:val="left"/>
      </w:pPr>
    </w:p>
    <w:p w:rsidRPr="00175174" w:rsidR="00800F1B" w:rsidP="00175174" w:rsidRDefault="00800F1B" w14:paraId="315DC841" w14:textId="75DB2A8A">
      <w:pPr>
        <w:suppressAutoHyphens/>
        <w:spacing w:after="0"/>
        <w:jc w:val="left"/>
      </w:pPr>
      <w:r w:rsidRPr="00175174">
        <w:t xml:space="preserve">De planning op basis van P90-waarden is als volgt: </w:t>
      </w:r>
    </w:p>
    <w:p w:rsidRPr="00175174" w:rsidR="00330149" w:rsidP="00175174" w:rsidRDefault="00330149" w14:paraId="1EDB6B96" w14:textId="374020B3">
      <w:pPr>
        <w:pStyle w:val="Lijstalinea"/>
        <w:numPr>
          <w:ilvl w:val="0"/>
          <w:numId w:val="22"/>
        </w:numPr>
        <w:suppressAutoHyphens/>
        <w:jc w:val="left"/>
      </w:pPr>
      <w:r w:rsidRPr="00175174">
        <w:t>Oplevering PALLAS-nieuwbouwprogramma en commerciële inbedrijfname van de PALLAS-reactor: 2033.</w:t>
      </w:r>
    </w:p>
    <w:p w:rsidRPr="00175174" w:rsidR="00800F1B" w:rsidP="00175174" w:rsidRDefault="00800F1B" w14:paraId="75D83782" w14:textId="388C0939">
      <w:pPr>
        <w:pStyle w:val="Lijstalinea"/>
        <w:numPr>
          <w:ilvl w:val="0"/>
          <w:numId w:val="22"/>
        </w:numPr>
        <w:suppressAutoHyphens/>
        <w:spacing w:after="0"/>
        <w:jc w:val="left"/>
      </w:pPr>
      <w:r w:rsidRPr="00175174">
        <w:t>Organisatie geschikt voor start bedrijfsvoering PALLAS-reactor: 2032.</w:t>
      </w:r>
    </w:p>
    <w:p w:rsidRPr="00175174" w:rsidR="00736BBE" w:rsidP="00175174" w:rsidRDefault="00736BBE" w14:paraId="32756F4D" w14:textId="31CEA4D2">
      <w:pPr>
        <w:pStyle w:val="Kop2"/>
        <w:suppressAutoHyphens/>
        <w:jc w:val="left"/>
      </w:pPr>
      <w:bookmarkStart w:name="_Toc227050519" w:id="31"/>
      <w:bookmarkStart w:name="_Hlk221890003" w:id="32"/>
      <w:r w:rsidRPr="00175174">
        <w:t>Financiën</w:t>
      </w:r>
      <w:bookmarkStart w:name="_Hlk207624225" w:id="33"/>
      <w:bookmarkEnd w:id="31"/>
    </w:p>
    <w:p w:rsidRPr="00175174" w:rsidR="00C55813" w:rsidP="00175174" w:rsidRDefault="00BC55E1" w14:paraId="5F948409" w14:textId="77777777">
      <w:pPr>
        <w:suppressAutoHyphens/>
        <w:spacing w:line="240" w:lineRule="atLeast"/>
        <w:jc w:val="left"/>
        <w:rPr>
          <w:rFonts w:cstheme="minorHAnsi"/>
          <w:color w:val="auto"/>
        </w:rPr>
      </w:pPr>
      <w:r w:rsidRPr="00175174">
        <w:t xml:space="preserve">NRG PALLAS B.V. bekostigt het PALLAS-nieuwbouwprogramma met </w:t>
      </w:r>
      <w:r w:rsidRPr="00175174" w:rsidR="00261EA0">
        <w:t>middelen</w:t>
      </w:r>
      <w:r w:rsidRPr="00175174">
        <w:t xml:space="preserve"> die VWS </w:t>
      </w:r>
      <w:r w:rsidRPr="00175174" w:rsidR="00261EA0">
        <w:t>ter beschikking stelt</w:t>
      </w:r>
      <w:r w:rsidRPr="00175174">
        <w:t>. De f</w:t>
      </w:r>
      <w:r w:rsidRPr="00175174" w:rsidR="00D654C1">
        <w:t xml:space="preserve">inanciering vindt plaats met zowel eigen vermogen (aandelenkapitaal) als vreemd vermogen (leningen). </w:t>
      </w:r>
      <w:r w:rsidRPr="00175174">
        <w:t>NRG PALLAS B.V. zal starten met het terugbetalen van d</w:t>
      </w:r>
      <w:r w:rsidRPr="00175174" w:rsidR="00D654C1">
        <w:t xml:space="preserve">e rentedragende leningen </w:t>
      </w:r>
      <w:r w:rsidRPr="00175174">
        <w:t>a</w:t>
      </w:r>
      <w:r w:rsidRPr="00175174" w:rsidR="00D654C1">
        <w:t xml:space="preserve">an de staat op het moment dat er voldoende opbrengsten zijn uit de verkoop van medische isotopen. Dit zal naar verwachting vanaf 2035 zijn, circa drie jaar na de commerciële inbedrijfname van de PALLAS-reactor. Verstrekking van gelden voor het PALLAS-nieuwbouwprogramma uit hoofde van de financieringsovereenkomsten vindt op kwartaalbasis plaats naar gelang de voortgang en </w:t>
      </w:r>
      <w:r w:rsidRPr="00175174" w:rsidR="00D654C1">
        <w:rPr>
          <w:rFonts w:cstheme="minorHAnsi"/>
        </w:rPr>
        <w:t xml:space="preserve">met </w:t>
      </w:r>
      <w:r w:rsidRPr="00175174" w:rsidR="00D654C1">
        <w:rPr>
          <w:rFonts w:cstheme="minorHAnsi"/>
          <w:color w:val="auto"/>
        </w:rPr>
        <w:t xml:space="preserve">inachtneming van de beschikbare budgetten en de </w:t>
      </w:r>
      <w:r w:rsidRPr="00175174" w:rsidR="00EB18CA">
        <w:rPr>
          <w:rFonts w:cstheme="minorHAnsi"/>
          <w:color w:val="auto"/>
        </w:rPr>
        <w:t>maxima</w:t>
      </w:r>
      <w:r w:rsidRPr="00175174" w:rsidR="00D654C1">
        <w:rPr>
          <w:rFonts w:cstheme="minorHAnsi"/>
          <w:color w:val="auto"/>
        </w:rPr>
        <w:t xml:space="preserve"> in de</w:t>
      </w:r>
      <w:r w:rsidRPr="00175174" w:rsidR="000B77CA">
        <w:rPr>
          <w:rFonts w:cstheme="minorHAnsi"/>
          <w:color w:val="auto"/>
        </w:rPr>
        <w:t xml:space="preserve"> </w:t>
      </w:r>
      <w:r w:rsidRPr="00175174" w:rsidR="00D654C1">
        <w:rPr>
          <w:rFonts w:cstheme="minorHAnsi"/>
          <w:color w:val="auto"/>
        </w:rPr>
        <w:t>financieringsovereenkomsten</w:t>
      </w:r>
      <w:r w:rsidRPr="00175174" w:rsidR="00943C04">
        <w:rPr>
          <w:rFonts w:cstheme="minorHAnsi"/>
          <w:color w:val="auto"/>
        </w:rPr>
        <w:t xml:space="preserve">. </w:t>
      </w:r>
      <w:r w:rsidRPr="00175174" w:rsidR="000B77CA">
        <w:rPr>
          <w:rFonts w:cstheme="minorHAnsi"/>
          <w:color w:val="auto"/>
        </w:rPr>
        <w:t xml:space="preserve">Als gevolg van </w:t>
      </w:r>
      <w:r w:rsidRPr="00175174" w:rsidR="00A07CCF">
        <w:rPr>
          <w:rFonts w:cstheme="minorHAnsi"/>
          <w:color w:val="auto"/>
        </w:rPr>
        <w:t xml:space="preserve">de </w:t>
      </w:r>
      <w:r w:rsidRPr="00175174" w:rsidR="000B77CA">
        <w:rPr>
          <w:rFonts w:cstheme="minorHAnsi"/>
          <w:color w:val="auto"/>
        </w:rPr>
        <w:t xml:space="preserve">lopende </w:t>
      </w:r>
      <w:r w:rsidRPr="00175174" w:rsidR="00A07CCF">
        <w:rPr>
          <w:rFonts w:cstheme="minorHAnsi"/>
          <w:color w:val="auto"/>
        </w:rPr>
        <w:t xml:space="preserve">procedure voor </w:t>
      </w:r>
      <w:r w:rsidRPr="00175174" w:rsidR="00A07CCF">
        <w:rPr>
          <w:color w:val="auto"/>
        </w:rPr>
        <w:t>aanvullende staatssteungoedkeuring</w:t>
      </w:r>
      <w:r w:rsidRPr="00175174" w:rsidR="00A07CCF">
        <w:rPr>
          <w:rFonts w:cstheme="minorHAnsi"/>
          <w:color w:val="auto"/>
        </w:rPr>
        <w:t xml:space="preserve"> is de huidige hoofdsom</w:t>
      </w:r>
      <w:r w:rsidRPr="00175174" w:rsidR="000B77CA">
        <w:rPr>
          <w:rFonts w:cstheme="minorHAnsi"/>
          <w:color w:val="auto"/>
        </w:rPr>
        <w:t xml:space="preserve"> </w:t>
      </w:r>
      <w:r w:rsidRPr="00175174" w:rsidR="00A07CCF">
        <w:rPr>
          <w:rFonts w:cstheme="minorHAnsi"/>
          <w:color w:val="auto"/>
        </w:rPr>
        <w:t>lager dan de in de begroting opgenomen middelen voor het PALLAS-nieuwbouwprogramma.</w:t>
      </w:r>
      <w:r w:rsidRPr="00175174" w:rsidR="000B77CA">
        <w:rPr>
          <w:rFonts w:cstheme="minorHAnsi"/>
          <w:color w:val="auto"/>
        </w:rPr>
        <w:t xml:space="preserve"> </w:t>
      </w:r>
    </w:p>
    <w:p w:rsidRPr="00175174" w:rsidR="00D654C1" w:rsidP="00175174" w:rsidRDefault="00261EA0" w14:paraId="439F7791" w14:textId="17638290">
      <w:pPr>
        <w:suppressAutoHyphens/>
        <w:spacing w:line="240" w:lineRule="atLeast"/>
        <w:jc w:val="left"/>
      </w:pPr>
      <w:r w:rsidRPr="00175174">
        <w:t>Minimaal één keer per jaar</w:t>
      </w:r>
      <w:r w:rsidRPr="00175174" w:rsidR="00D654C1">
        <w:t xml:space="preserve"> wordt de meerjarige begroting van VWS </w:t>
      </w:r>
      <w:r w:rsidRPr="00175174" w:rsidR="00864875">
        <w:t>i</w:t>
      </w:r>
      <w:r w:rsidRPr="00175174" w:rsidR="00D654C1">
        <w:t>n lijn gebracht met de meerjarige financieringsbehoefte van NRG PALLAS B.V. Dit gebeurt op basis van de meest recente probabilistische analyses van de kosten. Dit zijn ramingen, waar</w:t>
      </w:r>
      <w:r w:rsidRPr="00175174" w:rsidR="00864875">
        <w:t>in</w:t>
      </w:r>
      <w:r w:rsidRPr="00175174" w:rsidR="00D654C1">
        <w:t xml:space="preserve"> actuele geïdentificeerde risico</w:t>
      </w:r>
      <w:r w:rsidRPr="00175174" w:rsidR="00864875">
        <w:t>’</w:t>
      </w:r>
      <w:r w:rsidRPr="00175174" w:rsidR="00D654C1">
        <w:t>s</w:t>
      </w:r>
      <w:r w:rsidRPr="00175174" w:rsidR="00864875">
        <w:t xml:space="preserve"> zijn verwerkt</w:t>
      </w:r>
      <w:r w:rsidRPr="00175174" w:rsidR="00D654C1">
        <w:t xml:space="preserve"> (exogene risico’s maken geen onderdeel uit van de probabilistische analyses).</w:t>
      </w:r>
    </w:p>
    <w:p w:rsidRPr="00175174" w:rsidR="000D6ADE" w:rsidP="00175174" w:rsidRDefault="000D6ADE" w14:paraId="01822018" w14:textId="1865A40D">
      <w:pPr>
        <w:pStyle w:val="Kop3"/>
        <w:suppressAutoHyphens/>
      </w:pPr>
      <w:r w:rsidRPr="00175174">
        <w:t>Samenvatting</w:t>
      </w:r>
    </w:p>
    <w:p w:rsidRPr="00175174" w:rsidR="001F0D61" w:rsidP="00175174" w:rsidRDefault="001F0D61" w14:paraId="17470261" w14:textId="77777777">
      <w:pPr>
        <w:pStyle w:val="Plattetekst"/>
        <w:suppressAutoHyphens/>
        <w:spacing w:line="240" w:lineRule="atLeast"/>
        <w:ind w:right="206"/>
        <w:jc w:val="left"/>
      </w:pPr>
      <w:bookmarkStart w:name="_Hlk211809613" w:id="34"/>
      <w:r w:rsidRPr="00175174">
        <w:t>De prognose eindstand van het PALLAS-nieuwbouwprogramma conform baseline 9 bedraagt per 31 december 2025 in totaal € 2.529 mln. (P50-waarde, prijspeil 2025). Dit bedrag representeert echter niet de totale financieringsbehoefte van NRG PALLAS B.V. voor het programma. Deze heeft een omvang van € 2.473 mln. (prijspeil 2025) en is daarmee € 56 mln. lager dan de prognose eindstand. NRG PALLAS B.V. heeft de financieringsbehoefte lager vastgesteld dan de prognose eindstand vanwege een pakket besparingsmaatregelen dat onderdeel is van baseline 9.</w:t>
      </w:r>
    </w:p>
    <w:bookmarkEnd w:id="34"/>
    <w:p w:rsidRPr="00175174" w:rsidR="001F0D61" w:rsidP="00175174" w:rsidRDefault="001F0D61" w14:paraId="7945BE49" w14:textId="0C146021">
      <w:pPr>
        <w:pStyle w:val="Plattetekst"/>
        <w:suppressAutoHyphens/>
        <w:spacing w:line="240" w:lineRule="atLeast"/>
        <w:jc w:val="left"/>
      </w:pPr>
      <w:r w:rsidRPr="00175174">
        <w:rPr>
          <w:iCs/>
          <w:spacing w:val="-2"/>
        </w:rPr>
        <w:t>Tot en met 31 december 2025 heeft NRG PALLAS B.V. in totaal € 985 mln. ontvangen voor het PALLAS-nieuwbouwprogramma (€ 718 mln. leningen en € 267 mln. eigen vermogen). Aangezien de totale financieringsbehoefte van NRG PALLAS B.V. € 2.473 mln. bedraagt, resteert een kapitaalbehoefte van € 1.488 mln. voor het programma. In de Rijksbegroting is hiervoor nu meerjarig € 1.453 mln. opgenomen</w:t>
      </w:r>
      <w:r w:rsidRPr="00175174">
        <w:t>. Daarom is momenteel sprake van een budgetspanning van € 35 mln. Deze budgetspanning wordt met name veroorzaakt door een discrepantie tussen de prijsindexatie die van toepassing is op het PALLAS-nieuwbouwprogramma en de prijsindexatie van de PALLAS-reeks in de VWS-begroting die is ontvangen van het ministerie van Financiën.</w:t>
      </w:r>
    </w:p>
    <w:p w:rsidRPr="00175174" w:rsidR="000D6ADE" w:rsidP="00175174" w:rsidRDefault="0002274E" w14:paraId="4887C6B6" w14:textId="166B54EB">
      <w:pPr>
        <w:pStyle w:val="Kop3"/>
        <w:suppressAutoHyphens/>
      </w:pPr>
      <w:bookmarkStart w:name="_Hlk224293592" w:id="35"/>
      <w:r w:rsidRPr="00175174">
        <w:t>P</w:t>
      </w:r>
      <w:r w:rsidRPr="00175174" w:rsidR="000D6ADE">
        <w:t>rognose eindstand</w:t>
      </w:r>
      <w:r w:rsidRPr="00175174" w:rsidR="001F1E47">
        <w:t xml:space="preserve"> </w:t>
      </w:r>
      <w:r w:rsidRPr="00175174">
        <w:t xml:space="preserve">en financieringsbehoefte </w:t>
      </w:r>
      <w:r w:rsidRPr="00175174" w:rsidR="001F1E47">
        <w:t>PALLAS-nieuwbouwprogramma</w:t>
      </w:r>
    </w:p>
    <w:p w:rsidRPr="00175174" w:rsidR="0002274E" w:rsidP="00175174" w:rsidRDefault="0002274E" w14:paraId="7D1E5CD4" w14:textId="46FE1BBC">
      <w:pPr>
        <w:suppressAutoHyphens/>
        <w:jc w:val="left"/>
      </w:pPr>
      <w:bookmarkStart w:name="_Hlk209008130" w:id="36"/>
      <w:bookmarkEnd w:id="35"/>
      <w:r w:rsidRPr="00175174">
        <w:t xml:space="preserve">Halverwege 2025 zijn de resultaten van de eerste probabilistische analyse van de planning en de kosten van baseline 9 bekend geworden. De P50-waarde van deze kostenraming bedraagt € 2.529 mln. (prijspeil 2025). Dit bedrag wordt beschouwd als de prognose eindstand en is niet gewijzigd ten opzichte van de tweede basisrapportage, de basisrapportage uit hoofde van de Regeling Grote Projecten (de P10- en P90-waarde in prijspeil 2025 zijn respectievelijk € 2.289 en € 2.890 mln.). De uitkomsten van de volgende probabilistische analyse zullen </w:t>
      </w:r>
      <w:r w:rsidRPr="00175174" w:rsidR="002503FB">
        <w:t xml:space="preserve">halverwege </w:t>
      </w:r>
      <w:r w:rsidRPr="00175174">
        <w:t>2026 bekend worden</w:t>
      </w:r>
      <w:r w:rsidRPr="00175174" w:rsidR="0053519A">
        <w:t xml:space="preserve"> en onderdeel uitmaken de volgende voortgangsrapportage.</w:t>
      </w:r>
      <w:r w:rsidRPr="00175174">
        <w:t xml:space="preserve"> </w:t>
      </w:r>
    </w:p>
    <w:p w:rsidRPr="00175174" w:rsidR="0002274E" w:rsidP="00175174" w:rsidRDefault="0002274E" w14:paraId="6BF6A220" w14:textId="5B8BA1F5">
      <w:pPr>
        <w:suppressAutoHyphens/>
        <w:jc w:val="left"/>
      </w:pPr>
      <w:r w:rsidRPr="00175174">
        <w:t>Tabel 4 geeft de actuele prognose eindstand van € 2.529 mln. van het programma weer als gevolg van de verschillende mutaties vanaf 2022</w:t>
      </w:r>
      <w:r w:rsidRPr="00175174">
        <w:rPr>
          <w:rStyle w:val="Voetnootmarkering"/>
        </w:rPr>
        <w:footnoteReference w:id="6"/>
      </w:r>
      <w:r w:rsidRPr="00175174">
        <w:t xml:space="preserve"> (bedragen in € mln.).</w:t>
      </w:r>
    </w:p>
    <w:p w:rsidRPr="00175174" w:rsidR="005A0F10" w:rsidP="00175174" w:rsidRDefault="005A0F10" w14:paraId="3D9A7738" w14:textId="469E1A3A">
      <w:pPr>
        <w:suppressAutoHyphens/>
        <w:jc w:val="left"/>
      </w:pPr>
      <w:r w:rsidRPr="00175174">
        <w:br w:type="page"/>
      </w:r>
    </w:p>
    <w:p w:rsidRPr="00175174" w:rsidR="0002274E" w:rsidP="00175174" w:rsidRDefault="0002274E" w14:paraId="08440C52" w14:textId="5E94824D">
      <w:pPr>
        <w:pStyle w:val="Bijschrift"/>
        <w:suppressAutoHyphens/>
      </w:pPr>
      <w:r w:rsidRPr="00175174">
        <w:t xml:space="preserve">Tabel 4. Mutatieoverzicht prognose eindstand PALLAS-nieuwbouwprogramma </w:t>
      </w:r>
    </w:p>
    <w:tbl>
      <w:tblPr>
        <w:tblStyle w:val="TableNormal"/>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Look w:val="01E0" w:firstRow="1" w:lastRow="1" w:firstColumn="1" w:lastColumn="1" w:noHBand="0" w:noVBand="0"/>
      </w:tblPr>
      <w:tblGrid>
        <w:gridCol w:w="1839"/>
        <w:gridCol w:w="2424"/>
        <w:gridCol w:w="1261"/>
        <w:gridCol w:w="1048"/>
        <w:gridCol w:w="1085"/>
      </w:tblGrid>
      <w:tr w:rsidRPr="00175174" w:rsidR="0002274E" w:rsidTr="00795B57" w14:paraId="662077A2" w14:textId="77777777">
        <w:trPr>
          <w:trHeight w:val="240"/>
          <w:tblHeader/>
        </w:trPr>
        <w:tc>
          <w:tcPr>
            <w:tcW w:w="1839" w:type="dxa"/>
            <w:shd w:val="clear" w:color="auto" w:fill="002F5B"/>
          </w:tcPr>
          <w:p w:rsidRPr="00175174" w:rsidR="0002274E" w:rsidP="00175174" w:rsidRDefault="0002274E" w14:paraId="35995585" w14:textId="77777777">
            <w:pPr>
              <w:pStyle w:val="TableParagraph"/>
              <w:suppressAutoHyphens/>
              <w:jc w:val="left"/>
              <w:rPr>
                <w:b/>
                <w:bCs/>
                <w:sz w:val="18"/>
                <w:szCs w:val="18"/>
              </w:rPr>
            </w:pPr>
            <w:r w:rsidRPr="00175174">
              <w:rPr>
                <w:b/>
                <w:bCs/>
                <w:sz w:val="18"/>
                <w:szCs w:val="18"/>
              </w:rPr>
              <w:t>Rapportage</w:t>
            </w:r>
          </w:p>
        </w:tc>
        <w:tc>
          <w:tcPr>
            <w:tcW w:w="2424" w:type="dxa"/>
            <w:shd w:val="clear" w:color="auto" w:fill="002F5B"/>
          </w:tcPr>
          <w:p w:rsidRPr="00175174" w:rsidR="0002274E" w:rsidP="00175174" w:rsidRDefault="0002274E" w14:paraId="56729DD7" w14:textId="77777777">
            <w:pPr>
              <w:pStyle w:val="TableParagraph"/>
              <w:suppressAutoHyphens/>
              <w:jc w:val="left"/>
              <w:rPr>
                <w:b/>
                <w:bCs/>
                <w:sz w:val="18"/>
                <w:szCs w:val="18"/>
              </w:rPr>
            </w:pPr>
            <w:proofErr w:type="spellStart"/>
            <w:r w:rsidRPr="00175174">
              <w:rPr>
                <w:b/>
                <w:bCs/>
                <w:sz w:val="18"/>
                <w:szCs w:val="18"/>
              </w:rPr>
              <w:t>Betreft</w:t>
            </w:r>
            <w:proofErr w:type="spellEnd"/>
          </w:p>
        </w:tc>
        <w:tc>
          <w:tcPr>
            <w:tcW w:w="1261" w:type="dxa"/>
            <w:shd w:val="clear" w:color="auto" w:fill="002F5B"/>
          </w:tcPr>
          <w:p w:rsidRPr="00175174" w:rsidR="0002274E" w:rsidP="00175174" w:rsidRDefault="0002274E" w14:paraId="061E28BC" w14:textId="77777777">
            <w:pPr>
              <w:pStyle w:val="TableParagraph"/>
              <w:suppressAutoHyphens/>
              <w:jc w:val="left"/>
              <w:rPr>
                <w:b/>
                <w:bCs/>
                <w:sz w:val="18"/>
                <w:szCs w:val="18"/>
              </w:rPr>
            </w:pPr>
            <w:proofErr w:type="spellStart"/>
            <w:r w:rsidRPr="00175174">
              <w:rPr>
                <w:b/>
                <w:bCs/>
                <w:sz w:val="18"/>
                <w:szCs w:val="18"/>
              </w:rPr>
              <w:t>Mutatie</w:t>
            </w:r>
            <w:proofErr w:type="spellEnd"/>
          </w:p>
        </w:tc>
        <w:tc>
          <w:tcPr>
            <w:tcW w:w="1048" w:type="dxa"/>
            <w:shd w:val="clear" w:color="auto" w:fill="002F5B"/>
          </w:tcPr>
          <w:p w:rsidRPr="00175174" w:rsidR="0002274E" w:rsidP="00175174" w:rsidRDefault="0002274E" w14:paraId="4E0D6FCA" w14:textId="77777777">
            <w:pPr>
              <w:pStyle w:val="TableParagraph"/>
              <w:suppressAutoHyphens/>
              <w:jc w:val="left"/>
              <w:rPr>
                <w:b/>
                <w:bCs/>
                <w:sz w:val="18"/>
                <w:szCs w:val="18"/>
              </w:rPr>
            </w:pPr>
            <w:proofErr w:type="spellStart"/>
            <w:r w:rsidRPr="00175174">
              <w:rPr>
                <w:b/>
                <w:bCs/>
                <w:sz w:val="18"/>
                <w:szCs w:val="18"/>
              </w:rPr>
              <w:t>Prijspeil</w:t>
            </w:r>
            <w:proofErr w:type="spellEnd"/>
          </w:p>
        </w:tc>
        <w:tc>
          <w:tcPr>
            <w:tcW w:w="1085" w:type="dxa"/>
            <w:shd w:val="clear" w:color="auto" w:fill="002F5B"/>
          </w:tcPr>
          <w:p w:rsidRPr="00175174" w:rsidR="0002274E" w:rsidP="00175174" w:rsidRDefault="0002274E" w14:paraId="74867AC3" w14:textId="77777777">
            <w:pPr>
              <w:pStyle w:val="TableParagraph"/>
              <w:suppressAutoHyphens/>
              <w:jc w:val="left"/>
              <w:rPr>
                <w:b/>
                <w:bCs/>
                <w:sz w:val="18"/>
                <w:szCs w:val="18"/>
              </w:rPr>
            </w:pPr>
            <w:proofErr w:type="spellStart"/>
            <w:r w:rsidRPr="00175174">
              <w:rPr>
                <w:b/>
                <w:bCs/>
                <w:sz w:val="18"/>
                <w:szCs w:val="18"/>
              </w:rPr>
              <w:t>Bedrag</w:t>
            </w:r>
            <w:proofErr w:type="spellEnd"/>
          </w:p>
        </w:tc>
      </w:tr>
      <w:tr w:rsidRPr="00175174" w:rsidR="0002274E" w:rsidTr="00795B57" w14:paraId="7EF88E34" w14:textId="77777777">
        <w:trPr>
          <w:trHeight w:val="239"/>
          <w:tblHeader/>
        </w:trPr>
        <w:tc>
          <w:tcPr>
            <w:tcW w:w="1839" w:type="dxa"/>
          </w:tcPr>
          <w:p w:rsidRPr="00175174" w:rsidR="0002274E" w:rsidP="00175174" w:rsidRDefault="0002274E" w14:paraId="069A782B" w14:textId="77777777">
            <w:pPr>
              <w:pStyle w:val="TableParagraph"/>
              <w:suppressAutoHyphens/>
              <w:jc w:val="left"/>
              <w:rPr>
                <w:sz w:val="18"/>
                <w:szCs w:val="18"/>
              </w:rPr>
            </w:pPr>
            <w:proofErr w:type="spellStart"/>
            <w:r w:rsidRPr="00175174">
              <w:rPr>
                <w:sz w:val="18"/>
                <w:szCs w:val="18"/>
              </w:rPr>
              <w:t>Achtergrondanalyse</w:t>
            </w:r>
            <w:proofErr w:type="spellEnd"/>
          </w:p>
        </w:tc>
        <w:tc>
          <w:tcPr>
            <w:tcW w:w="2424" w:type="dxa"/>
          </w:tcPr>
          <w:p w:rsidRPr="00175174" w:rsidR="0002274E" w:rsidP="00175174" w:rsidRDefault="0002274E" w14:paraId="6F00B5D4" w14:textId="77777777">
            <w:pPr>
              <w:pStyle w:val="TableParagraph"/>
              <w:suppressAutoHyphens/>
              <w:jc w:val="left"/>
              <w:rPr>
                <w:sz w:val="18"/>
                <w:szCs w:val="18"/>
                <w:lang w:val="nl-NL"/>
              </w:rPr>
            </w:pPr>
            <w:r w:rsidRPr="00175174">
              <w:rPr>
                <w:sz w:val="18"/>
                <w:szCs w:val="18"/>
                <w:lang w:val="nl-NL"/>
              </w:rPr>
              <w:t>Prognose eindstand op basis van baseline</w:t>
            </w:r>
            <w:r w:rsidRPr="00175174">
              <w:rPr>
                <w:spacing w:val="-7"/>
                <w:sz w:val="18"/>
                <w:szCs w:val="18"/>
                <w:lang w:val="nl-NL"/>
              </w:rPr>
              <w:t xml:space="preserve"> </w:t>
            </w:r>
            <w:r w:rsidRPr="00175174">
              <w:rPr>
                <w:spacing w:val="-10"/>
                <w:sz w:val="18"/>
                <w:szCs w:val="18"/>
                <w:lang w:val="nl-NL"/>
              </w:rPr>
              <w:t>8</w:t>
            </w:r>
          </w:p>
        </w:tc>
        <w:tc>
          <w:tcPr>
            <w:tcW w:w="1261" w:type="dxa"/>
          </w:tcPr>
          <w:p w:rsidRPr="00175174" w:rsidR="0002274E" w:rsidP="00175174" w:rsidRDefault="0002274E" w14:paraId="094C664D" w14:textId="77777777">
            <w:pPr>
              <w:pStyle w:val="TableParagraph"/>
              <w:suppressAutoHyphens/>
              <w:jc w:val="left"/>
              <w:rPr>
                <w:sz w:val="18"/>
                <w:szCs w:val="18"/>
                <w:lang w:val="nl-NL"/>
              </w:rPr>
            </w:pPr>
          </w:p>
        </w:tc>
        <w:tc>
          <w:tcPr>
            <w:tcW w:w="1048" w:type="dxa"/>
          </w:tcPr>
          <w:p w:rsidRPr="00175174" w:rsidR="0002274E" w:rsidP="00175174" w:rsidRDefault="0002274E" w14:paraId="52FD5B2F" w14:textId="77777777">
            <w:pPr>
              <w:pStyle w:val="TableParagraph"/>
              <w:suppressAutoHyphens/>
              <w:jc w:val="left"/>
              <w:rPr>
                <w:sz w:val="18"/>
                <w:szCs w:val="18"/>
              </w:rPr>
            </w:pPr>
            <w:r w:rsidRPr="00175174">
              <w:rPr>
                <w:sz w:val="18"/>
                <w:szCs w:val="18"/>
              </w:rPr>
              <w:t>2022</w:t>
            </w:r>
          </w:p>
        </w:tc>
        <w:tc>
          <w:tcPr>
            <w:tcW w:w="1085" w:type="dxa"/>
          </w:tcPr>
          <w:p w:rsidRPr="00175174" w:rsidR="0002274E" w:rsidP="00175174" w:rsidRDefault="0002274E" w14:paraId="5C9FF14A" w14:textId="77777777">
            <w:pPr>
              <w:pStyle w:val="TableParagraph"/>
              <w:suppressAutoHyphens/>
              <w:jc w:val="left"/>
              <w:rPr>
                <w:sz w:val="18"/>
                <w:szCs w:val="18"/>
              </w:rPr>
            </w:pPr>
            <w:r w:rsidRPr="00175174">
              <w:rPr>
                <w:sz w:val="18"/>
                <w:szCs w:val="18"/>
              </w:rPr>
              <w:t>1.840</w:t>
            </w:r>
          </w:p>
        </w:tc>
      </w:tr>
      <w:tr w:rsidRPr="00175174" w:rsidR="0002274E" w:rsidTr="00795B57" w14:paraId="08717009" w14:textId="77777777">
        <w:trPr>
          <w:trHeight w:val="242"/>
          <w:tblHeader/>
        </w:trPr>
        <w:tc>
          <w:tcPr>
            <w:tcW w:w="1839" w:type="dxa"/>
          </w:tcPr>
          <w:p w:rsidRPr="00175174" w:rsidR="0002274E" w:rsidP="00175174" w:rsidRDefault="0002274E" w14:paraId="2074576E" w14:textId="77777777">
            <w:pPr>
              <w:pStyle w:val="TableParagraph"/>
              <w:suppressAutoHyphens/>
              <w:jc w:val="left"/>
              <w:rPr>
                <w:sz w:val="18"/>
                <w:szCs w:val="18"/>
              </w:rPr>
            </w:pPr>
            <w:proofErr w:type="spellStart"/>
            <w:r w:rsidRPr="00175174">
              <w:rPr>
                <w:sz w:val="18"/>
                <w:szCs w:val="18"/>
              </w:rPr>
              <w:t>Eerste</w:t>
            </w:r>
            <w:proofErr w:type="spellEnd"/>
            <w:r w:rsidRPr="00175174">
              <w:rPr>
                <w:sz w:val="18"/>
                <w:szCs w:val="18"/>
              </w:rPr>
              <w:t xml:space="preserve"> BR</w:t>
            </w:r>
          </w:p>
        </w:tc>
        <w:tc>
          <w:tcPr>
            <w:tcW w:w="2424" w:type="dxa"/>
          </w:tcPr>
          <w:p w:rsidRPr="00175174" w:rsidR="0002274E" w:rsidP="00175174" w:rsidRDefault="00795B57" w14:paraId="2A4AD83A" w14:textId="02780C7A">
            <w:pPr>
              <w:pStyle w:val="TableParagraph"/>
              <w:suppressAutoHyphens/>
              <w:jc w:val="left"/>
              <w:rPr>
                <w:sz w:val="18"/>
                <w:szCs w:val="18"/>
              </w:rPr>
            </w:pPr>
            <w:r w:rsidRPr="00175174">
              <w:rPr>
                <w:sz w:val="18"/>
                <w:szCs w:val="18"/>
              </w:rPr>
              <w:t xml:space="preserve">CBS-indices </w:t>
            </w:r>
            <w:r w:rsidRPr="00175174" w:rsidR="0002274E">
              <w:rPr>
                <w:sz w:val="18"/>
                <w:szCs w:val="18"/>
              </w:rPr>
              <w:t>GWW</w:t>
            </w:r>
            <w:r w:rsidRPr="00175174" w:rsidR="0002274E">
              <w:rPr>
                <w:spacing w:val="-3"/>
                <w:sz w:val="18"/>
                <w:szCs w:val="18"/>
              </w:rPr>
              <w:t xml:space="preserve"> </w:t>
            </w:r>
            <w:r w:rsidRPr="00175174" w:rsidR="0002274E">
              <w:rPr>
                <w:sz w:val="18"/>
                <w:szCs w:val="18"/>
              </w:rPr>
              <w:t>(4221)</w:t>
            </w:r>
            <w:r w:rsidRPr="00175174" w:rsidR="0002274E">
              <w:rPr>
                <w:spacing w:val="-3"/>
                <w:sz w:val="18"/>
                <w:szCs w:val="18"/>
              </w:rPr>
              <w:t xml:space="preserve"> </w:t>
            </w:r>
            <w:r w:rsidRPr="00175174" w:rsidR="0002274E">
              <w:rPr>
                <w:sz w:val="18"/>
                <w:szCs w:val="18"/>
              </w:rPr>
              <w:t>en</w:t>
            </w:r>
            <w:r w:rsidRPr="00175174" w:rsidR="0002274E">
              <w:rPr>
                <w:spacing w:val="-4"/>
                <w:sz w:val="18"/>
                <w:szCs w:val="18"/>
              </w:rPr>
              <w:t xml:space="preserve"> </w:t>
            </w:r>
            <w:r w:rsidRPr="00175174" w:rsidR="0002274E">
              <w:rPr>
                <w:sz w:val="18"/>
                <w:szCs w:val="18"/>
              </w:rPr>
              <w:t>CPI</w:t>
            </w:r>
            <w:r w:rsidRPr="00175174" w:rsidR="0002274E">
              <w:rPr>
                <w:spacing w:val="-3"/>
                <w:sz w:val="18"/>
                <w:szCs w:val="18"/>
              </w:rPr>
              <w:t xml:space="preserve"> </w:t>
            </w:r>
            <w:r w:rsidRPr="00175174" w:rsidR="0002274E">
              <w:rPr>
                <w:spacing w:val="-4"/>
                <w:sz w:val="18"/>
                <w:szCs w:val="18"/>
              </w:rPr>
              <w:t>2023</w:t>
            </w:r>
          </w:p>
        </w:tc>
        <w:tc>
          <w:tcPr>
            <w:tcW w:w="1261" w:type="dxa"/>
          </w:tcPr>
          <w:p w:rsidRPr="00175174" w:rsidR="0002274E" w:rsidP="00175174" w:rsidRDefault="0002274E" w14:paraId="1455E491" w14:textId="77777777">
            <w:pPr>
              <w:pStyle w:val="TableParagraph"/>
              <w:suppressAutoHyphens/>
              <w:jc w:val="left"/>
              <w:rPr>
                <w:sz w:val="18"/>
                <w:szCs w:val="18"/>
              </w:rPr>
            </w:pPr>
            <w:proofErr w:type="spellStart"/>
            <w:r w:rsidRPr="00175174">
              <w:rPr>
                <w:sz w:val="18"/>
                <w:szCs w:val="18"/>
              </w:rPr>
              <w:t>Indexering</w:t>
            </w:r>
            <w:proofErr w:type="spellEnd"/>
          </w:p>
        </w:tc>
        <w:tc>
          <w:tcPr>
            <w:tcW w:w="1048" w:type="dxa"/>
          </w:tcPr>
          <w:p w:rsidRPr="00175174" w:rsidR="0002274E" w:rsidP="00175174" w:rsidRDefault="0002274E" w14:paraId="3E2E4AB2" w14:textId="77777777">
            <w:pPr>
              <w:pStyle w:val="TableParagraph"/>
              <w:suppressAutoHyphens/>
              <w:jc w:val="left"/>
              <w:rPr>
                <w:sz w:val="18"/>
                <w:szCs w:val="18"/>
              </w:rPr>
            </w:pPr>
            <w:r w:rsidRPr="00175174">
              <w:rPr>
                <w:sz w:val="18"/>
                <w:szCs w:val="18"/>
              </w:rPr>
              <w:t>2023</w:t>
            </w:r>
          </w:p>
        </w:tc>
        <w:tc>
          <w:tcPr>
            <w:tcW w:w="1085" w:type="dxa"/>
          </w:tcPr>
          <w:p w:rsidRPr="00175174" w:rsidR="0002274E" w:rsidP="00175174" w:rsidRDefault="0002274E" w14:paraId="10F4551A" w14:textId="77777777">
            <w:pPr>
              <w:pStyle w:val="TableParagraph"/>
              <w:suppressAutoHyphens/>
              <w:jc w:val="left"/>
              <w:rPr>
                <w:sz w:val="18"/>
                <w:szCs w:val="18"/>
              </w:rPr>
            </w:pPr>
            <w:r w:rsidRPr="00175174">
              <w:rPr>
                <w:sz w:val="18"/>
                <w:szCs w:val="18"/>
              </w:rPr>
              <w:t>+87</w:t>
            </w:r>
          </w:p>
        </w:tc>
      </w:tr>
      <w:tr w:rsidRPr="00175174" w:rsidR="0002274E" w:rsidTr="00795B57" w14:paraId="4F98193B" w14:textId="77777777">
        <w:trPr>
          <w:trHeight w:val="239"/>
          <w:tblHeader/>
        </w:trPr>
        <w:tc>
          <w:tcPr>
            <w:tcW w:w="1839" w:type="dxa"/>
          </w:tcPr>
          <w:p w:rsidRPr="00175174" w:rsidR="0002274E" w:rsidP="00175174" w:rsidRDefault="0002274E" w14:paraId="02E3B57B" w14:textId="77777777">
            <w:pPr>
              <w:pStyle w:val="TableParagraph"/>
              <w:suppressAutoHyphens/>
              <w:jc w:val="left"/>
              <w:rPr>
                <w:bCs/>
                <w:sz w:val="18"/>
                <w:szCs w:val="18"/>
              </w:rPr>
            </w:pPr>
            <w:proofErr w:type="spellStart"/>
            <w:r w:rsidRPr="00175174">
              <w:rPr>
                <w:sz w:val="18"/>
                <w:szCs w:val="18"/>
              </w:rPr>
              <w:t>Eerste</w:t>
            </w:r>
            <w:proofErr w:type="spellEnd"/>
            <w:r w:rsidRPr="00175174">
              <w:rPr>
                <w:sz w:val="18"/>
                <w:szCs w:val="18"/>
              </w:rPr>
              <w:t xml:space="preserve"> BR</w:t>
            </w:r>
          </w:p>
        </w:tc>
        <w:tc>
          <w:tcPr>
            <w:tcW w:w="2424" w:type="dxa"/>
          </w:tcPr>
          <w:p w:rsidRPr="00175174" w:rsidR="0002274E" w:rsidP="00175174" w:rsidRDefault="0002274E" w14:paraId="74B5E99A" w14:textId="75CE2147">
            <w:pPr>
              <w:pStyle w:val="TableParagraph"/>
              <w:suppressAutoHyphens/>
              <w:jc w:val="left"/>
              <w:rPr>
                <w:sz w:val="18"/>
                <w:szCs w:val="18"/>
                <w:lang w:val="nl-NL"/>
              </w:rPr>
            </w:pPr>
            <w:r w:rsidRPr="00175174">
              <w:rPr>
                <w:sz w:val="18"/>
                <w:szCs w:val="18"/>
                <w:lang w:val="nl-NL"/>
              </w:rPr>
              <w:t>Prognose</w:t>
            </w:r>
            <w:r w:rsidRPr="00175174">
              <w:rPr>
                <w:spacing w:val="-11"/>
                <w:sz w:val="18"/>
                <w:szCs w:val="18"/>
                <w:lang w:val="nl-NL"/>
              </w:rPr>
              <w:t xml:space="preserve"> </w:t>
            </w:r>
            <w:r w:rsidRPr="00175174">
              <w:rPr>
                <w:spacing w:val="-2"/>
                <w:sz w:val="18"/>
                <w:szCs w:val="18"/>
                <w:lang w:val="nl-NL"/>
              </w:rPr>
              <w:t>eindstand</w:t>
            </w:r>
            <w:r w:rsidRPr="00175174" w:rsidR="002F2AC0">
              <w:rPr>
                <w:spacing w:val="-2"/>
                <w:sz w:val="18"/>
                <w:szCs w:val="18"/>
                <w:lang w:val="nl-NL"/>
              </w:rPr>
              <w:t xml:space="preserve"> </w:t>
            </w:r>
            <w:r w:rsidRPr="00175174" w:rsidR="002F2AC0">
              <w:rPr>
                <w:sz w:val="18"/>
                <w:szCs w:val="18"/>
                <w:lang w:val="nl-NL"/>
              </w:rPr>
              <w:t>op basis van baseline</w:t>
            </w:r>
            <w:r w:rsidRPr="00175174" w:rsidR="002F2AC0">
              <w:rPr>
                <w:spacing w:val="-7"/>
                <w:sz w:val="18"/>
                <w:szCs w:val="18"/>
                <w:lang w:val="nl-NL"/>
              </w:rPr>
              <w:t xml:space="preserve"> </w:t>
            </w:r>
            <w:r w:rsidRPr="00175174" w:rsidR="002F2AC0">
              <w:rPr>
                <w:spacing w:val="-10"/>
                <w:sz w:val="18"/>
                <w:szCs w:val="18"/>
                <w:lang w:val="nl-NL"/>
              </w:rPr>
              <w:t>8</w:t>
            </w:r>
          </w:p>
        </w:tc>
        <w:tc>
          <w:tcPr>
            <w:tcW w:w="1261" w:type="dxa"/>
          </w:tcPr>
          <w:p w:rsidRPr="00175174" w:rsidR="0002274E" w:rsidP="00175174" w:rsidRDefault="0002274E" w14:paraId="01CFA273" w14:textId="77777777">
            <w:pPr>
              <w:pStyle w:val="TableParagraph"/>
              <w:suppressAutoHyphens/>
              <w:jc w:val="left"/>
              <w:rPr>
                <w:sz w:val="18"/>
                <w:szCs w:val="18"/>
                <w:lang w:val="nl-NL"/>
              </w:rPr>
            </w:pPr>
          </w:p>
        </w:tc>
        <w:tc>
          <w:tcPr>
            <w:tcW w:w="1048" w:type="dxa"/>
          </w:tcPr>
          <w:p w:rsidRPr="00175174" w:rsidR="0002274E" w:rsidP="00175174" w:rsidRDefault="0002274E" w14:paraId="1597D6BE" w14:textId="77777777">
            <w:pPr>
              <w:pStyle w:val="TableParagraph"/>
              <w:suppressAutoHyphens/>
              <w:jc w:val="left"/>
              <w:rPr>
                <w:sz w:val="18"/>
                <w:szCs w:val="18"/>
              </w:rPr>
            </w:pPr>
            <w:r w:rsidRPr="00175174">
              <w:rPr>
                <w:sz w:val="18"/>
                <w:szCs w:val="18"/>
              </w:rPr>
              <w:t>2023</w:t>
            </w:r>
          </w:p>
        </w:tc>
        <w:tc>
          <w:tcPr>
            <w:tcW w:w="1085" w:type="dxa"/>
          </w:tcPr>
          <w:p w:rsidRPr="00175174" w:rsidR="0002274E" w:rsidP="00175174" w:rsidRDefault="0002274E" w14:paraId="7D15FD01" w14:textId="77777777">
            <w:pPr>
              <w:pStyle w:val="TableParagraph"/>
              <w:suppressAutoHyphens/>
              <w:jc w:val="left"/>
              <w:rPr>
                <w:sz w:val="18"/>
                <w:szCs w:val="18"/>
              </w:rPr>
            </w:pPr>
            <w:r w:rsidRPr="00175174">
              <w:rPr>
                <w:sz w:val="18"/>
                <w:szCs w:val="18"/>
              </w:rPr>
              <w:t>1.927</w:t>
            </w:r>
          </w:p>
        </w:tc>
      </w:tr>
      <w:tr w:rsidRPr="00175174" w:rsidR="0002274E" w:rsidTr="00795B57" w14:paraId="261C3168" w14:textId="77777777">
        <w:trPr>
          <w:trHeight w:val="479"/>
          <w:tblHeader/>
        </w:trPr>
        <w:tc>
          <w:tcPr>
            <w:tcW w:w="1839" w:type="dxa"/>
          </w:tcPr>
          <w:p w:rsidRPr="00175174" w:rsidR="0002274E" w:rsidP="00175174" w:rsidRDefault="0002274E" w14:paraId="190CCEAB" w14:textId="77777777">
            <w:pPr>
              <w:pStyle w:val="TableParagraph"/>
              <w:suppressAutoHyphens/>
              <w:jc w:val="left"/>
              <w:rPr>
                <w:sz w:val="18"/>
                <w:szCs w:val="18"/>
              </w:rPr>
            </w:pPr>
            <w:proofErr w:type="spellStart"/>
            <w:r w:rsidRPr="00175174">
              <w:rPr>
                <w:sz w:val="18"/>
                <w:szCs w:val="18"/>
              </w:rPr>
              <w:t>Eerste</w:t>
            </w:r>
            <w:proofErr w:type="spellEnd"/>
            <w:r w:rsidRPr="00175174">
              <w:rPr>
                <w:spacing w:val="-6"/>
                <w:sz w:val="18"/>
                <w:szCs w:val="18"/>
              </w:rPr>
              <w:t xml:space="preserve"> </w:t>
            </w:r>
            <w:r w:rsidRPr="00175174">
              <w:rPr>
                <w:spacing w:val="-2"/>
                <w:sz w:val="18"/>
                <w:szCs w:val="18"/>
              </w:rPr>
              <w:t>VGR</w:t>
            </w:r>
          </w:p>
        </w:tc>
        <w:tc>
          <w:tcPr>
            <w:tcW w:w="2424" w:type="dxa"/>
          </w:tcPr>
          <w:p w:rsidRPr="00175174" w:rsidR="0002274E" w:rsidP="00175174" w:rsidRDefault="00795B57" w14:paraId="1B612E9F" w14:textId="1280AA7A">
            <w:pPr>
              <w:pStyle w:val="TableParagraph"/>
              <w:suppressAutoHyphens/>
              <w:jc w:val="left"/>
              <w:rPr>
                <w:sz w:val="18"/>
                <w:szCs w:val="18"/>
              </w:rPr>
            </w:pPr>
            <w:r w:rsidRPr="00175174">
              <w:rPr>
                <w:sz w:val="18"/>
                <w:szCs w:val="18"/>
              </w:rPr>
              <w:t xml:space="preserve">CBS-indices </w:t>
            </w:r>
            <w:r w:rsidRPr="00175174" w:rsidR="0002274E">
              <w:rPr>
                <w:sz w:val="18"/>
                <w:szCs w:val="18"/>
              </w:rPr>
              <w:t>GWW</w:t>
            </w:r>
            <w:r w:rsidRPr="00175174" w:rsidR="0002274E">
              <w:rPr>
                <w:spacing w:val="-3"/>
                <w:sz w:val="18"/>
                <w:szCs w:val="18"/>
              </w:rPr>
              <w:t xml:space="preserve"> </w:t>
            </w:r>
            <w:r w:rsidRPr="00175174" w:rsidR="0002274E">
              <w:rPr>
                <w:sz w:val="18"/>
                <w:szCs w:val="18"/>
              </w:rPr>
              <w:t>(4221)</w:t>
            </w:r>
            <w:r w:rsidRPr="00175174" w:rsidR="0002274E">
              <w:rPr>
                <w:spacing w:val="-3"/>
                <w:sz w:val="18"/>
                <w:szCs w:val="18"/>
              </w:rPr>
              <w:t xml:space="preserve"> </w:t>
            </w:r>
            <w:r w:rsidRPr="00175174" w:rsidR="0002274E">
              <w:rPr>
                <w:sz w:val="18"/>
                <w:szCs w:val="18"/>
              </w:rPr>
              <w:t>en</w:t>
            </w:r>
            <w:r w:rsidRPr="00175174" w:rsidR="0002274E">
              <w:rPr>
                <w:spacing w:val="-4"/>
                <w:sz w:val="18"/>
                <w:szCs w:val="18"/>
              </w:rPr>
              <w:t xml:space="preserve"> </w:t>
            </w:r>
            <w:r w:rsidRPr="00175174" w:rsidR="0002274E">
              <w:rPr>
                <w:sz w:val="18"/>
                <w:szCs w:val="18"/>
              </w:rPr>
              <w:t>CPI</w:t>
            </w:r>
            <w:r w:rsidRPr="00175174" w:rsidR="0002274E">
              <w:rPr>
                <w:spacing w:val="-3"/>
                <w:sz w:val="18"/>
                <w:szCs w:val="18"/>
              </w:rPr>
              <w:t xml:space="preserve"> </w:t>
            </w:r>
            <w:r w:rsidRPr="00175174" w:rsidR="0002274E">
              <w:rPr>
                <w:spacing w:val="-4"/>
                <w:sz w:val="18"/>
                <w:szCs w:val="18"/>
              </w:rPr>
              <w:t>2024</w:t>
            </w:r>
          </w:p>
        </w:tc>
        <w:tc>
          <w:tcPr>
            <w:tcW w:w="1261" w:type="dxa"/>
          </w:tcPr>
          <w:p w:rsidRPr="00175174" w:rsidR="0002274E" w:rsidP="00175174" w:rsidRDefault="0002274E" w14:paraId="7A463B96" w14:textId="77777777">
            <w:pPr>
              <w:pStyle w:val="TableParagraph"/>
              <w:suppressAutoHyphens/>
              <w:jc w:val="left"/>
              <w:rPr>
                <w:sz w:val="18"/>
                <w:szCs w:val="18"/>
              </w:rPr>
            </w:pPr>
            <w:proofErr w:type="spellStart"/>
            <w:r w:rsidRPr="00175174">
              <w:rPr>
                <w:sz w:val="18"/>
                <w:szCs w:val="18"/>
              </w:rPr>
              <w:t>Indexering</w:t>
            </w:r>
            <w:proofErr w:type="spellEnd"/>
          </w:p>
        </w:tc>
        <w:tc>
          <w:tcPr>
            <w:tcW w:w="1048" w:type="dxa"/>
          </w:tcPr>
          <w:p w:rsidRPr="00175174" w:rsidR="0002274E" w:rsidP="00175174" w:rsidRDefault="0002274E" w14:paraId="7368E1AD" w14:textId="77777777">
            <w:pPr>
              <w:pStyle w:val="TableParagraph"/>
              <w:suppressAutoHyphens/>
              <w:jc w:val="left"/>
              <w:rPr>
                <w:sz w:val="18"/>
                <w:szCs w:val="18"/>
              </w:rPr>
            </w:pPr>
            <w:r w:rsidRPr="00175174">
              <w:rPr>
                <w:sz w:val="18"/>
                <w:szCs w:val="18"/>
              </w:rPr>
              <w:t>2024</w:t>
            </w:r>
          </w:p>
        </w:tc>
        <w:tc>
          <w:tcPr>
            <w:tcW w:w="1085" w:type="dxa"/>
          </w:tcPr>
          <w:p w:rsidRPr="00175174" w:rsidR="0002274E" w:rsidP="00175174" w:rsidRDefault="0002274E" w14:paraId="19A6912D" w14:textId="77777777">
            <w:pPr>
              <w:pStyle w:val="TableParagraph"/>
              <w:suppressAutoHyphens/>
              <w:jc w:val="left"/>
              <w:rPr>
                <w:sz w:val="18"/>
                <w:szCs w:val="18"/>
              </w:rPr>
            </w:pPr>
            <w:r w:rsidRPr="00175174">
              <w:rPr>
                <w:sz w:val="18"/>
                <w:szCs w:val="18"/>
              </w:rPr>
              <w:t>+73</w:t>
            </w:r>
          </w:p>
        </w:tc>
      </w:tr>
      <w:tr w:rsidRPr="00175174" w:rsidR="0002274E" w:rsidTr="00795B57" w14:paraId="2156A129" w14:textId="77777777">
        <w:trPr>
          <w:trHeight w:val="719"/>
          <w:tblHeader/>
        </w:trPr>
        <w:tc>
          <w:tcPr>
            <w:tcW w:w="1839" w:type="dxa"/>
          </w:tcPr>
          <w:p w:rsidRPr="00175174" w:rsidR="0002274E" w:rsidP="00175174" w:rsidRDefault="0002274E" w14:paraId="22A03641" w14:textId="77777777">
            <w:pPr>
              <w:pStyle w:val="TableParagraph"/>
              <w:suppressAutoHyphens/>
              <w:jc w:val="left"/>
              <w:rPr>
                <w:sz w:val="18"/>
                <w:szCs w:val="18"/>
                <w:lang w:val="nl-NL"/>
              </w:rPr>
            </w:pPr>
            <w:r w:rsidRPr="00175174">
              <w:rPr>
                <w:sz w:val="18"/>
                <w:szCs w:val="18"/>
                <w:lang w:val="nl-NL"/>
              </w:rPr>
              <w:t>Eerste</w:t>
            </w:r>
            <w:r w:rsidRPr="00175174">
              <w:rPr>
                <w:spacing w:val="-12"/>
                <w:sz w:val="18"/>
                <w:szCs w:val="18"/>
                <w:lang w:val="nl-NL"/>
              </w:rPr>
              <w:t xml:space="preserve"> </w:t>
            </w:r>
            <w:r w:rsidRPr="00175174">
              <w:rPr>
                <w:sz w:val="18"/>
                <w:szCs w:val="18"/>
                <w:lang w:val="nl-NL"/>
              </w:rPr>
              <w:t>en</w:t>
            </w:r>
            <w:r w:rsidRPr="00175174">
              <w:rPr>
                <w:spacing w:val="-12"/>
                <w:sz w:val="18"/>
                <w:szCs w:val="18"/>
                <w:lang w:val="nl-NL"/>
              </w:rPr>
              <w:t xml:space="preserve"> </w:t>
            </w:r>
            <w:r w:rsidRPr="00175174">
              <w:rPr>
                <w:sz w:val="18"/>
                <w:szCs w:val="18"/>
                <w:lang w:val="nl-NL"/>
              </w:rPr>
              <w:t xml:space="preserve">tweede </w:t>
            </w:r>
            <w:r w:rsidRPr="00175174">
              <w:rPr>
                <w:spacing w:val="-2"/>
                <w:sz w:val="18"/>
                <w:szCs w:val="18"/>
                <w:lang w:val="nl-NL"/>
              </w:rPr>
              <w:t>VGR</w:t>
            </w:r>
          </w:p>
        </w:tc>
        <w:tc>
          <w:tcPr>
            <w:tcW w:w="2424" w:type="dxa"/>
          </w:tcPr>
          <w:p w:rsidRPr="00175174" w:rsidR="0002274E" w:rsidP="00175174" w:rsidRDefault="0002274E" w14:paraId="774E1C6C" w14:textId="77777777">
            <w:pPr>
              <w:pStyle w:val="TableParagraph"/>
              <w:suppressAutoHyphens/>
              <w:jc w:val="left"/>
              <w:rPr>
                <w:sz w:val="18"/>
                <w:szCs w:val="18"/>
                <w:lang w:val="nl-NL"/>
              </w:rPr>
            </w:pPr>
            <w:r w:rsidRPr="00175174">
              <w:rPr>
                <w:sz w:val="18"/>
                <w:szCs w:val="18"/>
                <w:lang w:val="nl-NL"/>
              </w:rPr>
              <w:t>Prognose</w:t>
            </w:r>
            <w:r w:rsidRPr="00175174">
              <w:rPr>
                <w:spacing w:val="-11"/>
                <w:sz w:val="18"/>
                <w:szCs w:val="18"/>
                <w:lang w:val="nl-NL"/>
              </w:rPr>
              <w:t xml:space="preserve"> </w:t>
            </w:r>
            <w:r w:rsidRPr="00175174">
              <w:rPr>
                <w:spacing w:val="-2"/>
                <w:sz w:val="18"/>
                <w:szCs w:val="18"/>
                <w:lang w:val="nl-NL"/>
              </w:rPr>
              <w:t xml:space="preserve">eindstand </w:t>
            </w:r>
            <w:r w:rsidRPr="00175174">
              <w:rPr>
                <w:sz w:val="18"/>
                <w:szCs w:val="18"/>
                <w:lang w:val="nl-NL"/>
              </w:rPr>
              <w:t>op basis van baseline</w:t>
            </w:r>
            <w:r w:rsidRPr="00175174">
              <w:rPr>
                <w:spacing w:val="-7"/>
                <w:sz w:val="18"/>
                <w:szCs w:val="18"/>
                <w:lang w:val="nl-NL"/>
              </w:rPr>
              <w:t xml:space="preserve"> </w:t>
            </w:r>
            <w:r w:rsidRPr="00175174">
              <w:rPr>
                <w:spacing w:val="-10"/>
                <w:sz w:val="18"/>
                <w:szCs w:val="18"/>
                <w:lang w:val="nl-NL"/>
              </w:rPr>
              <w:t xml:space="preserve">8 </w:t>
            </w:r>
          </w:p>
        </w:tc>
        <w:tc>
          <w:tcPr>
            <w:tcW w:w="1261" w:type="dxa"/>
          </w:tcPr>
          <w:p w:rsidRPr="00175174" w:rsidR="0002274E" w:rsidP="00175174" w:rsidRDefault="0002274E" w14:paraId="0AA56003" w14:textId="77777777">
            <w:pPr>
              <w:pStyle w:val="TableParagraph"/>
              <w:suppressAutoHyphens/>
              <w:jc w:val="left"/>
              <w:rPr>
                <w:sz w:val="18"/>
                <w:szCs w:val="18"/>
                <w:lang w:val="nl-NL"/>
              </w:rPr>
            </w:pPr>
          </w:p>
        </w:tc>
        <w:tc>
          <w:tcPr>
            <w:tcW w:w="1048" w:type="dxa"/>
          </w:tcPr>
          <w:p w:rsidRPr="00175174" w:rsidR="0002274E" w:rsidP="00175174" w:rsidRDefault="0002274E" w14:paraId="05610179" w14:textId="77777777">
            <w:pPr>
              <w:pStyle w:val="TableParagraph"/>
              <w:suppressAutoHyphens/>
              <w:jc w:val="left"/>
              <w:rPr>
                <w:sz w:val="18"/>
                <w:szCs w:val="18"/>
              </w:rPr>
            </w:pPr>
            <w:r w:rsidRPr="00175174">
              <w:rPr>
                <w:sz w:val="18"/>
                <w:szCs w:val="18"/>
              </w:rPr>
              <w:t>2024</w:t>
            </w:r>
          </w:p>
        </w:tc>
        <w:tc>
          <w:tcPr>
            <w:tcW w:w="1085" w:type="dxa"/>
          </w:tcPr>
          <w:p w:rsidRPr="00175174" w:rsidR="0002274E" w:rsidP="00175174" w:rsidRDefault="0002274E" w14:paraId="75824324" w14:textId="77777777">
            <w:pPr>
              <w:pStyle w:val="TableParagraph"/>
              <w:suppressAutoHyphens/>
              <w:jc w:val="left"/>
              <w:rPr>
                <w:sz w:val="18"/>
                <w:szCs w:val="18"/>
              </w:rPr>
            </w:pPr>
            <w:r w:rsidRPr="00175174">
              <w:rPr>
                <w:sz w:val="18"/>
                <w:szCs w:val="18"/>
              </w:rPr>
              <w:t>2.000</w:t>
            </w:r>
          </w:p>
        </w:tc>
      </w:tr>
      <w:tr w:rsidRPr="00175174" w:rsidR="0002274E" w:rsidTr="00795B57" w14:paraId="4302E029" w14:textId="77777777">
        <w:trPr>
          <w:trHeight w:val="525"/>
          <w:tblHeader/>
        </w:trPr>
        <w:tc>
          <w:tcPr>
            <w:tcW w:w="1839" w:type="dxa"/>
          </w:tcPr>
          <w:p w:rsidRPr="00175174" w:rsidR="0002274E" w:rsidP="00175174" w:rsidRDefault="0002274E" w14:paraId="137156B9" w14:textId="77777777">
            <w:pPr>
              <w:pStyle w:val="TableParagraph"/>
              <w:suppressAutoHyphens/>
              <w:jc w:val="left"/>
              <w:rPr>
                <w:sz w:val="18"/>
                <w:szCs w:val="18"/>
              </w:rPr>
            </w:pPr>
            <w:r w:rsidRPr="00175174">
              <w:rPr>
                <w:sz w:val="18"/>
                <w:szCs w:val="18"/>
              </w:rPr>
              <w:t>Tweede BR</w:t>
            </w:r>
          </w:p>
        </w:tc>
        <w:tc>
          <w:tcPr>
            <w:tcW w:w="2424" w:type="dxa"/>
          </w:tcPr>
          <w:p w:rsidRPr="00175174" w:rsidR="0002274E" w:rsidP="00175174" w:rsidRDefault="0002274E" w14:paraId="7E18ACDA" w14:textId="77777777">
            <w:pPr>
              <w:pStyle w:val="TableParagraph"/>
              <w:suppressAutoHyphens/>
              <w:jc w:val="left"/>
              <w:rPr>
                <w:sz w:val="18"/>
                <w:szCs w:val="18"/>
                <w:lang w:val="nl-NL"/>
              </w:rPr>
            </w:pPr>
            <w:r w:rsidRPr="00175174">
              <w:rPr>
                <w:sz w:val="18"/>
                <w:szCs w:val="18"/>
                <w:lang w:val="nl-NL"/>
              </w:rPr>
              <w:t>Prognose eindstand op basis van probabilistische analyse baseline 9 eind mei 2025</w:t>
            </w:r>
          </w:p>
        </w:tc>
        <w:tc>
          <w:tcPr>
            <w:tcW w:w="1261" w:type="dxa"/>
          </w:tcPr>
          <w:p w:rsidRPr="00175174" w:rsidR="0002274E" w:rsidP="00175174" w:rsidRDefault="0002274E" w14:paraId="13AC2980" w14:textId="77777777">
            <w:pPr>
              <w:pStyle w:val="TableParagraph"/>
              <w:suppressAutoHyphens/>
              <w:jc w:val="left"/>
              <w:rPr>
                <w:sz w:val="18"/>
                <w:szCs w:val="18"/>
                <w:lang w:val="nl-NL"/>
              </w:rPr>
            </w:pPr>
          </w:p>
        </w:tc>
        <w:tc>
          <w:tcPr>
            <w:tcW w:w="1048" w:type="dxa"/>
          </w:tcPr>
          <w:p w:rsidRPr="00175174" w:rsidR="0002274E" w:rsidP="00175174" w:rsidRDefault="0002274E" w14:paraId="4EC0C22E" w14:textId="77777777">
            <w:pPr>
              <w:pStyle w:val="TableParagraph"/>
              <w:suppressAutoHyphens/>
              <w:jc w:val="left"/>
              <w:rPr>
                <w:sz w:val="18"/>
                <w:szCs w:val="18"/>
              </w:rPr>
            </w:pPr>
            <w:r w:rsidRPr="00175174">
              <w:rPr>
                <w:sz w:val="18"/>
                <w:szCs w:val="18"/>
              </w:rPr>
              <w:t>2024</w:t>
            </w:r>
          </w:p>
        </w:tc>
        <w:tc>
          <w:tcPr>
            <w:tcW w:w="1085" w:type="dxa"/>
          </w:tcPr>
          <w:p w:rsidRPr="00175174" w:rsidR="0002274E" w:rsidP="00175174" w:rsidRDefault="0002274E" w14:paraId="53E63EC5" w14:textId="77777777">
            <w:pPr>
              <w:pStyle w:val="TableParagraph"/>
              <w:suppressAutoHyphens/>
              <w:jc w:val="left"/>
              <w:rPr>
                <w:sz w:val="18"/>
                <w:szCs w:val="18"/>
              </w:rPr>
            </w:pPr>
            <w:r w:rsidRPr="00175174">
              <w:rPr>
                <w:sz w:val="18"/>
                <w:szCs w:val="18"/>
              </w:rPr>
              <w:t>2.454</w:t>
            </w:r>
          </w:p>
        </w:tc>
      </w:tr>
      <w:tr w:rsidRPr="00175174" w:rsidR="0002274E" w:rsidTr="00795B57" w14:paraId="78DE4475" w14:textId="77777777">
        <w:trPr>
          <w:trHeight w:val="418"/>
          <w:tblHeader/>
        </w:trPr>
        <w:tc>
          <w:tcPr>
            <w:tcW w:w="1839" w:type="dxa"/>
          </w:tcPr>
          <w:p w:rsidRPr="00175174" w:rsidR="0002274E" w:rsidP="00175174" w:rsidRDefault="0002274E" w14:paraId="605E6181" w14:textId="77777777">
            <w:pPr>
              <w:pStyle w:val="TableParagraph"/>
              <w:suppressAutoHyphens/>
              <w:jc w:val="left"/>
              <w:rPr>
                <w:sz w:val="18"/>
                <w:szCs w:val="18"/>
              </w:rPr>
            </w:pPr>
            <w:r w:rsidRPr="00175174">
              <w:rPr>
                <w:sz w:val="18"/>
                <w:szCs w:val="18"/>
              </w:rPr>
              <w:t>Tweede BR</w:t>
            </w:r>
          </w:p>
        </w:tc>
        <w:tc>
          <w:tcPr>
            <w:tcW w:w="2424" w:type="dxa"/>
          </w:tcPr>
          <w:p w:rsidRPr="00175174" w:rsidR="0002274E" w:rsidP="00175174" w:rsidRDefault="00795B57" w14:paraId="1FCF7F30" w14:textId="06C908F4">
            <w:pPr>
              <w:pStyle w:val="TableParagraph"/>
              <w:suppressAutoHyphens/>
              <w:jc w:val="left"/>
              <w:rPr>
                <w:sz w:val="18"/>
                <w:szCs w:val="18"/>
              </w:rPr>
            </w:pPr>
            <w:r w:rsidRPr="00175174">
              <w:rPr>
                <w:sz w:val="18"/>
                <w:szCs w:val="18"/>
              </w:rPr>
              <w:t xml:space="preserve">CBS-indices </w:t>
            </w:r>
            <w:r w:rsidRPr="00175174" w:rsidR="0002274E">
              <w:rPr>
                <w:sz w:val="18"/>
                <w:szCs w:val="18"/>
              </w:rPr>
              <w:t>GWW</w:t>
            </w:r>
            <w:r w:rsidRPr="00175174" w:rsidR="0002274E">
              <w:rPr>
                <w:spacing w:val="-3"/>
                <w:sz w:val="18"/>
                <w:szCs w:val="18"/>
              </w:rPr>
              <w:t xml:space="preserve"> </w:t>
            </w:r>
            <w:r w:rsidRPr="00175174" w:rsidR="0002274E">
              <w:rPr>
                <w:sz w:val="18"/>
                <w:szCs w:val="18"/>
              </w:rPr>
              <w:t>(4221)</w:t>
            </w:r>
            <w:r w:rsidRPr="00175174" w:rsidR="0002274E">
              <w:rPr>
                <w:spacing w:val="-3"/>
                <w:sz w:val="18"/>
                <w:szCs w:val="18"/>
              </w:rPr>
              <w:t xml:space="preserve"> </w:t>
            </w:r>
            <w:r w:rsidRPr="00175174" w:rsidR="0002274E">
              <w:rPr>
                <w:sz w:val="18"/>
                <w:szCs w:val="18"/>
              </w:rPr>
              <w:t>en</w:t>
            </w:r>
            <w:r w:rsidRPr="00175174" w:rsidR="0002274E">
              <w:rPr>
                <w:spacing w:val="-4"/>
                <w:sz w:val="18"/>
                <w:szCs w:val="18"/>
              </w:rPr>
              <w:t xml:space="preserve"> </w:t>
            </w:r>
            <w:r w:rsidRPr="00175174" w:rsidR="0002274E">
              <w:rPr>
                <w:sz w:val="18"/>
                <w:szCs w:val="18"/>
              </w:rPr>
              <w:t>CPI</w:t>
            </w:r>
            <w:r w:rsidRPr="00175174" w:rsidR="0002274E">
              <w:rPr>
                <w:spacing w:val="-3"/>
                <w:sz w:val="18"/>
                <w:szCs w:val="18"/>
              </w:rPr>
              <w:t xml:space="preserve"> </w:t>
            </w:r>
            <w:r w:rsidRPr="00175174" w:rsidR="0002274E">
              <w:rPr>
                <w:spacing w:val="-4"/>
                <w:sz w:val="18"/>
                <w:szCs w:val="18"/>
              </w:rPr>
              <w:t>2025</w:t>
            </w:r>
          </w:p>
        </w:tc>
        <w:tc>
          <w:tcPr>
            <w:tcW w:w="1261" w:type="dxa"/>
          </w:tcPr>
          <w:p w:rsidRPr="00175174" w:rsidR="0002274E" w:rsidP="00175174" w:rsidRDefault="0002274E" w14:paraId="764F086F" w14:textId="77777777">
            <w:pPr>
              <w:pStyle w:val="TableParagraph"/>
              <w:suppressAutoHyphens/>
              <w:jc w:val="left"/>
              <w:rPr>
                <w:sz w:val="18"/>
                <w:szCs w:val="18"/>
              </w:rPr>
            </w:pPr>
            <w:r w:rsidRPr="00175174">
              <w:rPr>
                <w:sz w:val="18"/>
                <w:szCs w:val="18"/>
              </w:rPr>
              <w:t xml:space="preserve"> </w:t>
            </w:r>
            <w:proofErr w:type="spellStart"/>
            <w:r w:rsidRPr="00175174">
              <w:rPr>
                <w:sz w:val="18"/>
                <w:szCs w:val="18"/>
              </w:rPr>
              <w:t>Indexering</w:t>
            </w:r>
            <w:proofErr w:type="spellEnd"/>
          </w:p>
        </w:tc>
        <w:tc>
          <w:tcPr>
            <w:tcW w:w="1048" w:type="dxa"/>
          </w:tcPr>
          <w:p w:rsidRPr="00175174" w:rsidR="0002274E" w:rsidP="00175174" w:rsidRDefault="0002274E" w14:paraId="51038CC6" w14:textId="77777777">
            <w:pPr>
              <w:pStyle w:val="TableParagraph"/>
              <w:suppressAutoHyphens/>
              <w:jc w:val="left"/>
              <w:rPr>
                <w:sz w:val="18"/>
                <w:szCs w:val="18"/>
              </w:rPr>
            </w:pPr>
            <w:r w:rsidRPr="00175174">
              <w:rPr>
                <w:sz w:val="18"/>
                <w:szCs w:val="18"/>
              </w:rPr>
              <w:t>2025</w:t>
            </w:r>
          </w:p>
        </w:tc>
        <w:tc>
          <w:tcPr>
            <w:tcW w:w="1085" w:type="dxa"/>
          </w:tcPr>
          <w:p w:rsidRPr="00175174" w:rsidR="0002274E" w:rsidP="00175174" w:rsidRDefault="0002274E" w14:paraId="103C6AEA" w14:textId="77777777">
            <w:pPr>
              <w:pStyle w:val="TableParagraph"/>
              <w:suppressAutoHyphens/>
              <w:jc w:val="left"/>
              <w:rPr>
                <w:sz w:val="18"/>
                <w:szCs w:val="18"/>
              </w:rPr>
            </w:pPr>
            <w:r w:rsidRPr="00175174">
              <w:rPr>
                <w:sz w:val="18"/>
                <w:szCs w:val="18"/>
              </w:rPr>
              <w:t>+75</w:t>
            </w:r>
          </w:p>
        </w:tc>
      </w:tr>
      <w:tr w:rsidRPr="00175174" w:rsidR="0002274E" w:rsidTr="00795B57" w14:paraId="4B1A39FD" w14:textId="77777777">
        <w:trPr>
          <w:trHeight w:val="410"/>
          <w:tblHeader/>
        </w:trPr>
        <w:tc>
          <w:tcPr>
            <w:tcW w:w="1839" w:type="dxa"/>
          </w:tcPr>
          <w:p w:rsidRPr="00175174" w:rsidR="0002274E" w:rsidP="00175174" w:rsidRDefault="0002274E" w14:paraId="01F53837" w14:textId="77777777">
            <w:pPr>
              <w:pStyle w:val="TableParagraph"/>
              <w:suppressAutoHyphens/>
              <w:jc w:val="left"/>
              <w:rPr>
                <w:sz w:val="18"/>
                <w:szCs w:val="18"/>
                <w:lang w:val="nl-NL"/>
              </w:rPr>
            </w:pPr>
            <w:r w:rsidRPr="00175174">
              <w:rPr>
                <w:sz w:val="18"/>
                <w:szCs w:val="18"/>
                <w:lang w:val="nl-NL"/>
              </w:rPr>
              <w:t>Tweede BR en derde VGR</w:t>
            </w:r>
          </w:p>
        </w:tc>
        <w:tc>
          <w:tcPr>
            <w:tcW w:w="2424" w:type="dxa"/>
          </w:tcPr>
          <w:p w:rsidRPr="00175174" w:rsidR="0002274E" w:rsidP="00175174" w:rsidRDefault="0002274E" w14:paraId="377A4543" w14:textId="77777777">
            <w:pPr>
              <w:pStyle w:val="TableParagraph"/>
              <w:suppressAutoHyphens/>
              <w:jc w:val="left"/>
              <w:rPr>
                <w:sz w:val="18"/>
                <w:szCs w:val="18"/>
              </w:rPr>
            </w:pPr>
            <w:r w:rsidRPr="00175174">
              <w:rPr>
                <w:sz w:val="18"/>
                <w:szCs w:val="18"/>
              </w:rPr>
              <w:t xml:space="preserve">Prognose </w:t>
            </w:r>
            <w:proofErr w:type="spellStart"/>
            <w:r w:rsidRPr="00175174">
              <w:rPr>
                <w:sz w:val="18"/>
                <w:szCs w:val="18"/>
              </w:rPr>
              <w:t>eindstand</w:t>
            </w:r>
            <w:proofErr w:type="spellEnd"/>
          </w:p>
        </w:tc>
        <w:tc>
          <w:tcPr>
            <w:tcW w:w="1261" w:type="dxa"/>
          </w:tcPr>
          <w:p w:rsidRPr="00175174" w:rsidR="0002274E" w:rsidP="00175174" w:rsidRDefault="0002274E" w14:paraId="68BFE66B" w14:textId="77777777">
            <w:pPr>
              <w:pStyle w:val="TableParagraph"/>
              <w:suppressAutoHyphens/>
              <w:jc w:val="left"/>
              <w:rPr>
                <w:sz w:val="18"/>
                <w:szCs w:val="18"/>
              </w:rPr>
            </w:pPr>
          </w:p>
        </w:tc>
        <w:tc>
          <w:tcPr>
            <w:tcW w:w="1048" w:type="dxa"/>
          </w:tcPr>
          <w:p w:rsidRPr="00175174" w:rsidR="0002274E" w:rsidP="00175174" w:rsidRDefault="0002274E" w14:paraId="24F787DD" w14:textId="77777777">
            <w:pPr>
              <w:pStyle w:val="TableParagraph"/>
              <w:suppressAutoHyphens/>
              <w:jc w:val="left"/>
              <w:rPr>
                <w:sz w:val="18"/>
                <w:szCs w:val="18"/>
              </w:rPr>
            </w:pPr>
            <w:r w:rsidRPr="00175174">
              <w:rPr>
                <w:sz w:val="18"/>
                <w:szCs w:val="18"/>
              </w:rPr>
              <w:t>2025</w:t>
            </w:r>
          </w:p>
        </w:tc>
        <w:tc>
          <w:tcPr>
            <w:tcW w:w="1085" w:type="dxa"/>
          </w:tcPr>
          <w:p w:rsidRPr="00175174" w:rsidR="0002274E" w:rsidP="00175174" w:rsidRDefault="0002274E" w14:paraId="4723FFD4" w14:textId="77777777">
            <w:pPr>
              <w:pStyle w:val="TableParagraph"/>
              <w:suppressAutoHyphens/>
              <w:jc w:val="left"/>
              <w:rPr>
                <w:sz w:val="18"/>
                <w:szCs w:val="18"/>
              </w:rPr>
            </w:pPr>
            <w:r w:rsidRPr="00175174">
              <w:rPr>
                <w:sz w:val="18"/>
                <w:szCs w:val="18"/>
              </w:rPr>
              <w:t>2.529</w:t>
            </w:r>
          </w:p>
        </w:tc>
      </w:tr>
    </w:tbl>
    <w:p w:rsidRPr="00175174" w:rsidR="009B5089" w:rsidP="00175174" w:rsidRDefault="009B5089" w14:paraId="7C55D642" w14:textId="77777777">
      <w:pPr>
        <w:suppressAutoHyphens/>
        <w:spacing w:after="0"/>
        <w:jc w:val="left"/>
      </w:pPr>
    </w:p>
    <w:p w:rsidRPr="00175174" w:rsidR="009B5089" w:rsidP="00175174" w:rsidRDefault="00593F3C" w14:paraId="55EBCBE7" w14:textId="3B6EA0D5">
      <w:pPr>
        <w:pStyle w:val="Plattetekst"/>
        <w:suppressAutoHyphens/>
        <w:spacing w:line="240" w:lineRule="exact"/>
        <w:jc w:val="left"/>
      </w:pPr>
      <w:r w:rsidRPr="00175174">
        <w:t>D</w:t>
      </w:r>
      <w:r w:rsidRPr="00175174" w:rsidR="001F0D61">
        <w:t>e totale financieringsbehoefte van NRG PALLAS B.V. voor het PALLAS-nieuwbouwprogramma over de gehele looptijd</w:t>
      </w:r>
      <w:r w:rsidRPr="00175174">
        <w:t xml:space="preserve"> bedraagt net als in de tweede basisrapportage € 2.473 mln.</w:t>
      </w:r>
      <w:r w:rsidRPr="00175174" w:rsidR="001F0D61">
        <w:t xml:space="preserve"> T</w:t>
      </w:r>
      <w:r w:rsidRPr="00175174" w:rsidR="001F0D61">
        <w:rPr>
          <w:spacing w:val="-2"/>
        </w:rPr>
        <w:t xml:space="preserve">abel </w:t>
      </w:r>
      <w:r w:rsidRPr="00175174" w:rsidR="009B5089">
        <w:rPr>
          <w:spacing w:val="-2"/>
        </w:rPr>
        <w:t>5</w:t>
      </w:r>
      <w:r w:rsidRPr="00175174" w:rsidR="001F0D61">
        <w:rPr>
          <w:spacing w:val="-2"/>
        </w:rPr>
        <w:t xml:space="preserve"> geeft het verloop van de totale financieringsbehoefte van NRG PALLAS B.V. voor het nieuwbouwprogramma weer (bedragen in € mln.).</w:t>
      </w:r>
      <w:r w:rsidRPr="00175174">
        <w:rPr>
          <w:spacing w:val="-2"/>
        </w:rPr>
        <w:t xml:space="preserve"> </w:t>
      </w:r>
      <w:r w:rsidRPr="00175174">
        <w:t>Deze is € 56 mln. lager dan de prognose eindstand van € 2.529 mln. NRG PALLAS B.V. heeft de financieringsbehoefte lager vastgesteld dan de prognose eindstand vanwege een pakket besparingsmaatregelen dat onderdeel is van baseline 9. De uitkomsten van de probabilistische kostenanalyse worden gebruikt als toetsinstrument voor de hoogte van de benodigde financiering (deze analyse wordt structureel twee keer per jaar uitgevoerd).</w:t>
      </w:r>
    </w:p>
    <w:p w:rsidRPr="00175174" w:rsidR="007B444F" w:rsidP="00175174" w:rsidRDefault="007B444F" w14:paraId="7DB55838" w14:textId="5F7B4921">
      <w:pPr>
        <w:pStyle w:val="Bijschrift"/>
        <w:suppressAutoHyphens/>
      </w:pPr>
      <w:r w:rsidRPr="00175174">
        <w:t xml:space="preserve">Tabel </w:t>
      </w:r>
      <w:r w:rsidRPr="00175174" w:rsidR="009B5089">
        <w:t>5</w:t>
      </w:r>
      <w:r w:rsidRPr="00175174">
        <w:t xml:space="preserve">. Mutatieoverzicht totale financieringsbehoefte voor PALLAS-nieuwbouwprogramma </w:t>
      </w:r>
    </w:p>
    <w:tbl>
      <w:tblPr>
        <w:tblStyle w:val="TableNormal"/>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Look w:val="01E0" w:firstRow="1" w:lastRow="1" w:firstColumn="1" w:lastColumn="1" w:noHBand="0" w:noVBand="0"/>
      </w:tblPr>
      <w:tblGrid>
        <w:gridCol w:w="2405"/>
        <w:gridCol w:w="1985"/>
        <w:gridCol w:w="1134"/>
        <w:gridCol w:w="1134"/>
        <w:gridCol w:w="999"/>
      </w:tblGrid>
      <w:tr w:rsidRPr="00175174" w:rsidR="007B444F" w:rsidTr="00795B57" w14:paraId="12E8ED72" w14:textId="77777777">
        <w:trPr>
          <w:trHeight w:val="240"/>
        </w:trPr>
        <w:tc>
          <w:tcPr>
            <w:tcW w:w="2405" w:type="dxa"/>
            <w:shd w:val="clear" w:color="auto" w:fill="002F5B"/>
          </w:tcPr>
          <w:p w:rsidRPr="00175174" w:rsidR="007B444F" w:rsidP="00175174" w:rsidRDefault="007B444F" w14:paraId="31064CF6" w14:textId="77777777">
            <w:pPr>
              <w:pStyle w:val="TableParagraph"/>
              <w:suppressAutoHyphens/>
              <w:jc w:val="left"/>
              <w:rPr>
                <w:b/>
                <w:bCs/>
                <w:sz w:val="18"/>
                <w:szCs w:val="18"/>
              </w:rPr>
            </w:pPr>
            <w:r w:rsidRPr="00175174">
              <w:rPr>
                <w:b/>
                <w:bCs/>
                <w:sz w:val="18"/>
                <w:szCs w:val="18"/>
              </w:rPr>
              <w:t>Rapportage</w:t>
            </w:r>
          </w:p>
        </w:tc>
        <w:tc>
          <w:tcPr>
            <w:tcW w:w="1985" w:type="dxa"/>
            <w:shd w:val="clear" w:color="auto" w:fill="002F5B"/>
          </w:tcPr>
          <w:p w:rsidRPr="00175174" w:rsidR="007B444F" w:rsidP="00175174" w:rsidRDefault="007B444F" w14:paraId="59C35381" w14:textId="77777777">
            <w:pPr>
              <w:pStyle w:val="TableParagraph"/>
              <w:suppressAutoHyphens/>
              <w:jc w:val="left"/>
              <w:rPr>
                <w:b/>
                <w:bCs/>
                <w:sz w:val="18"/>
                <w:szCs w:val="18"/>
              </w:rPr>
            </w:pPr>
            <w:proofErr w:type="spellStart"/>
            <w:r w:rsidRPr="00175174">
              <w:rPr>
                <w:b/>
                <w:bCs/>
                <w:sz w:val="18"/>
                <w:szCs w:val="18"/>
              </w:rPr>
              <w:t>Betreft</w:t>
            </w:r>
            <w:proofErr w:type="spellEnd"/>
          </w:p>
        </w:tc>
        <w:tc>
          <w:tcPr>
            <w:tcW w:w="1134" w:type="dxa"/>
            <w:shd w:val="clear" w:color="auto" w:fill="002F5B"/>
          </w:tcPr>
          <w:p w:rsidRPr="00175174" w:rsidR="007B444F" w:rsidP="00175174" w:rsidRDefault="007B444F" w14:paraId="35676969" w14:textId="77777777">
            <w:pPr>
              <w:pStyle w:val="TableParagraph"/>
              <w:suppressAutoHyphens/>
              <w:jc w:val="left"/>
              <w:rPr>
                <w:b/>
                <w:bCs/>
                <w:sz w:val="18"/>
                <w:szCs w:val="18"/>
              </w:rPr>
            </w:pPr>
            <w:proofErr w:type="spellStart"/>
            <w:r w:rsidRPr="00175174">
              <w:rPr>
                <w:b/>
                <w:bCs/>
                <w:sz w:val="18"/>
                <w:szCs w:val="18"/>
              </w:rPr>
              <w:t>Mutatie</w:t>
            </w:r>
            <w:proofErr w:type="spellEnd"/>
          </w:p>
        </w:tc>
        <w:tc>
          <w:tcPr>
            <w:tcW w:w="1134" w:type="dxa"/>
            <w:shd w:val="clear" w:color="auto" w:fill="002F5B"/>
          </w:tcPr>
          <w:p w:rsidRPr="00175174" w:rsidR="007B444F" w:rsidP="00175174" w:rsidRDefault="007B444F" w14:paraId="5B43AA0C" w14:textId="77777777">
            <w:pPr>
              <w:pStyle w:val="TableParagraph"/>
              <w:suppressAutoHyphens/>
              <w:jc w:val="left"/>
              <w:rPr>
                <w:b/>
                <w:bCs/>
                <w:sz w:val="18"/>
                <w:szCs w:val="18"/>
              </w:rPr>
            </w:pPr>
            <w:proofErr w:type="spellStart"/>
            <w:r w:rsidRPr="00175174">
              <w:rPr>
                <w:b/>
                <w:bCs/>
                <w:sz w:val="18"/>
                <w:szCs w:val="18"/>
              </w:rPr>
              <w:t>Prijspeil</w:t>
            </w:r>
            <w:proofErr w:type="spellEnd"/>
          </w:p>
        </w:tc>
        <w:tc>
          <w:tcPr>
            <w:tcW w:w="999" w:type="dxa"/>
            <w:shd w:val="clear" w:color="auto" w:fill="002F5B"/>
          </w:tcPr>
          <w:p w:rsidRPr="00175174" w:rsidR="007B444F" w:rsidP="00175174" w:rsidRDefault="007B444F" w14:paraId="4DDF8472" w14:textId="77777777">
            <w:pPr>
              <w:pStyle w:val="TableParagraph"/>
              <w:suppressAutoHyphens/>
              <w:jc w:val="left"/>
              <w:rPr>
                <w:b/>
                <w:bCs/>
                <w:sz w:val="18"/>
                <w:szCs w:val="18"/>
              </w:rPr>
            </w:pPr>
            <w:proofErr w:type="spellStart"/>
            <w:r w:rsidRPr="00175174">
              <w:rPr>
                <w:b/>
                <w:bCs/>
                <w:sz w:val="18"/>
                <w:szCs w:val="18"/>
              </w:rPr>
              <w:t>Bedrag</w:t>
            </w:r>
            <w:proofErr w:type="spellEnd"/>
          </w:p>
        </w:tc>
      </w:tr>
      <w:tr w:rsidRPr="00175174" w:rsidR="007B444F" w:rsidTr="00795B57" w14:paraId="7D011E99" w14:textId="77777777">
        <w:trPr>
          <w:trHeight w:val="525"/>
        </w:trPr>
        <w:tc>
          <w:tcPr>
            <w:tcW w:w="2405" w:type="dxa"/>
          </w:tcPr>
          <w:p w:rsidRPr="00175174" w:rsidR="007B444F" w:rsidP="00175174" w:rsidRDefault="007B444F" w14:paraId="0CE9F4B3" w14:textId="77777777">
            <w:pPr>
              <w:suppressAutoHyphens/>
              <w:autoSpaceDN/>
              <w:spacing w:after="0"/>
              <w:jc w:val="left"/>
              <w:rPr>
                <w:lang w:val="nl-NL"/>
              </w:rPr>
            </w:pPr>
            <w:r w:rsidRPr="00175174">
              <w:rPr>
                <w:lang w:val="nl-NL"/>
              </w:rPr>
              <w:t>Rapport met voorlopige uitkomsten baseline 9 uit februari 2025</w:t>
            </w:r>
          </w:p>
        </w:tc>
        <w:tc>
          <w:tcPr>
            <w:tcW w:w="1985" w:type="dxa"/>
          </w:tcPr>
          <w:p w:rsidRPr="00175174" w:rsidR="007B444F" w:rsidP="00175174" w:rsidRDefault="007B444F" w14:paraId="065D390B" w14:textId="5C55DF2B">
            <w:pPr>
              <w:suppressAutoHyphens/>
              <w:autoSpaceDN/>
              <w:spacing w:after="0"/>
              <w:jc w:val="left"/>
              <w:rPr>
                <w:lang w:val="nl-NL"/>
              </w:rPr>
            </w:pPr>
            <w:r w:rsidRPr="00175174">
              <w:rPr>
                <w:lang w:val="nl-NL"/>
              </w:rPr>
              <w:t xml:space="preserve">Totale </w:t>
            </w:r>
            <w:proofErr w:type="spellStart"/>
            <w:r w:rsidRPr="00175174">
              <w:rPr>
                <w:lang w:val="nl-NL"/>
              </w:rPr>
              <w:t>financierings</w:t>
            </w:r>
            <w:r w:rsidRPr="00175174" w:rsidR="00A7279B">
              <w:rPr>
                <w:lang w:val="nl-NL"/>
              </w:rPr>
              <w:t>-</w:t>
            </w:r>
            <w:r w:rsidRPr="00175174">
              <w:rPr>
                <w:lang w:val="nl-NL"/>
              </w:rPr>
              <w:t>behoefte</w:t>
            </w:r>
            <w:proofErr w:type="spellEnd"/>
          </w:p>
        </w:tc>
        <w:tc>
          <w:tcPr>
            <w:tcW w:w="1134" w:type="dxa"/>
          </w:tcPr>
          <w:p w:rsidRPr="00175174" w:rsidR="007B444F" w:rsidP="00175174" w:rsidRDefault="007B444F" w14:paraId="41620F72" w14:textId="77777777">
            <w:pPr>
              <w:suppressAutoHyphens/>
              <w:autoSpaceDN/>
              <w:spacing w:after="0"/>
              <w:jc w:val="left"/>
              <w:rPr>
                <w:lang w:val="nl-NL"/>
              </w:rPr>
            </w:pPr>
          </w:p>
        </w:tc>
        <w:tc>
          <w:tcPr>
            <w:tcW w:w="1134" w:type="dxa"/>
          </w:tcPr>
          <w:p w:rsidRPr="00175174" w:rsidR="007B444F" w:rsidP="00175174" w:rsidRDefault="007B444F" w14:paraId="69F767F2" w14:textId="77777777">
            <w:pPr>
              <w:suppressAutoHyphens/>
              <w:autoSpaceDN/>
              <w:spacing w:after="0"/>
              <w:jc w:val="left"/>
              <w:rPr>
                <w:lang w:val="nl-NL"/>
              </w:rPr>
            </w:pPr>
            <w:r w:rsidRPr="00175174">
              <w:rPr>
                <w:lang w:val="nl-NL"/>
              </w:rPr>
              <w:t>2024</w:t>
            </w:r>
          </w:p>
        </w:tc>
        <w:tc>
          <w:tcPr>
            <w:tcW w:w="999" w:type="dxa"/>
          </w:tcPr>
          <w:p w:rsidRPr="00175174" w:rsidR="007B444F" w:rsidP="00175174" w:rsidRDefault="007B444F" w14:paraId="535B9F75" w14:textId="77777777">
            <w:pPr>
              <w:suppressAutoHyphens/>
              <w:autoSpaceDN/>
              <w:spacing w:after="0"/>
              <w:jc w:val="left"/>
              <w:rPr>
                <w:lang w:val="nl-NL"/>
              </w:rPr>
            </w:pPr>
            <w:r w:rsidRPr="00175174">
              <w:rPr>
                <w:lang w:val="nl-NL"/>
              </w:rPr>
              <w:t>2.400</w:t>
            </w:r>
          </w:p>
        </w:tc>
      </w:tr>
      <w:tr w:rsidRPr="00175174" w:rsidR="007B444F" w:rsidTr="00795B57" w14:paraId="10B67FD0" w14:textId="77777777">
        <w:trPr>
          <w:trHeight w:val="418"/>
        </w:trPr>
        <w:tc>
          <w:tcPr>
            <w:tcW w:w="2405" w:type="dxa"/>
          </w:tcPr>
          <w:p w:rsidRPr="00175174" w:rsidR="007B444F" w:rsidP="00175174" w:rsidRDefault="007B444F" w14:paraId="2EFFBE48" w14:textId="6B484C7A">
            <w:pPr>
              <w:suppressAutoHyphens/>
              <w:autoSpaceDN/>
              <w:spacing w:after="0"/>
              <w:jc w:val="left"/>
              <w:rPr>
                <w:lang w:val="nl-NL"/>
              </w:rPr>
            </w:pPr>
            <w:r w:rsidRPr="00175174">
              <w:rPr>
                <w:lang w:val="nl-NL"/>
              </w:rPr>
              <w:t xml:space="preserve">Tweede </w:t>
            </w:r>
            <w:r w:rsidRPr="00175174" w:rsidR="001F0D61">
              <w:rPr>
                <w:lang w:val="nl-NL"/>
              </w:rPr>
              <w:t>BR</w:t>
            </w:r>
          </w:p>
        </w:tc>
        <w:tc>
          <w:tcPr>
            <w:tcW w:w="1985" w:type="dxa"/>
          </w:tcPr>
          <w:p w:rsidRPr="00175174" w:rsidR="007B444F" w:rsidP="00175174" w:rsidRDefault="00795B57" w14:paraId="24339CCF" w14:textId="26C14910">
            <w:pPr>
              <w:suppressAutoHyphens/>
              <w:autoSpaceDN/>
              <w:spacing w:after="0"/>
              <w:jc w:val="left"/>
              <w:rPr>
                <w:lang w:val="nl-NL"/>
              </w:rPr>
            </w:pPr>
            <w:r w:rsidRPr="00175174">
              <w:t xml:space="preserve">CBS-indices </w:t>
            </w:r>
            <w:r w:rsidRPr="00175174" w:rsidR="007B444F">
              <w:rPr>
                <w:lang w:val="nl-NL"/>
              </w:rPr>
              <w:t>GWW (4221) en CPI 2025</w:t>
            </w:r>
          </w:p>
        </w:tc>
        <w:tc>
          <w:tcPr>
            <w:tcW w:w="1134" w:type="dxa"/>
          </w:tcPr>
          <w:p w:rsidRPr="00175174" w:rsidR="007B444F" w:rsidP="00175174" w:rsidRDefault="007B444F" w14:paraId="6B138411" w14:textId="77777777">
            <w:pPr>
              <w:suppressAutoHyphens/>
              <w:autoSpaceDN/>
              <w:spacing w:after="0"/>
              <w:jc w:val="left"/>
              <w:rPr>
                <w:lang w:val="nl-NL"/>
              </w:rPr>
            </w:pPr>
            <w:r w:rsidRPr="00175174">
              <w:rPr>
                <w:lang w:val="nl-NL"/>
              </w:rPr>
              <w:t xml:space="preserve"> Indexering</w:t>
            </w:r>
          </w:p>
        </w:tc>
        <w:tc>
          <w:tcPr>
            <w:tcW w:w="1134" w:type="dxa"/>
          </w:tcPr>
          <w:p w:rsidRPr="00175174" w:rsidR="007B444F" w:rsidP="00175174" w:rsidRDefault="007B444F" w14:paraId="66BE7C54" w14:textId="77777777">
            <w:pPr>
              <w:suppressAutoHyphens/>
              <w:autoSpaceDN/>
              <w:spacing w:after="0"/>
              <w:jc w:val="left"/>
              <w:rPr>
                <w:lang w:val="nl-NL"/>
              </w:rPr>
            </w:pPr>
            <w:r w:rsidRPr="00175174">
              <w:rPr>
                <w:lang w:val="nl-NL"/>
              </w:rPr>
              <w:t>2025</w:t>
            </w:r>
          </w:p>
        </w:tc>
        <w:tc>
          <w:tcPr>
            <w:tcW w:w="999" w:type="dxa"/>
          </w:tcPr>
          <w:p w:rsidRPr="00175174" w:rsidR="007B444F" w:rsidP="00175174" w:rsidRDefault="00A43C87" w14:paraId="34B4A1F8" w14:textId="69FFF984">
            <w:pPr>
              <w:suppressAutoHyphens/>
              <w:autoSpaceDN/>
              <w:spacing w:after="0"/>
              <w:jc w:val="left"/>
              <w:rPr>
                <w:lang w:val="nl-NL"/>
              </w:rPr>
            </w:pPr>
            <w:r w:rsidRPr="00175174">
              <w:rPr>
                <w:lang w:val="nl-NL"/>
              </w:rPr>
              <w:t>+</w:t>
            </w:r>
            <w:r w:rsidRPr="00175174" w:rsidR="007B444F">
              <w:rPr>
                <w:lang w:val="nl-NL"/>
              </w:rPr>
              <w:t>73</w:t>
            </w:r>
          </w:p>
        </w:tc>
      </w:tr>
      <w:tr w:rsidRPr="00175174" w:rsidR="007B444F" w:rsidTr="00795B57" w14:paraId="505B8D45" w14:textId="77777777">
        <w:trPr>
          <w:trHeight w:val="410"/>
        </w:trPr>
        <w:tc>
          <w:tcPr>
            <w:tcW w:w="2405" w:type="dxa"/>
          </w:tcPr>
          <w:p w:rsidRPr="00175174" w:rsidR="007B444F" w:rsidP="00175174" w:rsidRDefault="007B444F" w14:paraId="44520470" w14:textId="2AFAB8D4">
            <w:pPr>
              <w:suppressAutoHyphens/>
              <w:autoSpaceDN/>
              <w:spacing w:after="0"/>
              <w:jc w:val="left"/>
              <w:rPr>
                <w:lang w:val="nl-NL"/>
              </w:rPr>
            </w:pPr>
            <w:r w:rsidRPr="00175174">
              <w:rPr>
                <w:lang w:val="nl-NL"/>
              </w:rPr>
              <w:t xml:space="preserve">Tweede </w:t>
            </w:r>
            <w:r w:rsidRPr="00175174" w:rsidR="00AD26F9">
              <w:rPr>
                <w:lang w:val="nl-NL"/>
              </w:rPr>
              <w:t>BR en derde VGR</w:t>
            </w:r>
          </w:p>
        </w:tc>
        <w:tc>
          <w:tcPr>
            <w:tcW w:w="1985" w:type="dxa"/>
          </w:tcPr>
          <w:p w:rsidRPr="00175174" w:rsidR="007B444F" w:rsidP="00175174" w:rsidRDefault="007B444F" w14:paraId="1981072B" w14:textId="77777777">
            <w:pPr>
              <w:suppressAutoHyphens/>
              <w:autoSpaceDN/>
              <w:spacing w:after="0"/>
              <w:jc w:val="left"/>
              <w:rPr>
                <w:lang w:val="nl-NL"/>
              </w:rPr>
            </w:pPr>
            <w:r w:rsidRPr="00175174">
              <w:rPr>
                <w:lang w:val="nl-NL"/>
              </w:rPr>
              <w:t xml:space="preserve">Totale </w:t>
            </w:r>
            <w:proofErr w:type="spellStart"/>
            <w:r w:rsidRPr="00175174">
              <w:rPr>
                <w:lang w:val="nl-NL"/>
              </w:rPr>
              <w:t>financierings-behoefte</w:t>
            </w:r>
            <w:proofErr w:type="spellEnd"/>
          </w:p>
        </w:tc>
        <w:tc>
          <w:tcPr>
            <w:tcW w:w="1134" w:type="dxa"/>
          </w:tcPr>
          <w:p w:rsidRPr="00175174" w:rsidR="007B444F" w:rsidP="00175174" w:rsidRDefault="007B444F" w14:paraId="05FCC53B" w14:textId="77777777">
            <w:pPr>
              <w:suppressAutoHyphens/>
              <w:autoSpaceDN/>
              <w:spacing w:after="0"/>
              <w:jc w:val="left"/>
              <w:rPr>
                <w:lang w:val="nl-NL"/>
              </w:rPr>
            </w:pPr>
          </w:p>
        </w:tc>
        <w:tc>
          <w:tcPr>
            <w:tcW w:w="1134" w:type="dxa"/>
          </w:tcPr>
          <w:p w:rsidRPr="00175174" w:rsidR="007B444F" w:rsidP="00175174" w:rsidRDefault="007B444F" w14:paraId="4D271C49" w14:textId="77777777">
            <w:pPr>
              <w:suppressAutoHyphens/>
              <w:autoSpaceDN/>
              <w:spacing w:after="0"/>
              <w:jc w:val="left"/>
              <w:rPr>
                <w:lang w:val="nl-NL"/>
              </w:rPr>
            </w:pPr>
            <w:r w:rsidRPr="00175174">
              <w:rPr>
                <w:lang w:val="nl-NL"/>
              </w:rPr>
              <w:t>2025</w:t>
            </w:r>
          </w:p>
        </w:tc>
        <w:tc>
          <w:tcPr>
            <w:tcW w:w="999" w:type="dxa"/>
          </w:tcPr>
          <w:p w:rsidRPr="00175174" w:rsidR="007B444F" w:rsidP="00175174" w:rsidRDefault="007B444F" w14:paraId="7074EAAB" w14:textId="77777777">
            <w:pPr>
              <w:suppressAutoHyphens/>
              <w:autoSpaceDN/>
              <w:spacing w:after="0"/>
              <w:jc w:val="left"/>
              <w:rPr>
                <w:lang w:val="nl-NL"/>
              </w:rPr>
            </w:pPr>
            <w:r w:rsidRPr="00175174">
              <w:rPr>
                <w:lang w:val="nl-NL"/>
              </w:rPr>
              <w:t>2.473</w:t>
            </w:r>
          </w:p>
        </w:tc>
      </w:tr>
    </w:tbl>
    <w:bookmarkEnd w:id="36"/>
    <w:p w:rsidRPr="00175174" w:rsidR="00EC29A2" w:rsidP="00175174" w:rsidRDefault="00EC29A2" w14:paraId="17A63FD6" w14:textId="09D39C55">
      <w:pPr>
        <w:pStyle w:val="Kop3"/>
        <w:suppressAutoHyphens/>
      </w:pPr>
      <w:r w:rsidRPr="00175174">
        <w:t xml:space="preserve">Gerealiseerde uitgaven door </w:t>
      </w:r>
      <w:r w:rsidRPr="00175174" w:rsidR="00E30508">
        <w:t>NRG PALLAS B.V.</w:t>
      </w:r>
    </w:p>
    <w:p w:rsidRPr="00175174" w:rsidR="00EC29A2" w:rsidP="00175174" w:rsidRDefault="00910A88" w14:paraId="775C7A7C" w14:textId="6CE9E8D2">
      <w:pPr>
        <w:suppressAutoHyphens/>
        <w:jc w:val="left"/>
      </w:pPr>
      <w:r w:rsidRPr="00175174">
        <w:t>Tabel 6</w:t>
      </w:r>
      <w:r w:rsidRPr="00175174" w:rsidR="00EC29A2">
        <w:t xml:space="preserve"> geeft de </w:t>
      </w:r>
      <w:r w:rsidRPr="00175174" w:rsidR="00B168ED">
        <w:t xml:space="preserve">door NRG PALLAS B.V. </w:t>
      </w:r>
      <w:r w:rsidRPr="00175174" w:rsidR="00EC29A2">
        <w:t xml:space="preserve">gerealiseerde uitgaven </w:t>
      </w:r>
      <w:r w:rsidRPr="00175174" w:rsidR="005D3A36">
        <w:t>aan</w:t>
      </w:r>
      <w:r w:rsidRPr="00175174" w:rsidR="00EC29A2">
        <w:t xml:space="preserve"> het PALLAS-</w:t>
      </w:r>
      <w:r w:rsidRPr="00175174" w:rsidR="005D3A36">
        <w:t>nieuwbouw</w:t>
      </w:r>
      <w:r w:rsidRPr="00175174" w:rsidR="00EC29A2">
        <w:t xml:space="preserve">programma weer vanaf de start tot en met </w:t>
      </w:r>
      <w:r w:rsidRPr="00175174" w:rsidR="004A1031">
        <w:t>31 december</w:t>
      </w:r>
      <w:r w:rsidRPr="00175174" w:rsidR="00EC29A2">
        <w:t xml:space="preserve"> 2025, afgezet tegen </w:t>
      </w:r>
      <w:r w:rsidRPr="00175174" w:rsidR="00950AFD">
        <w:t>de totale financieringsbehoefte</w:t>
      </w:r>
      <w:r w:rsidRPr="00175174" w:rsidR="00EC29A2">
        <w:t>.</w:t>
      </w:r>
    </w:p>
    <w:p w:rsidRPr="00175174" w:rsidR="00DD1F63" w:rsidP="00175174" w:rsidRDefault="00DD1F63" w14:paraId="77F78208" w14:textId="77777777">
      <w:pPr>
        <w:suppressAutoHyphens/>
        <w:jc w:val="left"/>
      </w:pPr>
    </w:p>
    <w:p w:rsidRPr="00175174" w:rsidR="00DD1F63" w:rsidP="00175174" w:rsidRDefault="00DD1F63" w14:paraId="715D680E" w14:textId="77777777">
      <w:pPr>
        <w:suppressAutoHyphens/>
        <w:jc w:val="left"/>
      </w:pPr>
    </w:p>
    <w:p w:rsidRPr="00175174" w:rsidR="00DD1F63" w:rsidP="00175174" w:rsidRDefault="00DD1F63" w14:paraId="3E209D5A" w14:textId="77777777">
      <w:pPr>
        <w:suppressAutoHyphens/>
        <w:jc w:val="left"/>
      </w:pPr>
    </w:p>
    <w:p w:rsidRPr="00175174" w:rsidR="00DD1F63" w:rsidP="00175174" w:rsidRDefault="00DD1F63" w14:paraId="5CACE8E9" w14:textId="77777777">
      <w:pPr>
        <w:suppressAutoHyphens/>
        <w:jc w:val="left"/>
        <w:rPr>
          <w:iCs/>
          <w:color w:val="A90061"/>
        </w:rPr>
      </w:pPr>
    </w:p>
    <w:p w:rsidRPr="00175174" w:rsidR="00DD1F63" w:rsidP="00175174" w:rsidRDefault="00EC29A2" w14:paraId="00FD93C0" w14:textId="15F6B8A4">
      <w:pPr>
        <w:pStyle w:val="Bijschrift"/>
        <w:suppressAutoHyphens/>
        <w:spacing w:line="240" w:lineRule="atLeast"/>
      </w:pPr>
      <w:r w:rsidRPr="00175174">
        <w:t xml:space="preserve">Tabel </w:t>
      </w:r>
      <w:r w:rsidRPr="00175174" w:rsidR="00EE7376">
        <w:fldChar w:fldCharType="begin"/>
      </w:r>
      <w:r w:rsidRPr="00175174" w:rsidR="00EE7376">
        <w:instrText xml:space="preserve"> SEQ Tabel \* ARABIC </w:instrText>
      </w:r>
      <w:r w:rsidRPr="00175174" w:rsidR="00EE7376">
        <w:fldChar w:fldCharType="separate"/>
      </w:r>
      <w:r w:rsidR="00175174">
        <w:rPr>
          <w:noProof/>
        </w:rPr>
        <w:t>4</w:t>
      </w:r>
      <w:r w:rsidRPr="00175174" w:rsidR="00EE7376">
        <w:rPr>
          <w:noProof/>
        </w:rPr>
        <w:fldChar w:fldCharType="end"/>
      </w:r>
      <w:r w:rsidRPr="00175174">
        <w:t xml:space="preserve">. Door </w:t>
      </w:r>
      <w:r w:rsidRPr="00175174" w:rsidR="00E30508">
        <w:t>NRG PALLAS B.V.</w:t>
      </w:r>
      <w:r w:rsidRPr="00175174">
        <w:t xml:space="preserve"> gerealiseerde uitgaven </w:t>
      </w:r>
      <w:r w:rsidRPr="00175174" w:rsidR="00A23090">
        <w:t>voor</w:t>
      </w:r>
      <w:r w:rsidRPr="00175174">
        <w:t xml:space="preserve"> het PALLAS-nieuwbouwprogramma</w:t>
      </w:r>
      <w:r w:rsidRPr="00175174" w:rsidR="004A1031">
        <w:t xml:space="preserve"> t/m 31 december 2025</w:t>
      </w:r>
    </w:p>
    <w:tbl>
      <w:tblPr>
        <w:tblStyle w:val="TableNormal"/>
        <w:tblW w:w="80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Look w:val="01E0" w:firstRow="1" w:lastRow="1" w:firstColumn="1" w:lastColumn="1" w:noHBand="0" w:noVBand="0"/>
      </w:tblPr>
      <w:tblGrid>
        <w:gridCol w:w="2122"/>
        <w:gridCol w:w="1275"/>
        <w:gridCol w:w="1134"/>
        <w:gridCol w:w="1276"/>
        <w:gridCol w:w="1134"/>
        <w:gridCol w:w="1134"/>
      </w:tblGrid>
      <w:tr w:rsidRPr="00175174" w:rsidR="00EC29A2" w:rsidTr="00AA499A" w14:paraId="5C8B712A" w14:textId="5E249CA4">
        <w:trPr>
          <w:trHeight w:val="240"/>
        </w:trPr>
        <w:tc>
          <w:tcPr>
            <w:tcW w:w="2122" w:type="dxa"/>
            <w:shd w:val="clear" w:color="auto" w:fill="002F5B"/>
          </w:tcPr>
          <w:p w:rsidRPr="00175174" w:rsidR="00EC29A2" w:rsidP="00175174" w:rsidRDefault="00EC29A2" w14:paraId="71E1CC9F" w14:textId="77777777">
            <w:pPr>
              <w:pStyle w:val="TableParagraph"/>
              <w:suppressAutoHyphens/>
              <w:jc w:val="left"/>
              <w:rPr>
                <w:b/>
                <w:bCs/>
                <w:sz w:val="18"/>
                <w:szCs w:val="18"/>
              </w:rPr>
            </w:pPr>
            <w:r w:rsidRPr="00175174">
              <w:rPr>
                <w:b/>
                <w:bCs/>
                <w:sz w:val="18"/>
                <w:szCs w:val="18"/>
              </w:rPr>
              <w:t>[0]</w:t>
            </w:r>
          </w:p>
        </w:tc>
        <w:tc>
          <w:tcPr>
            <w:tcW w:w="1275" w:type="dxa"/>
            <w:shd w:val="clear" w:color="auto" w:fill="002F5B"/>
          </w:tcPr>
          <w:p w:rsidRPr="00175174" w:rsidR="00EC29A2" w:rsidP="00175174" w:rsidRDefault="00EC29A2" w14:paraId="7E73D9C8" w14:textId="77777777">
            <w:pPr>
              <w:pStyle w:val="TableParagraph"/>
              <w:suppressAutoHyphens/>
              <w:jc w:val="left"/>
              <w:rPr>
                <w:b/>
                <w:bCs/>
                <w:sz w:val="18"/>
                <w:szCs w:val="18"/>
              </w:rPr>
            </w:pPr>
            <w:r w:rsidRPr="00175174">
              <w:rPr>
                <w:b/>
                <w:bCs/>
                <w:sz w:val="18"/>
                <w:szCs w:val="18"/>
              </w:rPr>
              <w:t>[1]</w:t>
            </w:r>
          </w:p>
        </w:tc>
        <w:tc>
          <w:tcPr>
            <w:tcW w:w="1134" w:type="dxa"/>
            <w:shd w:val="clear" w:color="auto" w:fill="002F5B"/>
          </w:tcPr>
          <w:p w:rsidRPr="00175174" w:rsidR="00EC29A2" w:rsidP="00175174" w:rsidRDefault="00EC29A2" w14:paraId="3D76CEC2" w14:textId="77777777">
            <w:pPr>
              <w:pStyle w:val="TableParagraph"/>
              <w:suppressAutoHyphens/>
              <w:jc w:val="left"/>
              <w:rPr>
                <w:b/>
                <w:bCs/>
                <w:sz w:val="18"/>
                <w:szCs w:val="18"/>
              </w:rPr>
            </w:pPr>
            <w:r w:rsidRPr="00175174">
              <w:rPr>
                <w:b/>
                <w:bCs/>
                <w:sz w:val="18"/>
                <w:szCs w:val="18"/>
              </w:rPr>
              <w:t>[2]</w:t>
            </w:r>
          </w:p>
        </w:tc>
        <w:tc>
          <w:tcPr>
            <w:tcW w:w="1276" w:type="dxa"/>
            <w:shd w:val="clear" w:color="auto" w:fill="002F5B"/>
          </w:tcPr>
          <w:p w:rsidRPr="00175174" w:rsidR="00EC29A2" w:rsidP="00175174" w:rsidRDefault="00DD1F63" w14:paraId="11E6C11F" w14:textId="352C7F4E">
            <w:pPr>
              <w:pStyle w:val="TableParagraph"/>
              <w:suppressAutoHyphens/>
              <w:jc w:val="left"/>
              <w:rPr>
                <w:b/>
                <w:bCs/>
                <w:sz w:val="18"/>
                <w:szCs w:val="18"/>
              </w:rPr>
            </w:pPr>
            <w:r w:rsidRPr="00175174">
              <w:rPr>
                <w:b/>
                <w:bCs/>
                <w:sz w:val="18"/>
                <w:szCs w:val="18"/>
              </w:rPr>
              <w:t>[3]</w:t>
            </w:r>
          </w:p>
        </w:tc>
        <w:tc>
          <w:tcPr>
            <w:tcW w:w="1134" w:type="dxa"/>
            <w:shd w:val="clear" w:color="auto" w:fill="002F5B"/>
          </w:tcPr>
          <w:p w:rsidRPr="00175174" w:rsidR="00DD1F63" w:rsidP="00175174" w:rsidRDefault="00DD1F63" w14:paraId="795F9A9F" w14:textId="77777777">
            <w:pPr>
              <w:pStyle w:val="TableParagraph"/>
              <w:suppressAutoHyphens/>
              <w:jc w:val="left"/>
              <w:rPr>
                <w:b/>
                <w:bCs/>
                <w:sz w:val="18"/>
                <w:szCs w:val="18"/>
              </w:rPr>
            </w:pPr>
            <w:r w:rsidRPr="00175174">
              <w:rPr>
                <w:b/>
                <w:bCs/>
                <w:sz w:val="18"/>
                <w:szCs w:val="18"/>
              </w:rPr>
              <w:t>[4] =</w:t>
            </w:r>
          </w:p>
          <w:p w:rsidRPr="00175174" w:rsidR="00DD1F63" w:rsidP="00175174" w:rsidRDefault="00DD1F63" w14:paraId="3F1185A2" w14:textId="140DBD2F">
            <w:pPr>
              <w:pStyle w:val="TableParagraph"/>
              <w:suppressAutoHyphens/>
              <w:jc w:val="left"/>
              <w:rPr>
                <w:b/>
                <w:bCs/>
                <w:sz w:val="18"/>
                <w:szCs w:val="18"/>
              </w:rPr>
            </w:pPr>
            <w:r w:rsidRPr="00175174">
              <w:rPr>
                <w:b/>
                <w:bCs/>
                <w:sz w:val="18"/>
                <w:szCs w:val="18"/>
              </w:rPr>
              <w:t>[2] + [3]</w:t>
            </w:r>
          </w:p>
        </w:tc>
        <w:tc>
          <w:tcPr>
            <w:tcW w:w="1134" w:type="dxa"/>
            <w:shd w:val="clear" w:color="auto" w:fill="002F5B"/>
          </w:tcPr>
          <w:p w:rsidRPr="00175174" w:rsidR="00DD1F63" w:rsidP="00175174" w:rsidRDefault="00DD1F63" w14:paraId="1E406BD9" w14:textId="059F4458">
            <w:pPr>
              <w:pStyle w:val="TableParagraph"/>
              <w:suppressAutoHyphens/>
              <w:jc w:val="left"/>
              <w:rPr>
                <w:b/>
                <w:bCs/>
                <w:sz w:val="18"/>
                <w:szCs w:val="18"/>
              </w:rPr>
            </w:pPr>
            <w:r w:rsidRPr="00175174">
              <w:rPr>
                <w:b/>
                <w:bCs/>
                <w:sz w:val="18"/>
                <w:szCs w:val="18"/>
              </w:rPr>
              <w:t>[5] =</w:t>
            </w:r>
            <w:r w:rsidRPr="00175174">
              <w:rPr>
                <w:b/>
                <w:bCs/>
                <w:spacing w:val="-3"/>
                <w:sz w:val="18"/>
                <w:szCs w:val="18"/>
              </w:rPr>
              <w:t xml:space="preserve"> </w:t>
            </w:r>
            <w:r w:rsidRPr="00175174">
              <w:rPr>
                <w:b/>
                <w:bCs/>
                <w:sz w:val="18"/>
                <w:szCs w:val="18"/>
              </w:rPr>
              <w:t>[4]/[1]</w:t>
            </w:r>
          </w:p>
        </w:tc>
      </w:tr>
      <w:tr w:rsidRPr="00175174" w:rsidR="00EC29A2" w:rsidTr="00AA499A" w14:paraId="3806CFAF" w14:textId="375D5755">
        <w:trPr>
          <w:trHeight w:val="719"/>
        </w:trPr>
        <w:tc>
          <w:tcPr>
            <w:tcW w:w="2122" w:type="dxa"/>
            <w:shd w:val="clear" w:color="auto" w:fill="002F5B"/>
          </w:tcPr>
          <w:p w:rsidRPr="00175174" w:rsidR="00EC29A2" w:rsidP="00175174" w:rsidRDefault="00EC29A2" w14:paraId="6C814D38" w14:textId="77777777">
            <w:pPr>
              <w:pStyle w:val="TableParagraph"/>
              <w:suppressAutoHyphens/>
              <w:jc w:val="left"/>
              <w:rPr>
                <w:b/>
                <w:bCs/>
                <w:sz w:val="18"/>
                <w:szCs w:val="18"/>
              </w:rPr>
            </w:pPr>
            <w:proofErr w:type="spellStart"/>
            <w:r w:rsidRPr="00175174">
              <w:rPr>
                <w:b/>
                <w:bCs/>
                <w:sz w:val="18"/>
                <w:szCs w:val="18"/>
              </w:rPr>
              <w:t>Onderdeel</w:t>
            </w:r>
            <w:proofErr w:type="spellEnd"/>
          </w:p>
        </w:tc>
        <w:tc>
          <w:tcPr>
            <w:tcW w:w="1275" w:type="dxa"/>
            <w:shd w:val="clear" w:color="auto" w:fill="002F5B"/>
          </w:tcPr>
          <w:p w:rsidRPr="00175174" w:rsidR="00EC29A2" w:rsidP="00175174" w:rsidRDefault="00950AFD" w14:paraId="377C4BF0" w14:textId="73E75343">
            <w:pPr>
              <w:pStyle w:val="TableParagraph"/>
              <w:suppressAutoHyphens/>
              <w:jc w:val="left"/>
              <w:rPr>
                <w:b/>
                <w:sz w:val="18"/>
                <w:szCs w:val="18"/>
                <w:lang w:val="nl-NL"/>
              </w:rPr>
            </w:pPr>
            <w:r w:rsidRPr="00175174">
              <w:rPr>
                <w:b/>
                <w:sz w:val="18"/>
                <w:szCs w:val="18"/>
                <w:lang w:val="nl-NL"/>
              </w:rPr>
              <w:t xml:space="preserve">Totale </w:t>
            </w:r>
            <w:proofErr w:type="spellStart"/>
            <w:r w:rsidRPr="00175174" w:rsidR="00DD1F63">
              <w:rPr>
                <w:b/>
                <w:bCs/>
                <w:sz w:val="18"/>
                <w:szCs w:val="18"/>
                <w:lang w:val="nl-NL"/>
              </w:rPr>
              <w:t>financie</w:t>
            </w:r>
            <w:proofErr w:type="spellEnd"/>
            <w:r w:rsidRPr="00175174" w:rsidR="00DD1F63">
              <w:rPr>
                <w:b/>
                <w:bCs/>
                <w:sz w:val="18"/>
                <w:szCs w:val="18"/>
                <w:lang w:val="nl-NL"/>
              </w:rPr>
              <w:t>-rings</w:t>
            </w:r>
            <w:r w:rsidRPr="00175174">
              <w:rPr>
                <w:b/>
                <w:sz w:val="18"/>
                <w:szCs w:val="18"/>
                <w:lang w:val="nl-NL"/>
              </w:rPr>
              <w:t>-behoefte</w:t>
            </w:r>
            <w:r w:rsidRPr="00175174" w:rsidR="00DD1F63">
              <w:rPr>
                <w:b/>
                <w:bCs/>
                <w:sz w:val="18"/>
                <w:szCs w:val="18"/>
                <w:lang w:val="nl-NL"/>
              </w:rPr>
              <w:t xml:space="preserve"> in € mln.</w:t>
            </w:r>
          </w:p>
        </w:tc>
        <w:tc>
          <w:tcPr>
            <w:tcW w:w="1134" w:type="dxa"/>
            <w:shd w:val="clear" w:color="auto" w:fill="002F5B"/>
          </w:tcPr>
          <w:p w:rsidRPr="00175174" w:rsidR="00DD1F63" w:rsidP="00175174" w:rsidRDefault="00DD1F63" w14:paraId="38CCEC28" w14:textId="5899B099">
            <w:pPr>
              <w:pStyle w:val="TableParagraph"/>
              <w:suppressAutoHyphens/>
              <w:jc w:val="left"/>
              <w:rPr>
                <w:b/>
                <w:bCs/>
                <w:sz w:val="18"/>
                <w:szCs w:val="18"/>
                <w:lang w:val="nl-NL"/>
              </w:rPr>
            </w:pPr>
            <w:r w:rsidRPr="00175174">
              <w:rPr>
                <w:b/>
                <w:bCs/>
                <w:sz w:val="18"/>
                <w:szCs w:val="18"/>
                <w:lang w:val="nl-NL"/>
              </w:rPr>
              <w:t>Realisatie</w:t>
            </w:r>
          </w:p>
          <w:p w:rsidRPr="00175174" w:rsidR="00EC29A2" w:rsidP="00175174" w:rsidRDefault="00EC29A2" w14:paraId="367A13EC" w14:textId="5A8515F9">
            <w:pPr>
              <w:pStyle w:val="TableParagraph"/>
              <w:suppressAutoHyphens/>
              <w:jc w:val="left"/>
              <w:rPr>
                <w:b/>
                <w:bCs/>
                <w:sz w:val="18"/>
                <w:szCs w:val="18"/>
                <w:lang w:val="nl-NL"/>
              </w:rPr>
            </w:pPr>
            <w:r w:rsidRPr="00175174">
              <w:rPr>
                <w:b/>
                <w:bCs/>
                <w:sz w:val="18"/>
                <w:szCs w:val="18"/>
                <w:lang w:val="nl-NL"/>
              </w:rPr>
              <w:t>uitgaven t/m 3</w:t>
            </w:r>
            <w:r w:rsidRPr="00175174" w:rsidR="00AD26F9">
              <w:rPr>
                <w:b/>
                <w:bCs/>
                <w:sz w:val="18"/>
                <w:szCs w:val="18"/>
                <w:lang w:val="nl-NL"/>
              </w:rPr>
              <w:t>1</w:t>
            </w:r>
            <w:r w:rsidRPr="00175174">
              <w:rPr>
                <w:b/>
                <w:bCs/>
                <w:sz w:val="18"/>
                <w:szCs w:val="18"/>
                <w:lang w:val="nl-NL"/>
              </w:rPr>
              <w:t xml:space="preserve"> </w:t>
            </w:r>
            <w:r w:rsidRPr="00175174" w:rsidR="00DD1F63">
              <w:rPr>
                <w:b/>
                <w:bCs/>
                <w:sz w:val="18"/>
                <w:szCs w:val="18"/>
                <w:lang w:val="nl-NL"/>
              </w:rPr>
              <w:t>dec. 2024</w:t>
            </w:r>
            <w:r w:rsidRPr="00175174">
              <w:rPr>
                <w:b/>
                <w:bCs/>
                <w:sz w:val="18"/>
                <w:szCs w:val="18"/>
                <w:lang w:val="nl-NL"/>
              </w:rPr>
              <w:t xml:space="preserve"> in €</w:t>
            </w:r>
            <w:r w:rsidRPr="00175174" w:rsidR="00F5546C">
              <w:rPr>
                <w:b/>
                <w:bCs/>
                <w:sz w:val="18"/>
                <w:szCs w:val="18"/>
                <w:lang w:val="nl-NL"/>
              </w:rPr>
              <w:t xml:space="preserve"> mln.</w:t>
            </w:r>
          </w:p>
        </w:tc>
        <w:tc>
          <w:tcPr>
            <w:tcW w:w="1276" w:type="dxa"/>
            <w:shd w:val="clear" w:color="auto" w:fill="002F5B"/>
          </w:tcPr>
          <w:p w:rsidRPr="00175174" w:rsidR="00EC29A2" w:rsidP="00175174" w:rsidRDefault="00DD1F63" w14:paraId="045B277E" w14:textId="0987A7A2">
            <w:pPr>
              <w:pStyle w:val="TableParagraph"/>
              <w:suppressAutoHyphens/>
              <w:jc w:val="left"/>
              <w:rPr>
                <w:b/>
                <w:bCs/>
                <w:sz w:val="18"/>
                <w:szCs w:val="18"/>
                <w:lang w:val="nl-NL"/>
              </w:rPr>
            </w:pPr>
            <w:r w:rsidRPr="00175174">
              <w:rPr>
                <w:b/>
                <w:bCs/>
                <w:sz w:val="18"/>
                <w:szCs w:val="18"/>
                <w:lang w:val="nl-NL"/>
              </w:rPr>
              <w:t>Realisatie uitgaven 2025 in € mln.</w:t>
            </w:r>
          </w:p>
        </w:tc>
        <w:tc>
          <w:tcPr>
            <w:tcW w:w="1134" w:type="dxa"/>
            <w:shd w:val="clear" w:color="auto" w:fill="002F5B"/>
          </w:tcPr>
          <w:p w:rsidRPr="00175174" w:rsidR="00DD1F63" w:rsidP="00175174" w:rsidRDefault="00DD1F63" w14:paraId="624DB86B" w14:textId="493370C5">
            <w:pPr>
              <w:pStyle w:val="TableParagraph"/>
              <w:suppressAutoHyphens/>
              <w:jc w:val="left"/>
              <w:rPr>
                <w:b/>
                <w:sz w:val="18"/>
                <w:szCs w:val="18"/>
                <w:lang w:val="nl-NL"/>
              </w:rPr>
            </w:pPr>
            <w:r w:rsidRPr="00175174">
              <w:rPr>
                <w:b/>
                <w:bCs/>
                <w:sz w:val="18"/>
                <w:szCs w:val="18"/>
                <w:lang w:val="nl-NL"/>
              </w:rPr>
              <w:t>Realisatie uitgaven t/m 31 dec. 2025 in € mln.</w:t>
            </w:r>
          </w:p>
        </w:tc>
        <w:tc>
          <w:tcPr>
            <w:tcW w:w="1134" w:type="dxa"/>
            <w:shd w:val="clear" w:color="auto" w:fill="002F5B"/>
          </w:tcPr>
          <w:p w:rsidRPr="00175174" w:rsidR="00DD1F63" w:rsidP="00175174" w:rsidRDefault="00DD1F63" w14:paraId="5AA8CF2A" w14:textId="4A1EB815">
            <w:pPr>
              <w:pStyle w:val="TableParagraph"/>
              <w:suppressAutoHyphens/>
              <w:jc w:val="left"/>
              <w:rPr>
                <w:b/>
                <w:sz w:val="18"/>
                <w:szCs w:val="18"/>
                <w:lang w:val="nl-NL"/>
              </w:rPr>
            </w:pPr>
            <w:r w:rsidRPr="00175174">
              <w:rPr>
                <w:b/>
                <w:bCs/>
                <w:sz w:val="18"/>
                <w:szCs w:val="18"/>
                <w:lang w:val="nl-NL"/>
              </w:rPr>
              <w:t>Realisatie uitgaven t/m 31 dec. 2025 in %</w:t>
            </w:r>
          </w:p>
        </w:tc>
      </w:tr>
      <w:tr w:rsidRPr="00175174" w:rsidR="00EC29A2" w:rsidTr="00AA499A" w14:paraId="4CDB30DF" w14:textId="164801DA">
        <w:trPr>
          <w:trHeight w:val="239"/>
        </w:trPr>
        <w:tc>
          <w:tcPr>
            <w:tcW w:w="2122" w:type="dxa"/>
          </w:tcPr>
          <w:p w:rsidRPr="00175174" w:rsidR="00EC29A2" w:rsidP="00175174" w:rsidRDefault="00EC29A2" w14:paraId="785A4E47" w14:textId="77777777">
            <w:pPr>
              <w:pStyle w:val="TableParagraph"/>
              <w:suppressAutoHyphens/>
              <w:jc w:val="left"/>
              <w:rPr>
                <w:sz w:val="18"/>
                <w:szCs w:val="18"/>
              </w:rPr>
            </w:pPr>
            <w:r w:rsidRPr="00175174">
              <w:rPr>
                <w:sz w:val="18"/>
                <w:szCs w:val="18"/>
              </w:rPr>
              <w:t>PALLAS-reactor</w:t>
            </w:r>
          </w:p>
        </w:tc>
        <w:tc>
          <w:tcPr>
            <w:tcW w:w="1275" w:type="dxa"/>
          </w:tcPr>
          <w:p w:rsidRPr="00175174" w:rsidR="00EC29A2" w:rsidP="00175174" w:rsidRDefault="00EC29A2" w14:paraId="3B79F49A" w14:textId="77777777">
            <w:pPr>
              <w:pStyle w:val="TableParagraph"/>
              <w:suppressAutoHyphens/>
              <w:jc w:val="left"/>
              <w:rPr>
                <w:sz w:val="18"/>
                <w:szCs w:val="18"/>
              </w:rPr>
            </w:pPr>
            <w:r w:rsidRPr="00175174">
              <w:rPr>
                <w:sz w:val="18"/>
                <w:szCs w:val="18"/>
              </w:rPr>
              <w:t>1.859</w:t>
            </w:r>
          </w:p>
        </w:tc>
        <w:tc>
          <w:tcPr>
            <w:tcW w:w="1134" w:type="dxa"/>
          </w:tcPr>
          <w:p w:rsidRPr="00175174" w:rsidR="00EC29A2" w:rsidP="00175174" w:rsidRDefault="00540C7D" w14:paraId="50A986B2" w14:textId="398D05DD">
            <w:pPr>
              <w:pStyle w:val="TableParagraph"/>
              <w:suppressAutoHyphens/>
              <w:jc w:val="left"/>
              <w:rPr>
                <w:sz w:val="18"/>
                <w:szCs w:val="18"/>
              </w:rPr>
            </w:pPr>
            <w:r w:rsidRPr="00175174">
              <w:rPr>
                <w:sz w:val="18"/>
                <w:szCs w:val="18"/>
              </w:rPr>
              <w:t>47</w:t>
            </w:r>
            <w:r w:rsidRPr="00175174" w:rsidR="003D525C">
              <w:rPr>
                <w:sz w:val="18"/>
                <w:szCs w:val="18"/>
              </w:rPr>
              <w:t>4</w:t>
            </w:r>
          </w:p>
        </w:tc>
        <w:tc>
          <w:tcPr>
            <w:tcW w:w="1276" w:type="dxa"/>
          </w:tcPr>
          <w:p w:rsidRPr="00175174" w:rsidR="00EC29A2" w:rsidP="00175174" w:rsidRDefault="00540C7D" w14:paraId="12A130D6" w14:textId="5E5239FA">
            <w:pPr>
              <w:pStyle w:val="TableParagraph"/>
              <w:suppressAutoHyphens/>
              <w:jc w:val="left"/>
              <w:rPr>
                <w:sz w:val="18"/>
                <w:szCs w:val="18"/>
              </w:rPr>
            </w:pPr>
            <w:r w:rsidRPr="00175174">
              <w:rPr>
                <w:sz w:val="18"/>
                <w:szCs w:val="18"/>
              </w:rPr>
              <w:t>205</w:t>
            </w:r>
          </w:p>
        </w:tc>
        <w:tc>
          <w:tcPr>
            <w:tcW w:w="1134" w:type="dxa"/>
          </w:tcPr>
          <w:p w:rsidRPr="00175174" w:rsidR="00DD1F63" w:rsidP="00175174" w:rsidRDefault="00DD1F63" w14:paraId="5A79A305" w14:textId="678D0E0F">
            <w:pPr>
              <w:pStyle w:val="TableParagraph"/>
              <w:suppressAutoHyphens/>
              <w:jc w:val="left"/>
              <w:rPr>
                <w:sz w:val="18"/>
                <w:szCs w:val="18"/>
              </w:rPr>
            </w:pPr>
            <w:r w:rsidRPr="00175174">
              <w:rPr>
                <w:sz w:val="18"/>
                <w:szCs w:val="18"/>
              </w:rPr>
              <w:t>6</w:t>
            </w:r>
            <w:r w:rsidRPr="00175174" w:rsidR="003D525C">
              <w:rPr>
                <w:sz w:val="18"/>
                <w:szCs w:val="18"/>
              </w:rPr>
              <w:t>79</w:t>
            </w:r>
          </w:p>
        </w:tc>
        <w:tc>
          <w:tcPr>
            <w:tcW w:w="1134" w:type="dxa"/>
          </w:tcPr>
          <w:p w:rsidRPr="00175174" w:rsidR="00DD1F63" w:rsidP="00175174" w:rsidRDefault="00DD1F63" w14:paraId="076FD0F5" w14:textId="54C22B5C">
            <w:pPr>
              <w:pStyle w:val="TableParagraph"/>
              <w:suppressAutoHyphens/>
              <w:jc w:val="left"/>
              <w:rPr>
                <w:sz w:val="18"/>
                <w:szCs w:val="18"/>
              </w:rPr>
            </w:pPr>
            <w:r w:rsidRPr="00175174">
              <w:rPr>
                <w:sz w:val="18"/>
                <w:szCs w:val="18"/>
              </w:rPr>
              <w:t>37%</w:t>
            </w:r>
          </w:p>
        </w:tc>
      </w:tr>
      <w:tr w:rsidRPr="00175174" w:rsidR="00EC29A2" w:rsidTr="00AA499A" w14:paraId="7C463145" w14:textId="29816BB8">
        <w:trPr>
          <w:trHeight w:val="239"/>
        </w:trPr>
        <w:tc>
          <w:tcPr>
            <w:tcW w:w="2122" w:type="dxa"/>
          </w:tcPr>
          <w:p w:rsidRPr="00175174" w:rsidR="00EC29A2" w:rsidP="00175174" w:rsidRDefault="00EC29A2" w14:paraId="0FEEBE85" w14:textId="77777777">
            <w:pPr>
              <w:pStyle w:val="TableParagraph"/>
              <w:suppressAutoHyphens/>
              <w:jc w:val="left"/>
              <w:rPr>
                <w:sz w:val="18"/>
                <w:szCs w:val="18"/>
              </w:rPr>
            </w:pPr>
            <w:r w:rsidRPr="00175174">
              <w:rPr>
                <w:sz w:val="18"/>
                <w:szCs w:val="18"/>
              </w:rPr>
              <w:t>Processing facilities</w:t>
            </w:r>
          </w:p>
        </w:tc>
        <w:tc>
          <w:tcPr>
            <w:tcW w:w="1275" w:type="dxa"/>
          </w:tcPr>
          <w:p w:rsidRPr="00175174" w:rsidR="00EC29A2" w:rsidP="00175174" w:rsidRDefault="00EC29A2" w14:paraId="550FB02F" w14:textId="77777777">
            <w:pPr>
              <w:pStyle w:val="TableParagraph"/>
              <w:suppressAutoHyphens/>
              <w:jc w:val="left"/>
              <w:rPr>
                <w:sz w:val="18"/>
                <w:szCs w:val="18"/>
              </w:rPr>
            </w:pPr>
            <w:r w:rsidRPr="00175174">
              <w:rPr>
                <w:sz w:val="18"/>
                <w:szCs w:val="18"/>
              </w:rPr>
              <w:t>55</w:t>
            </w:r>
          </w:p>
        </w:tc>
        <w:tc>
          <w:tcPr>
            <w:tcW w:w="1134" w:type="dxa"/>
          </w:tcPr>
          <w:p w:rsidRPr="00175174" w:rsidR="00EC29A2" w:rsidP="00175174" w:rsidRDefault="00540C7D" w14:paraId="55E6D9EF" w14:textId="3ABE8944">
            <w:pPr>
              <w:pStyle w:val="TableParagraph"/>
              <w:suppressAutoHyphens/>
              <w:jc w:val="left"/>
              <w:rPr>
                <w:sz w:val="18"/>
                <w:szCs w:val="18"/>
              </w:rPr>
            </w:pPr>
            <w:r w:rsidRPr="00175174">
              <w:rPr>
                <w:sz w:val="18"/>
                <w:szCs w:val="18"/>
              </w:rPr>
              <w:t>8</w:t>
            </w:r>
          </w:p>
        </w:tc>
        <w:tc>
          <w:tcPr>
            <w:tcW w:w="1276" w:type="dxa"/>
          </w:tcPr>
          <w:p w:rsidRPr="00175174" w:rsidR="00EC29A2" w:rsidP="00175174" w:rsidRDefault="00540C7D" w14:paraId="14437E05" w14:textId="70BCC846">
            <w:pPr>
              <w:pStyle w:val="TableParagraph"/>
              <w:suppressAutoHyphens/>
              <w:jc w:val="left"/>
              <w:rPr>
                <w:sz w:val="18"/>
                <w:szCs w:val="18"/>
              </w:rPr>
            </w:pPr>
            <w:r w:rsidRPr="00175174">
              <w:rPr>
                <w:sz w:val="18"/>
                <w:szCs w:val="18"/>
              </w:rPr>
              <w:t>1</w:t>
            </w:r>
          </w:p>
        </w:tc>
        <w:tc>
          <w:tcPr>
            <w:tcW w:w="1134" w:type="dxa"/>
          </w:tcPr>
          <w:p w:rsidRPr="00175174" w:rsidR="00DD1F63" w:rsidP="00175174" w:rsidRDefault="00DD1F63" w14:paraId="73149D54" w14:textId="38065BF6">
            <w:pPr>
              <w:pStyle w:val="TableParagraph"/>
              <w:suppressAutoHyphens/>
              <w:jc w:val="left"/>
              <w:rPr>
                <w:sz w:val="18"/>
                <w:szCs w:val="18"/>
              </w:rPr>
            </w:pPr>
            <w:r w:rsidRPr="00175174">
              <w:rPr>
                <w:sz w:val="18"/>
                <w:szCs w:val="18"/>
              </w:rPr>
              <w:t>9</w:t>
            </w:r>
          </w:p>
        </w:tc>
        <w:tc>
          <w:tcPr>
            <w:tcW w:w="1134" w:type="dxa"/>
          </w:tcPr>
          <w:p w:rsidRPr="00175174" w:rsidR="00DD1F63" w:rsidP="00175174" w:rsidRDefault="00DD1F63" w14:paraId="78E48C29" w14:textId="6702C9A7">
            <w:pPr>
              <w:pStyle w:val="TableParagraph"/>
              <w:suppressAutoHyphens/>
              <w:jc w:val="left"/>
              <w:rPr>
                <w:sz w:val="18"/>
                <w:szCs w:val="18"/>
              </w:rPr>
            </w:pPr>
            <w:r w:rsidRPr="00175174">
              <w:rPr>
                <w:sz w:val="18"/>
                <w:szCs w:val="18"/>
              </w:rPr>
              <w:t>16%</w:t>
            </w:r>
          </w:p>
        </w:tc>
      </w:tr>
      <w:tr w:rsidRPr="00175174" w:rsidR="00EC29A2" w:rsidTr="00AA499A" w14:paraId="38FA6CBA" w14:textId="0C403B3B">
        <w:trPr>
          <w:trHeight w:val="241"/>
        </w:trPr>
        <w:tc>
          <w:tcPr>
            <w:tcW w:w="2122" w:type="dxa"/>
          </w:tcPr>
          <w:p w:rsidRPr="00175174" w:rsidR="00EC29A2" w:rsidP="00175174" w:rsidRDefault="00EC29A2" w14:paraId="2BDD31C2" w14:textId="77777777">
            <w:pPr>
              <w:pStyle w:val="TableParagraph"/>
              <w:suppressAutoHyphens/>
              <w:jc w:val="left"/>
              <w:rPr>
                <w:sz w:val="18"/>
                <w:szCs w:val="18"/>
              </w:rPr>
            </w:pPr>
            <w:r w:rsidRPr="00175174">
              <w:rPr>
                <w:sz w:val="18"/>
                <w:szCs w:val="18"/>
              </w:rPr>
              <w:t>Operational</w:t>
            </w:r>
            <w:r w:rsidRPr="00175174">
              <w:rPr>
                <w:spacing w:val="-12"/>
                <w:sz w:val="18"/>
                <w:szCs w:val="18"/>
              </w:rPr>
              <w:t xml:space="preserve"> </w:t>
            </w:r>
            <w:r w:rsidRPr="00175174">
              <w:rPr>
                <w:spacing w:val="-2"/>
                <w:sz w:val="18"/>
                <w:szCs w:val="18"/>
              </w:rPr>
              <w:t>Readiness</w:t>
            </w:r>
          </w:p>
        </w:tc>
        <w:tc>
          <w:tcPr>
            <w:tcW w:w="1275" w:type="dxa"/>
          </w:tcPr>
          <w:p w:rsidRPr="00175174" w:rsidR="00EC29A2" w:rsidP="00175174" w:rsidRDefault="00EC29A2" w14:paraId="5FCAA588" w14:textId="77777777">
            <w:pPr>
              <w:pStyle w:val="TableParagraph"/>
              <w:suppressAutoHyphens/>
              <w:jc w:val="left"/>
              <w:rPr>
                <w:sz w:val="18"/>
                <w:szCs w:val="18"/>
              </w:rPr>
            </w:pPr>
            <w:r w:rsidRPr="00175174">
              <w:rPr>
                <w:sz w:val="18"/>
                <w:szCs w:val="18"/>
              </w:rPr>
              <w:t>161</w:t>
            </w:r>
          </w:p>
        </w:tc>
        <w:tc>
          <w:tcPr>
            <w:tcW w:w="1134" w:type="dxa"/>
          </w:tcPr>
          <w:p w:rsidRPr="00175174" w:rsidR="00EC29A2" w:rsidP="00175174" w:rsidRDefault="00540C7D" w14:paraId="7C3D4C3C" w14:textId="53FBEDEF">
            <w:pPr>
              <w:pStyle w:val="TableParagraph"/>
              <w:suppressAutoHyphens/>
              <w:jc w:val="left"/>
              <w:rPr>
                <w:sz w:val="18"/>
                <w:szCs w:val="18"/>
              </w:rPr>
            </w:pPr>
            <w:r w:rsidRPr="00175174">
              <w:rPr>
                <w:sz w:val="18"/>
                <w:szCs w:val="18"/>
              </w:rPr>
              <w:t>1</w:t>
            </w:r>
            <w:r w:rsidRPr="00175174" w:rsidR="003D525C">
              <w:rPr>
                <w:sz w:val="18"/>
                <w:szCs w:val="18"/>
              </w:rPr>
              <w:t>8</w:t>
            </w:r>
          </w:p>
        </w:tc>
        <w:tc>
          <w:tcPr>
            <w:tcW w:w="1276" w:type="dxa"/>
          </w:tcPr>
          <w:p w:rsidRPr="00175174" w:rsidR="00EC29A2" w:rsidP="00175174" w:rsidRDefault="00540C7D" w14:paraId="56A2A756" w14:textId="427D60A5">
            <w:pPr>
              <w:pStyle w:val="TableParagraph"/>
              <w:suppressAutoHyphens/>
              <w:jc w:val="left"/>
              <w:rPr>
                <w:sz w:val="18"/>
                <w:szCs w:val="18"/>
              </w:rPr>
            </w:pPr>
            <w:r w:rsidRPr="00175174">
              <w:rPr>
                <w:sz w:val="18"/>
                <w:szCs w:val="18"/>
              </w:rPr>
              <w:t>9</w:t>
            </w:r>
          </w:p>
        </w:tc>
        <w:tc>
          <w:tcPr>
            <w:tcW w:w="1134" w:type="dxa"/>
          </w:tcPr>
          <w:p w:rsidRPr="00175174" w:rsidR="00DD1F63" w:rsidP="00175174" w:rsidRDefault="00DD1F63" w14:paraId="152412C7" w14:textId="150EA5A1">
            <w:pPr>
              <w:pStyle w:val="TableParagraph"/>
              <w:suppressAutoHyphens/>
              <w:jc w:val="left"/>
              <w:rPr>
                <w:sz w:val="18"/>
                <w:szCs w:val="18"/>
              </w:rPr>
            </w:pPr>
            <w:r w:rsidRPr="00175174">
              <w:rPr>
                <w:sz w:val="18"/>
                <w:szCs w:val="18"/>
              </w:rPr>
              <w:t>2</w:t>
            </w:r>
            <w:r w:rsidRPr="00175174" w:rsidR="003D525C">
              <w:rPr>
                <w:sz w:val="18"/>
                <w:szCs w:val="18"/>
              </w:rPr>
              <w:t>7</w:t>
            </w:r>
          </w:p>
        </w:tc>
        <w:tc>
          <w:tcPr>
            <w:tcW w:w="1134" w:type="dxa"/>
          </w:tcPr>
          <w:p w:rsidRPr="00175174" w:rsidR="00DD1F63" w:rsidP="00175174" w:rsidRDefault="00DD1F63" w14:paraId="23F1249A" w14:textId="3FD04633">
            <w:pPr>
              <w:pStyle w:val="TableParagraph"/>
              <w:suppressAutoHyphens/>
              <w:jc w:val="left"/>
              <w:rPr>
                <w:sz w:val="18"/>
                <w:szCs w:val="18"/>
              </w:rPr>
            </w:pPr>
            <w:r w:rsidRPr="00175174">
              <w:rPr>
                <w:sz w:val="18"/>
                <w:szCs w:val="18"/>
              </w:rPr>
              <w:t>1</w:t>
            </w:r>
            <w:r w:rsidRPr="00175174" w:rsidR="00A63032">
              <w:rPr>
                <w:sz w:val="18"/>
                <w:szCs w:val="18"/>
              </w:rPr>
              <w:t>7</w:t>
            </w:r>
            <w:r w:rsidRPr="00175174">
              <w:rPr>
                <w:sz w:val="18"/>
                <w:szCs w:val="18"/>
              </w:rPr>
              <w:t>%</w:t>
            </w:r>
          </w:p>
        </w:tc>
      </w:tr>
      <w:tr w:rsidRPr="00175174" w:rsidR="00EC29A2" w:rsidTr="00AA499A" w14:paraId="0BEE5A8A" w14:textId="1C38108C">
        <w:trPr>
          <w:trHeight w:val="239"/>
        </w:trPr>
        <w:tc>
          <w:tcPr>
            <w:tcW w:w="2122" w:type="dxa"/>
          </w:tcPr>
          <w:p w:rsidRPr="00175174" w:rsidR="00EC29A2" w:rsidP="00175174" w:rsidRDefault="00EC29A2" w14:paraId="7A29F748" w14:textId="77777777">
            <w:pPr>
              <w:pStyle w:val="TableParagraph"/>
              <w:suppressAutoHyphens/>
              <w:jc w:val="left"/>
              <w:rPr>
                <w:sz w:val="18"/>
                <w:szCs w:val="18"/>
              </w:rPr>
            </w:pPr>
            <w:proofErr w:type="spellStart"/>
            <w:r w:rsidRPr="00175174">
              <w:rPr>
                <w:sz w:val="18"/>
                <w:szCs w:val="18"/>
              </w:rPr>
              <w:t>Programme</w:t>
            </w:r>
            <w:proofErr w:type="spellEnd"/>
            <w:r w:rsidRPr="00175174">
              <w:rPr>
                <w:spacing w:val="-8"/>
                <w:sz w:val="18"/>
                <w:szCs w:val="18"/>
              </w:rPr>
              <w:t xml:space="preserve"> </w:t>
            </w:r>
            <w:r w:rsidRPr="00175174">
              <w:rPr>
                <w:spacing w:val="-2"/>
                <w:sz w:val="18"/>
                <w:szCs w:val="18"/>
              </w:rPr>
              <w:t>Support</w:t>
            </w:r>
          </w:p>
        </w:tc>
        <w:tc>
          <w:tcPr>
            <w:tcW w:w="1275" w:type="dxa"/>
          </w:tcPr>
          <w:p w:rsidRPr="00175174" w:rsidR="00EC29A2" w:rsidP="00175174" w:rsidRDefault="00EC29A2" w14:paraId="37006B96" w14:textId="77777777">
            <w:pPr>
              <w:pStyle w:val="TableParagraph"/>
              <w:suppressAutoHyphens/>
              <w:jc w:val="left"/>
              <w:rPr>
                <w:sz w:val="18"/>
                <w:szCs w:val="18"/>
              </w:rPr>
            </w:pPr>
            <w:r w:rsidRPr="00175174">
              <w:rPr>
                <w:sz w:val="18"/>
                <w:szCs w:val="18"/>
              </w:rPr>
              <w:t>252</w:t>
            </w:r>
          </w:p>
        </w:tc>
        <w:tc>
          <w:tcPr>
            <w:tcW w:w="1134" w:type="dxa"/>
          </w:tcPr>
          <w:p w:rsidRPr="00175174" w:rsidR="00EC29A2" w:rsidP="00175174" w:rsidRDefault="003D525C" w14:paraId="262C18A9" w14:textId="4C5EAA9D">
            <w:pPr>
              <w:pStyle w:val="TableParagraph"/>
              <w:suppressAutoHyphens/>
              <w:jc w:val="left"/>
              <w:rPr>
                <w:sz w:val="18"/>
                <w:szCs w:val="18"/>
              </w:rPr>
            </w:pPr>
            <w:r w:rsidRPr="00175174">
              <w:rPr>
                <w:sz w:val="18"/>
                <w:szCs w:val="18"/>
              </w:rPr>
              <w:t>90</w:t>
            </w:r>
          </w:p>
        </w:tc>
        <w:tc>
          <w:tcPr>
            <w:tcW w:w="1276" w:type="dxa"/>
          </w:tcPr>
          <w:p w:rsidRPr="00175174" w:rsidR="00EC29A2" w:rsidP="00175174" w:rsidRDefault="00540C7D" w14:paraId="04BAC398" w14:textId="080EACC7">
            <w:pPr>
              <w:pStyle w:val="TableParagraph"/>
              <w:suppressAutoHyphens/>
              <w:jc w:val="left"/>
              <w:rPr>
                <w:sz w:val="18"/>
                <w:szCs w:val="18"/>
              </w:rPr>
            </w:pPr>
            <w:r w:rsidRPr="00175174">
              <w:rPr>
                <w:sz w:val="18"/>
                <w:szCs w:val="18"/>
              </w:rPr>
              <w:t>26</w:t>
            </w:r>
          </w:p>
        </w:tc>
        <w:tc>
          <w:tcPr>
            <w:tcW w:w="1134" w:type="dxa"/>
          </w:tcPr>
          <w:p w:rsidRPr="00175174" w:rsidR="00DD1F63" w:rsidP="00175174" w:rsidRDefault="00DD1F63" w14:paraId="7B4731FA" w14:textId="63519C99">
            <w:pPr>
              <w:pStyle w:val="TableParagraph"/>
              <w:suppressAutoHyphens/>
              <w:jc w:val="left"/>
              <w:rPr>
                <w:sz w:val="18"/>
                <w:szCs w:val="18"/>
              </w:rPr>
            </w:pPr>
            <w:r w:rsidRPr="00175174">
              <w:rPr>
                <w:sz w:val="18"/>
                <w:szCs w:val="18"/>
              </w:rPr>
              <w:t>11</w:t>
            </w:r>
            <w:r w:rsidRPr="00175174" w:rsidR="003D525C">
              <w:rPr>
                <w:sz w:val="18"/>
                <w:szCs w:val="18"/>
              </w:rPr>
              <w:t>6</w:t>
            </w:r>
          </w:p>
        </w:tc>
        <w:tc>
          <w:tcPr>
            <w:tcW w:w="1134" w:type="dxa"/>
          </w:tcPr>
          <w:p w:rsidRPr="00175174" w:rsidR="00DD1F63" w:rsidP="00175174" w:rsidRDefault="00DD1F63" w14:paraId="75554C43" w14:textId="14646499">
            <w:pPr>
              <w:pStyle w:val="TableParagraph"/>
              <w:suppressAutoHyphens/>
              <w:jc w:val="left"/>
              <w:rPr>
                <w:sz w:val="18"/>
                <w:szCs w:val="18"/>
              </w:rPr>
            </w:pPr>
            <w:r w:rsidRPr="00175174">
              <w:rPr>
                <w:sz w:val="18"/>
                <w:szCs w:val="18"/>
              </w:rPr>
              <w:t>4</w:t>
            </w:r>
            <w:r w:rsidRPr="00175174" w:rsidR="00A63032">
              <w:rPr>
                <w:sz w:val="18"/>
                <w:szCs w:val="18"/>
              </w:rPr>
              <w:t>6</w:t>
            </w:r>
            <w:r w:rsidRPr="00175174">
              <w:rPr>
                <w:sz w:val="18"/>
                <w:szCs w:val="18"/>
              </w:rPr>
              <w:t>%</w:t>
            </w:r>
          </w:p>
        </w:tc>
      </w:tr>
      <w:tr w:rsidRPr="00175174" w:rsidR="00EC29A2" w:rsidTr="00AA499A" w14:paraId="051B25D5" w14:textId="725C1191">
        <w:trPr>
          <w:trHeight w:val="239"/>
        </w:trPr>
        <w:tc>
          <w:tcPr>
            <w:tcW w:w="2122" w:type="dxa"/>
          </w:tcPr>
          <w:p w:rsidRPr="00175174" w:rsidR="00EC29A2" w:rsidP="00175174" w:rsidRDefault="00DD1F63" w14:paraId="52141C13" w14:textId="328E5ED4">
            <w:pPr>
              <w:pStyle w:val="TableParagraph"/>
              <w:suppressAutoHyphens/>
              <w:jc w:val="left"/>
              <w:rPr>
                <w:sz w:val="18"/>
                <w:szCs w:val="18"/>
              </w:rPr>
            </w:pPr>
            <w:r w:rsidRPr="00175174">
              <w:rPr>
                <w:sz w:val="18"/>
                <w:szCs w:val="18"/>
              </w:rPr>
              <w:t>Post</w:t>
            </w:r>
            <w:r w:rsidRPr="00175174">
              <w:rPr>
                <w:spacing w:val="-6"/>
                <w:sz w:val="18"/>
                <w:szCs w:val="18"/>
              </w:rPr>
              <w:t xml:space="preserve"> </w:t>
            </w:r>
            <w:proofErr w:type="spellStart"/>
            <w:r w:rsidRPr="00175174" w:rsidR="008F6753">
              <w:rPr>
                <w:spacing w:val="-6"/>
                <w:sz w:val="18"/>
                <w:szCs w:val="18"/>
              </w:rPr>
              <w:t>o</w:t>
            </w:r>
            <w:r w:rsidRPr="00175174">
              <w:rPr>
                <w:sz w:val="18"/>
                <w:szCs w:val="18"/>
              </w:rPr>
              <w:t>nvoorzien</w:t>
            </w:r>
            <w:proofErr w:type="spellEnd"/>
          </w:p>
        </w:tc>
        <w:tc>
          <w:tcPr>
            <w:tcW w:w="1275" w:type="dxa"/>
          </w:tcPr>
          <w:p w:rsidRPr="00175174" w:rsidR="00EC29A2" w:rsidP="00175174" w:rsidRDefault="00EC29A2" w14:paraId="6885EABA" w14:textId="77777777">
            <w:pPr>
              <w:pStyle w:val="TableParagraph"/>
              <w:suppressAutoHyphens/>
              <w:jc w:val="left"/>
              <w:rPr>
                <w:sz w:val="18"/>
                <w:szCs w:val="18"/>
              </w:rPr>
            </w:pPr>
            <w:r w:rsidRPr="00175174">
              <w:rPr>
                <w:sz w:val="18"/>
                <w:szCs w:val="18"/>
              </w:rPr>
              <w:t>146</w:t>
            </w:r>
          </w:p>
        </w:tc>
        <w:tc>
          <w:tcPr>
            <w:tcW w:w="1134" w:type="dxa"/>
          </w:tcPr>
          <w:p w:rsidRPr="00175174" w:rsidR="00EC29A2" w:rsidP="00175174" w:rsidRDefault="00EC29A2" w14:paraId="748ADC00" w14:textId="7DBD0070">
            <w:pPr>
              <w:pStyle w:val="TableParagraph"/>
              <w:suppressAutoHyphens/>
              <w:jc w:val="left"/>
              <w:rPr>
                <w:sz w:val="18"/>
                <w:szCs w:val="18"/>
              </w:rPr>
            </w:pPr>
            <w:r w:rsidRPr="00175174">
              <w:rPr>
                <w:sz w:val="18"/>
                <w:szCs w:val="18"/>
              </w:rPr>
              <w:t>-</w:t>
            </w:r>
          </w:p>
        </w:tc>
        <w:tc>
          <w:tcPr>
            <w:tcW w:w="1276" w:type="dxa"/>
          </w:tcPr>
          <w:p w:rsidRPr="00175174" w:rsidR="00EC29A2" w:rsidP="00175174" w:rsidRDefault="00540C7D" w14:paraId="0E26E490" w14:textId="360710AE">
            <w:pPr>
              <w:pStyle w:val="TableParagraph"/>
              <w:suppressAutoHyphens/>
              <w:jc w:val="left"/>
              <w:rPr>
                <w:sz w:val="18"/>
                <w:szCs w:val="18"/>
              </w:rPr>
            </w:pPr>
            <w:r w:rsidRPr="00175174">
              <w:rPr>
                <w:sz w:val="18"/>
                <w:szCs w:val="18"/>
              </w:rPr>
              <w:t>-</w:t>
            </w:r>
          </w:p>
        </w:tc>
        <w:tc>
          <w:tcPr>
            <w:tcW w:w="1134" w:type="dxa"/>
          </w:tcPr>
          <w:p w:rsidRPr="00175174" w:rsidR="00DD1F63" w:rsidP="00175174" w:rsidRDefault="00DD1F63" w14:paraId="17BE8648" w14:textId="622BAF9A">
            <w:pPr>
              <w:pStyle w:val="TableParagraph"/>
              <w:suppressAutoHyphens/>
              <w:jc w:val="left"/>
              <w:rPr>
                <w:sz w:val="18"/>
                <w:szCs w:val="18"/>
              </w:rPr>
            </w:pPr>
            <w:r w:rsidRPr="00175174">
              <w:rPr>
                <w:sz w:val="18"/>
                <w:szCs w:val="18"/>
              </w:rPr>
              <w:t>-</w:t>
            </w:r>
          </w:p>
        </w:tc>
        <w:tc>
          <w:tcPr>
            <w:tcW w:w="1134" w:type="dxa"/>
          </w:tcPr>
          <w:p w:rsidRPr="00175174" w:rsidR="00DD1F63" w:rsidP="00175174" w:rsidRDefault="00DD1F63" w14:paraId="03323DEB" w14:textId="40FC947E">
            <w:pPr>
              <w:pStyle w:val="TableParagraph"/>
              <w:suppressAutoHyphens/>
              <w:jc w:val="left"/>
              <w:rPr>
                <w:sz w:val="18"/>
                <w:szCs w:val="18"/>
              </w:rPr>
            </w:pPr>
            <w:r w:rsidRPr="00175174">
              <w:rPr>
                <w:sz w:val="18"/>
                <w:szCs w:val="18"/>
              </w:rPr>
              <w:t>0%</w:t>
            </w:r>
          </w:p>
        </w:tc>
      </w:tr>
      <w:tr w:rsidRPr="00175174" w:rsidR="00EC29A2" w:rsidTr="00AA499A" w14:paraId="00F6765F" w14:textId="1FF14E68">
        <w:trPr>
          <w:trHeight w:val="267"/>
        </w:trPr>
        <w:tc>
          <w:tcPr>
            <w:tcW w:w="2122" w:type="dxa"/>
          </w:tcPr>
          <w:p w:rsidRPr="00175174" w:rsidR="00EC29A2" w:rsidP="00175174" w:rsidRDefault="00EC29A2" w14:paraId="7D8714B9" w14:textId="77777777">
            <w:pPr>
              <w:pStyle w:val="TableParagraph"/>
              <w:suppressAutoHyphens/>
              <w:jc w:val="left"/>
              <w:rPr>
                <w:sz w:val="18"/>
                <w:szCs w:val="18"/>
              </w:rPr>
            </w:pPr>
            <w:proofErr w:type="spellStart"/>
            <w:r w:rsidRPr="00175174">
              <w:rPr>
                <w:sz w:val="18"/>
                <w:szCs w:val="18"/>
              </w:rPr>
              <w:t>Totaal</w:t>
            </w:r>
            <w:proofErr w:type="spellEnd"/>
          </w:p>
        </w:tc>
        <w:tc>
          <w:tcPr>
            <w:tcW w:w="1275" w:type="dxa"/>
          </w:tcPr>
          <w:p w:rsidRPr="00175174" w:rsidR="00EC29A2" w:rsidP="00175174" w:rsidRDefault="00EC29A2" w14:paraId="4232EDD3" w14:textId="77777777">
            <w:pPr>
              <w:pStyle w:val="TableParagraph"/>
              <w:suppressAutoHyphens/>
              <w:jc w:val="left"/>
              <w:rPr>
                <w:sz w:val="18"/>
                <w:szCs w:val="18"/>
              </w:rPr>
            </w:pPr>
            <w:r w:rsidRPr="00175174">
              <w:rPr>
                <w:sz w:val="18"/>
                <w:szCs w:val="18"/>
              </w:rPr>
              <w:t>2.473</w:t>
            </w:r>
          </w:p>
        </w:tc>
        <w:tc>
          <w:tcPr>
            <w:tcW w:w="1134" w:type="dxa"/>
          </w:tcPr>
          <w:p w:rsidRPr="00175174" w:rsidR="00EC29A2" w:rsidP="00175174" w:rsidRDefault="00540C7D" w14:paraId="36DA91CB" w14:textId="221DA5FF">
            <w:pPr>
              <w:pStyle w:val="TableParagraph"/>
              <w:suppressAutoHyphens/>
              <w:jc w:val="left"/>
              <w:rPr>
                <w:sz w:val="18"/>
                <w:szCs w:val="18"/>
              </w:rPr>
            </w:pPr>
            <w:r w:rsidRPr="00175174">
              <w:rPr>
                <w:sz w:val="18"/>
                <w:szCs w:val="18"/>
              </w:rPr>
              <w:t>5</w:t>
            </w:r>
            <w:r w:rsidRPr="00175174" w:rsidR="003D525C">
              <w:rPr>
                <w:sz w:val="18"/>
                <w:szCs w:val="18"/>
              </w:rPr>
              <w:t>90</w:t>
            </w:r>
          </w:p>
        </w:tc>
        <w:tc>
          <w:tcPr>
            <w:tcW w:w="1276" w:type="dxa"/>
          </w:tcPr>
          <w:p w:rsidRPr="00175174" w:rsidR="00EC29A2" w:rsidP="00175174" w:rsidRDefault="00540C7D" w14:paraId="7A17DFED" w14:textId="1F6384CD">
            <w:pPr>
              <w:pStyle w:val="TableParagraph"/>
              <w:suppressAutoHyphens/>
              <w:jc w:val="left"/>
              <w:rPr>
                <w:sz w:val="18"/>
                <w:szCs w:val="18"/>
              </w:rPr>
            </w:pPr>
            <w:r w:rsidRPr="00175174">
              <w:rPr>
                <w:sz w:val="18"/>
                <w:szCs w:val="18"/>
              </w:rPr>
              <w:t>241</w:t>
            </w:r>
          </w:p>
        </w:tc>
        <w:tc>
          <w:tcPr>
            <w:tcW w:w="1134" w:type="dxa"/>
          </w:tcPr>
          <w:p w:rsidRPr="00175174" w:rsidR="00DD1F63" w:rsidP="00175174" w:rsidRDefault="00DD1F63" w14:paraId="35D7DA4A" w14:textId="67F0F05E">
            <w:pPr>
              <w:pStyle w:val="TableParagraph"/>
              <w:suppressAutoHyphens/>
              <w:jc w:val="left"/>
              <w:rPr>
                <w:sz w:val="18"/>
                <w:szCs w:val="18"/>
              </w:rPr>
            </w:pPr>
            <w:r w:rsidRPr="00175174">
              <w:rPr>
                <w:sz w:val="18"/>
                <w:szCs w:val="18"/>
              </w:rPr>
              <w:t>83</w:t>
            </w:r>
            <w:r w:rsidRPr="00175174" w:rsidR="003D525C">
              <w:rPr>
                <w:sz w:val="18"/>
                <w:szCs w:val="18"/>
              </w:rPr>
              <w:t>1</w:t>
            </w:r>
          </w:p>
        </w:tc>
        <w:tc>
          <w:tcPr>
            <w:tcW w:w="1134" w:type="dxa"/>
          </w:tcPr>
          <w:p w:rsidRPr="00175174" w:rsidR="00DD1F63" w:rsidP="00175174" w:rsidRDefault="00DD1F63" w14:paraId="34DE1396" w14:textId="1477D8F0">
            <w:pPr>
              <w:pStyle w:val="TableParagraph"/>
              <w:suppressAutoHyphens/>
              <w:jc w:val="left"/>
              <w:rPr>
                <w:sz w:val="18"/>
                <w:szCs w:val="18"/>
              </w:rPr>
            </w:pPr>
            <w:r w:rsidRPr="00175174">
              <w:rPr>
                <w:sz w:val="18"/>
                <w:szCs w:val="18"/>
              </w:rPr>
              <w:t>34%</w:t>
            </w:r>
          </w:p>
        </w:tc>
      </w:tr>
    </w:tbl>
    <w:p w:rsidRPr="00175174" w:rsidR="00EC29A2" w:rsidP="00175174" w:rsidRDefault="00EC29A2" w14:paraId="1A8F79AD" w14:textId="77777777">
      <w:pPr>
        <w:suppressAutoHyphens/>
        <w:spacing w:after="0"/>
        <w:jc w:val="left"/>
      </w:pPr>
    </w:p>
    <w:p w:rsidRPr="00175174" w:rsidR="00270019" w:rsidP="00175174" w:rsidRDefault="00D927FD" w14:paraId="4DD01012" w14:textId="047C1E83">
      <w:pPr>
        <w:pStyle w:val="Plattetekst"/>
        <w:suppressAutoHyphens/>
        <w:spacing w:line="240" w:lineRule="exact"/>
        <w:jc w:val="left"/>
      </w:pPr>
      <w:r w:rsidRPr="00175174">
        <w:t>NRG PALLAS</w:t>
      </w:r>
      <w:r w:rsidRPr="00175174" w:rsidR="00540A77">
        <w:t xml:space="preserve"> B.V.</w:t>
      </w:r>
      <w:r w:rsidRPr="00175174">
        <w:t xml:space="preserve"> heeft in 2025 € 241 mln. uitgegeven aan het PALLAS-nieuwbouwprogramma, waarmee de cumulatieve uitgaven t/m 31 december 2025 uitkomen op € 83</w:t>
      </w:r>
      <w:r w:rsidRPr="00175174" w:rsidR="00A63032">
        <w:t>1</w:t>
      </w:r>
      <w:r w:rsidRPr="00175174">
        <w:t xml:space="preserve"> mln. Dit komt neer op </w:t>
      </w:r>
      <w:r w:rsidRPr="00175174" w:rsidR="000B1EDC">
        <w:t>34</w:t>
      </w:r>
      <w:r w:rsidRPr="00175174" w:rsidR="00EC29A2">
        <w:t xml:space="preserve">% van </w:t>
      </w:r>
      <w:r w:rsidRPr="00175174" w:rsidR="004A1031">
        <w:t>de</w:t>
      </w:r>
      <w:r w:rsidRPr="00175174" w:rsidR="00EC29A2">
        <w:t xml:space="preserve"> totale </w:t>
      </w:r>
      <w:r w:rsidRPr="00175174" w:rsidR="00E12DAD">
        <w:t>financieringsbehoefte</w:t>
      </w:r>
      <w:r w:rsidRPr="00175174">
        <w:t>. Het geld is met n</w:t>
      </w:r>
      <w:r w:rsidRPr="00175174" w:rsidR="007C18D6">
        <w:t xml:space="preserve">ame </w:t>
      </w:r>
      <w:r w:rsidRPr="00175174">
        <w:t xml:space="preserve">besteed </w:t>
      </w:r>
      <w:r w:rsidRPr="00175174" w:rsidR="007C18D6">
        <w:t>aan het ontwerp</w:t>
      </w:r>
      <w:r w:rsidRPr="00175174" w:rsidR="00B168ED">
        <w:t xml:space="preserve"> en de voorbereidende werkzaamheden</w:t>
      </w:r>
      <w:r w:rsidRPr="00175174" w:rsidR="00ED7A2A">
        <w:t xml:space="preserve"> van de </w:t>
      </w:r>
      <w:r w:rsidRPr="00175174" w:rsidR="00441526">
        <w:t xml:space="preserve">bouw van de </w:t>
      </w:r>
      <w:r w:rsidRPr="00175174" w:rsidR="00ED7A2A">
        <w:t>PALLAS-reactor</w:t>
      </w:r>
      <w:r w:rsidRPr="00175174" w:rsidR="007C18D6">
        <w:t>.</w:t>
      </w:r>
      <w:r w:rsidRPr="00175174" w:rsidR="00EC29A2">
        <w:t xml:space="preserve"> Bij het onderdeel </w:t>
      </w:r>
      <w:proofErr w:type="spellStart"/>
      <w:r w:rsidRPr="00175174" w:rsidR="00EC29A2">
        <w:t>Programme</w:t>
      </w:r>
      <w:proofErr w:type="spellEnd"/>
      <w:r w:rsidRPr="00175174" w:rsidR="00EC29A2">
        <w:t xml:space="preserve"> Support is de realisatie </w:t>
      </w:r>
      <w:r w:rsidRPr="00175174" w:rsidR="00BF271C">
        <w:t>met 4</w:t>
      </w:r>
      <w:r w:rsidRPr="00175174" w:rsidR="00A63032">
        <w:t>6</w:t>
      </w:r>
      <w:r w:rsidRPr="00175174" w:rsidR="00BF271C">
        <w:t xml:space="preserve">% </w:t>
      </w:r>
      <w:r w:rsidRPr="00175174" w:rsidR="00EC29A2">
        <w:t>relatief hoog</w:t>
      </w:r>
      <w:r w:rsidRPr="00175174" w:rsidR="00AE7FDA">
        <w:t>, omdat deze uitgaven naar hun aard hoger zijn aan het begin van het programma en daarna afnemen</w:t>
      </w:r>
      <w:r w:rsidRPr="00175174" w:rsidR="00BF271C">
        <w:t>.</w:t>
      </w:r>
      <w:r w:rsidRPr="00175174" w:rsidR="002F266B">
        <w:t xml:space="preserve"> </w:t>
      </w:r>
      <w:r w:rsidRPr="00175174" w:rsidR="00BF271C">
        <w:t xml:space="preserve">Bij processing </w:t>
      </w:r>
      <w:proofErr w:type="spellStart"/>
      <w:r w:rsidRPr="00175174" w:rsidR="00BF271C">
        <w:t>facilities</w:t>
      </w:r>
      <w:proofErr w:type="spellEnd"/>
      <w:r w:rsidRPr="00175174" w:rsidR="00BF271C">
        <w:t xml:space="preserve"> is de realisatie relatief laag</w:t>
      </w:r>
      <w:r w:rsidRPr="00175174" w:rsidR="00EF1F39">
        <w:t xml:space="preserve">, omdat de uitvoering van dit </w:t>
      </w:r>
      <w:r w:rsidRPr="00175174" w:rsidR="00ED7A2A">
        <w:t>deel</w:t>
      </w:r>
      <w:r w:rsidRPr="00175174" w:rsidR="00EF1F39">
        <w:t xml:space="preserve">project </w:t>
      </w:r>
      <w:r w:rsidRPr="00175174" w:rsidR="00ED7A2A">
        <w:t>later plaatsvindt dan oorspronkelijk gepland</w:t>
      </w:r>
      <w:r w:rsidRPr="00175174" w:rsidR="00EF1F39">
        <w:t xml:space="preserve">. </w:t>
      </w:r>
      <w:r w:rsidRPr="00175174" w:rsidR="00ED7A2A">
        <w:t xml:space="preserve">Het onderdeel </w:t>
      </w:r>
      <w:proofErr w:type="spellStart"/>
      <w:r w:rsidRPr="00175174" w:rsidR="00ED7A2A">
        <w:t>operational</w:t>
      </w:r>
      <w:proofErr w:type="spellEnd"/>
      <w:r w:rsidRPr="00175174" w:rsidR="00ED7A2A">
        <w:t xml:space="preserve"> </w:t>
      </w:r>
      <w:proofErr w:type="spellStart"/>
      <w:r w:rsidRPr="00175174" w:rsidR="00ED7A2A">
        <w:t>readiness</w:t>
      </w:r>
      <w:proofErr w:type="spellEnd"/>
      <w:r w:rsidRPr="00175174" w:rsidR="00ED7A2A">
        <w:t xml:space="preserve"> laat ook een relatief lage realisatie zien die wordt veroorzaakt doordat het team en de activiteiten later </w:t>
      </w:r>
      <w:r w:rsidRPr="00175174" w:rsidR="005F7557">
        <w:t xml:space="preserve">worden </w:t>
      </w:r>
      <w:r w:rsidRPr="00175174" w:rsidR="00ED7A2A">
        <w:t>opgeschaald dan gepland.</w:t>
      </w:r>
      <w:r w:rsidRPr="00175174" w:rsidR="00A846E8">
        <w:t xml:space="preserve"> </w:t>
      </w:r>
      <w:r w:rsidRPr="00175174" w:rsidR="00AC70FD">
        <w:t xml:space="preserve">Er is voor gekozen om </w:t>
      </w:r>
      <w:r w:rsidRPr="00175174" w:rsidR="00540A77">
        <w:t>het onderdeel PALLAS-reactor</w:t>
      </w:r>
      <w:r w:rsidRPr="00175174" w:rsidR="00AC70FD">
        <w:t xml:space="preserve"> niet nader te specificeren </w:t>
      </w:r>
      <w:r w:rsidRPr="00175174" w:rsidR="008524F0">
        <w:t>in termen van bijvoorbeeld</w:t>
      </w:r>
      <w:r w:rsidRPr="00175174" w:rsidR="00AC70FD">
        <w:t xml:space="preserve"> technische constructie of materialen, omdat dit de inzichtelijkheid niet ten goede </w:t>
      </w:r>
      <w:r w:rsidRPr="00175174" w:rsidR="00150E7A">
        <w:t>komt</w:t>
      </w:r>
      <w:r w:rsidRPr="00175174" w:rsidR="00AC70FD">
        <w:t>.</w:t>
      </w:r>
      <w:r w:rsidRPr="00175174" w:rsidR="00150E7A">
        <w:t xml:space="preserve"> VWS monitort de meerjarige kasprognoses van NRG PALLAS B.V. Op dit punt zijn geen bijzonderheden te vermelden.</w:t>
      </w:r>
    </w:p>
    <w:p w:rsidRPr="00175174" w:rsidR="00270019" w:rsidP="00175174" w:rsidRDefault="00270019" w14:paraId="570D2B20" w14:textId="5E3F728E">
      <w:pPr>
        <w:pStyle w:val="Kop3"/>
        <w:suppressAutoHyphens/>
      </w:pPr>
      <w:r w:rsidRPr="00175174">
        <w:t xml:space="preserve">Post </w:t>
      </w:r>
      <w:r w:rsidRPr="00175174" w:rsidR="00D00787">
        <w:t>o</w:t>
      </w:r>
      <w:r w:rsidRPr="00175174">
        <w:t>nvoorzien</w:t>
      </w:r>
    </w:p>
    <w:p w:rsidRPr="00175174" w:rsidR="00270019" w:rsidP="00175174" w:rsidRDefault="00A846E8" w14:paraId="2911EC35" w14:textId="284BB2A9">
      <w:pPr>
        <w:pStyle w:val="Plattetekst"/>
        <w:suppressAutoHyphens/>
        <w:spacing w:line="240" w:lineRule="exact"/>
        <w:jc w:val="left"/>
        <w:rPr>
          <w:spacing w:val="-2"/>
        </w:rPr>
      </w:pPr>
      <w:r w:rsidRPr="00175174">
        <w:t>De post onvoorzien is gebaseerd op de risico</w:t>
      </w:r>
      <w:r w:rsidRPr="00175174" w:rsidR="00311D10">
        <w:t>-</w:t>
      </w:r>
      <w:r w:rsidRPr="00175174">
        <w:t xml:space="preserve">inschattingen </w:t>
      </w:r>
      <w:r w:rsidRPr="00175174" w:rsidR="0021396A">
        <w:t xml:space="preserve">in baseline 9 </w:t>
      </w:r>
      <w:r w:rsidRPr="00175174">
        <w:t xml:space="preserve">van de verschillende </w:t>
      </w:r>
      <w:r w:rsidRPr="00175174" w:rsidR="0021396A">
        <w:t xml:space="preserve">onderdelen van het PALLAS-nieuwbouwprogramma </w:t>
      </w:r>
      <w:r w:rsidRPr="00175174" w:rsidR="00673C0E">
        <w:t>uit</w:t>
      </w:r>
      <w:r w:rsidRPr="00175174" w:rsidR="0021396A">
        <w:t xml:space="preserve"> tabel</w:t>
      </w:r>
      <w:r w:rsidRPr="00175174" w:rsidR="007D09CD">
        <w:t xml:space="preserve"> 6</w:t>
      </w:r>
      <w:r w:rsidRPr="00175174" w:rsidR="0021396A">
        <w:t>. Exogene risico’s en scopewijzigingen zijn niet meegenomen in de bepaling van het bedrag onvoorzien.</w:t>
      </w:r>
      <w:r w:rsidRPr="00175174" w:rsidR="00270019">
        <w:t xml:space="preserve"> </w:t>
      </w:r>
      <w:r w:rsidRPr="00175174" w:rsidR="00B0762F">
        <w:t xml:space="preserve">Risico’s worden niet individueel gekwantificeerd. </w:t>
      </w:r>
      <w:r w:rsidRPr="00175174" w:rsidR="00270019">
        <w:t xml:space="preserve">Twee keer per jaar vindt kwantificering van gehele risicodossier van het PALLAS-nieuwbouwprogramma plaats op basis van een probabilistische analyse. De post onvoorzien bedraagt per 31 december 2025 net zoals in de </w:t>
      </w:r>
      <w:r w:rsidRPr="00175174" w:rsidR="009D459D">
        <w:t xml:space="preserve">tweede </w:t>
      </w:r>
      <w:r w:rsidRPr="00175174" w:rsidR="00270019">
        <w:t>basisrapportage € 146 mln. (prijspeil 2025)</w:t>
      </w:r>
      <w:r w:rsidRPr="00175174" w:rsidR="007D09CD">
        <w:t xml:space="preserve"> zoals weergegeven in tabel</w:t>
      </w:r>
      <w:r w:rsidRPr="00175174" w:rsidR="00270019">
        <w:t xml:space="preserve"> 6</w:t>
      </w:r>
      <w:r w:rsidRPr="00175174" w:rsidR="00CB04B5">
        <w:t xml:space="preserve"> en tabel 7</w:t>
      </w:r>
      <w:r w:rsidRPr="00175174" w:rsidR="00270019">
        <w:t xml:space="preserve">. </w:t>
      </w:r>
      <w:r w:rsidRPr="00175174" w:rsidR="00CB04B5">
        <w:t>Laatstgenoemde tabel</w:t>
      </w:r>
      <w:r w:rsidRPr="00175174" w:rsidR="00C61BE6">
        <w:t xml:space="preserve"> geeft het verloop weer </w:t>
      </w:r>
      <w:r w:rsidRPr="00175174" w:rsidR="00CB04B5">
        <w:t>sinds het verschijnen van baseline 9 in mei 2025</w:t>
      </w:r>
      <w:r w:rsidRPr="00175174" w:rsidR="00C61BE6">
        <w:t xml:space="preserve">. </w:t>
      </w:r>
      <w:r w:rsidRPr="00175174" w:rsidR="00270019">
        <w:t>De geraamde kosten van één maand vertraging op basis van de halverwege 2025 uitgevoerde probabilistische analyse liggen tussen € 15 mln. en € 18</w:t>
      </w:r>
      <w:r w:rsidRPr="00175174" w:rsidR="00270019">
        <w:rPr>
          <w:spacing w:val="-2"/>
        </w:rPr>
        <w:t xml:space="preserve"> mln., afhankelijk van het tijdstip van optreden en de reden van de vertraging.</w:t>
      </w:r>
    </w:p>
    <w:p w:rsidRPr="00175174" w:rsidR="00C61BE6" w:rsidP="00175174" w:rsidRDefault="00C61BE6" w14:paraId="042AB8F0" w14:textId="2CEACFF9">
      <w:pPr>
        <w:pStyle w:val="Bijschrift"/>
        <w:suppressAutoHyphens/>
      </w:pPr>
      <w:r w:rsidRPr="00175174">
        <w:t xml:space="preserve">Tabel 7. Mutatieoverzicht post onvoorzien </w:t>
      </w:r>
    </w:p>
    <w:tbl>
      <w:tblPr>
        <w:tblStyle w:val="TableNormal"/>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Look w:val="01E0" w:firstRow="1" w:lastRow="1" w:firstColumn="1" w:lastColumn="1" w:noHBand="0" w:noVBand="0"/>
      </w:tblPr>
      <w:tblGrid>
        <w:gridCol w:w="2405"/>
        <w:gridCol w:w="1985"/>
        <w:gridCol w:w="1134"/>
        <w:gridCol w:w="1134"/>
        <w:gridCol w:w="999"/>
      </w:tblGrid>
      <w:tr w:rsidRPr="00175174" w:rsidR="00C61BE6" w:rsidTr="00C846D5" w14:paraId="17C475FE" w14:textId="77777777">
        <w:trPr>
          <w:trHeight w:val="240"/>
        </w:trPr>
        <w:tc>
          <w:tcPr>
            <w:tcW w:w="2405" w:type="dxa"/>
            <w:shd w:val="clear" w:color="auto" w:fill="002F5B"/>
          </w:tcPr>
          <w:p w:rsidRPr="00175174" w:rsidR="00C61BE6" w:rsidP="00175174" w:rsidRDefault="00C61BE6" w14:paraId="760584C2" w14:textId="77777777">
            <w:pPr>
              <w:pStyle w:val="TableParagraph"/>
              <w:suppressAutoHyphens/>
              <w:jc w:val="left"/>
              <w:rPr>
                <w:b/>
                <w:bCs/>
                <w:sz w:val="18"/>
                <w:szCs w:val="18"/>
              </w:rPr>
            </w:pPr>
            <w:r w:rsidRPr="00175174">
              <w:rPr>
                <w:b/>
                <w:bCs/>
                <w:sz w:val="18"/>
                <w:szCs w:val="18"/>
              </w:rPr>
              <w:t>Rapportage</w:t>
            </w:r>
          </w:p>
        </w:tc>
        <w:tc>
          <w:tcPr>
            <w:tcW w:w="1985" w:type="dxa"/>
            <w:shd w:val="clear" w:color="auto" w:fill="002F5B"/>
          </w:tcPr>
          <w:p w:rsidRPr="00175174" w:rsidR="00C61BE6" w:rsidP="00175174" w:rsidRDefault="00C61BE6" w14:paraId="4CC301CF" w14:textId="77777777">
            <w:pPr>
              <w:pStyle w:val="TableParagraph"/>
              <w:suppressAutoHyphens/>
              <w:jc w:val="left"/>
              <w:rPr>
                <w:b/>
                <w:bCs/>
                <w:sz w:val="18"/>
                <w:szCs w:val="18"/>
              </w:rPr>
            </w:pPr>
            <w:proofErr w:type="spellStart"/>
            <w:r w:rsidRPr="00175174">
              <w:rPr>
                <w:b/>
                <w:bCs/>
                <w:sz w:val="18"/>
                <w:szCs w:val="18"/>
              </w:rPr>
              <w:t>Betreft</w:t>
            </w:r>
            <w:proofErr w:type="spellEnd"/>
          </w:p>
        </w:tc>
        <w:tc>
          <w:tcPr>
            <w:tcW w:w="1134" w:type="dxa"/>
            <w:shd w:val="clear" w:color="auto" w:fill="002F5B"/>
          </w:tcPr>
          <w:p w:rsidRPr="00175174" w:rsidR="00C61BE6" w:rsidP="00175174" w:rsidRDefault="00C61BE6" w14:paraId="70293B70" w14:textId="77777777">
            <w:pPr>
              <w:pStyle w:val="TableParagraph"/>
              <w:suppressAutoHyphens/>
              <w:jc w:val="left"/>
              <w:rPr>
                <w:b/>
                <w:bCs/>
                <w:sz w:val="18"/>
                <w:szCs w:val="18"/>
              </w:rPr>
            </w:pPr>
            <w:proofErr w:type="spellStart"/>
            <w:r w:rsidRPr="00175174">
              <w:rPr>
                <w:b/>
                <w:bCs/>
                <w:sz w:val="18"/>
                <w:szCs w:val="18"/>
              </w:rPr>
              <w:t>Mutatie</w:t>
            </w:r>
            <w:proofErr w:type="spellEnd"/>
          </w:p>
        </w:tc>
        <w:tc>
          <w:tcPr>
            <w:tcW w:w="1134" w:type="dxa"/>
            <w:shd w:val="clear" w:color="auto" w:fill="002F5B"/>
          </w:tcPr>
          <w:p w:rsidRPr="00175174" w:rsidR="00C61BE6" w:rsidP="00175174" w:rsidRDefault="00C61BE6" w14:paraId="78DA1E56" w14:textId="77777777">
            <w:pPr>
              <w:pStyle w:val="TableParagraph"/>
              <w:suppressAutoHyphens/>
              <w:jc w:val="left"/>
              <w:rPr>
                <w:b/>
                <w:bCs/>
                <w:sz w:val="18"/>
                <w:szCs w:val="18"/>
              </w:rPr>
            </w:pPr>
            <w:proofErr w:type="spellStart"/>
            <w:r w:rsidRPr="00175174">
              <w:rPr>
                <w:b/>
                <w:bCs/>
                <w:sz w:val="18"/>
                <w:szCs w:val="18"/>
              </w:rPr>
              <w:t>Prijspeil</w:t>
            </w:r>
            <w:proofErr w:type="spellEnd"/>
          </w:p>
        </w:tc>
        <w:tc>
          <w:tcPr>
            <w:tcW w:w="999" w:type="dxa"/>
            <w:shd w:val="clear" w:color="auto" w:fill="002F5B"/>
          </w:tcPr>
          <w:p w:rsidRPr="00175174" w:rsidR="00C61BE6" w:rsidP="00175174" w:rsidRDefault="00C61BE6" w14:paraId="62CAC3C0" w14:textId="77777777">
            <w:pPr>
              <w:pStyle w:val="TableParagraph"/>
              <w:suppressAutoHyphens/>
              <w:jc w:val="left"/>
              <w:rPr>
                <w:b/>
                <w:bCs/>
                <w:sz w:val="18"/>
                <w:szCs w:val="18"/>
              </w:rPr>
            </w:pPr>
            <w:proofErr w:type="spellStart"/>
            <w:r w:rsidRPr="00175174">
              <w:rPr>
                <w:b/>
                <w:bCs/>
                <w:sz w:val="18"/>
                <w:szCs w:val="18"/>
              </w:rPr>
              <w:t>Bedrag</w:t>
            </w:r>
            <w:proofErr w:type="spellEnd"/>
          </w:p>
        </w:tc>
      </w:tr>
      <w:tr w:rsidRPr="00175174" w:rsidR="00C61BE6" w:rsidTr="00C846D5" w14:paraId="362A62C3" w14:textId="77777777">
        <w:trPr>
          <w:trHeight w:val="525"/>
        </w:trPr>
        <w:tc>
          <w:tcPr>
            <w:tcW w:w="2405" w:type="dxa"/>
          </w:tcPr>
          <w:p w:rsidRPr="00175174" w:rsidR="00C61BE6" w:rsidP="00175174" w:rsidRDefault="00CB04B5" w14:paraId="66EF518F" w14:textId="07CE10EA">
            <w:pPr>
              <w:suppressAutoHyphens/>
              <w:autoSpaceDN/>
              <w:spacing w:after="0"/>
              <w:jc w:val="left"/>
              <w:rPr>
                <w:lang w:val="nl-NL"/>
              </w:rPr>
            </w:pPr>
            <w:r w:rsidRPr="00175174">
              <w:rPr>
                <w:lang w:val="nl-NL"/>
              </w:rPr>
              <w:t>Baseline 9</w:t>
            </w:r>
          </w:p>
        </w:tc>
        <w:tc>
          <w:tcPr>
            <w:tcW w:w="1985" w:type="dxa"/>
          </w:tcPr>
          <w:p w:rsidRPr="00175174" w:rsidR="00C61BE6" w:rsidP="00175174" w:rsidRDefault="00C61BE6" w14:paraId="0618D550" w14:textId="5AEE75F6">
            <w:pPr>
              <w:suppressAutoHyphens/>
              <w:autoSpaceDN/>
              <w:spacing w:after="0"/>
              <w:jc w:val="left"/>
              <w:rPr>
                <w:lang w:val="nl-NL"/>
              </w:rPr>
            </w:pPr>
            <w:r w:rsidRPr="00175174">
              <w:rPr>
                <w:lang w:val="nl-NL"/>
              </w:rPr>
              <w:t>Post onvoorzien</w:t>
            </w:r>
          </w:p>
        </w:tc>
        <w:tc>
          <w:tcPr>
            <w:tcW w:w="1134" w:type="dxa"/>
          </w:tcPr>
          <w:p w:rsidRPr="00175174" w:rsidR="00C61BE6" w:rsidP="00175174" w:rsidRDefault="00C61BE6" w14:paraId="01BC02EE" w14:textId="77777777">
            <w:pPr>
              <w:suppressAutoHyphens/>
              <w:autoSpaceDN/>
              <w:spacing w:after="0"/>
              <w:jc w:val="left"/>
              <w:rPr>
                <w:lang w:val="nl-NL"/>
              </w:rPr>
            </w:pPr>
          </w:p>
        </w:tc>
        <w:tc>
          <w:tcPr>
            <w:tcW w:w="1134" w:type="dxa"/>
          </w:tcPr>
          <w:p w:rsidRPr="00175174" w:rsidR="00C61BE6" w:rsidP="00175174" w:rsidRDefault="00C61BE6" w14:paraId="24C92606" w14:textId="77777777">
            <w:pPr>
              <w:suppressAutoHyphens/>
              <w:autoSpaceDN/>
              <w:spacing w:after="0"/>
              <w:jc w:val="left"/>
              <w:rPr>
                <w:lang w:val="nl-NL"/>
              </w:rPr>
            </w:pPr>
            <w:r w:rsidRPr="00175174">
              <w:rPr>
                <w:lang w:val="nl-NL"/>
              </w:rPr>
              <w:t>2024</w:t>
            </w:r>
          </w:p>
        </w:tc>
        <w:tc>
          <w:tcPr>
            <w:tcW w:w="999" w:type="dxa"/>
          </w:tcPr>
          <w:p w:rsidRPr="00175174" w:rsidR="00C61BE6" w:rsidP="00175174" w:rsidRDefault="00C61BE6" w14:paraId="53C48B8C" w14:textId="1000E78E">
            <w:pPr>
              <w:suppressAutoHyphens/>
              <w:autoSpaceDN/>
              <w:spacing w:after="0"/>
              <w:jc w:val="left"/>
              <w:rPr>
                <w:lang w:val="nl-NL"/>
              </w:rPr>
            </w:pPr>
            <w:r w:rsidRPr="00175174">
              <w:rPr>
                <w:lang w:val="nl-NL"/>
              </w:rPr>
              <w:t>140</w:t>
            </w:r>
          </w:p>
        </w:tc>
      </w:tr>
      <w:tr w:rsidRPr="00175174" w:rsidR="00C61BE6" w:rsidTr="00C846D5" w14:paraId="1D4083C6" w14:textId="77777777">
        <w:trPr>
          <w:trHeight w:val="418"/>
        </w:trPr>
        <w:tc>
          <w:tcPr>
            <w:tcW w:w="2405" w:type="dxa"/>
          </w:tcPr>
          <w:p w:rsidRPr="00175174" w:rsidR="00C61BE6" w:rsidP="00175174" w:rsidRDefault="00C61BE6" w14:paraId="131B91B5" w14:textId="77777777">
            <w:pPr>
              <w:suppressAutoHyphens/>
              <w:autoSpaceDN/>
              <w:spacing w:after="0"/>
              <w:jc w:val="left"/>
              <w:rPr>
                <w:lang w:val="nl-NL"/>
              </w:rPr>
            </w:pPr>
            <w:r w:rsidRPr="00175174">
              <w:rPr>
                <w:lang w:val="nl-NL"/>
              </w:rPr>
              <w:t>Tweede BR</w:t>
            </w:r>
          </w:p>
        </w:tc>
        <w:tc>
          <w:tcPr>
            <w:tcW w:w="1985" w:type="dxa"/>
          </w:tcPr>
          <w:p w:rsidRPr="00175174" w:rsidR="00C61BE6" w:rsidP="00175174" w:rsidRDefault="00C61BE6" w14:paraId="23B18F71" w14:textId="77777777">
            <w:pPr>
              <w:suppressAutoHyphens/>
              <w:autoSpaceDN/>
              <w:spacing w:after="0"/>
              <w:jc w:val="left"/>
              <w:rPr>
                <w:lang w:val="nl-NL"/>
              </w:rPr>
            </w:pPr>
            <w:r w:rsidRPr="00175174">
              <w:t xml:space="preserve">CBS-indices </w:t>
            </w:r>
            <w:r w:rsidRPr="00175174">
              <w:rPr>
                <w:lang w:val="nl-NL"/>
              </w:rPr>
              <w:t>GWW (4221) en CPI 2025</w:t>
            </w:r>
          </w:p>
        </w:tc>
        <w:tc>
          <w:tcPr>
            <w:tcW w:w="1134" w:type="dxa"/>
          </w:tcPr>
          <w:p w:rsidRPr="00175174" w:rsidR="00C61BE6" w:rsidP="00175174" w:rsidRDefault="00C61BE6" w14:paraId="6DD8AEDA" w14:textId="77777777">
            <w:pPr>
              <w:suppressAutoHyphens/>
              <w:autoSpaceDN/>
              <w:spacing w:after="0"/>
              <w:jc w:val="left"/>
              <w:rPr>
                <w:lang w:val="nl-NL"/>
              </w:rPr>
            </w:pPr>
            <w:r w:rsidRPr="00175174">
              <w:rPr>
                <w:lang w:val="nl-NL"/>
              </w:rPr>
              <w:t xml:space="preserve"> Indexering</w:t>
            </w:r>
          </w:p>
        </w:tc>
        <w:tc>
          <w:tcPr>
            <w:tcW w:w="1134" w:type="dxa"/>
          </w:tcPr>
          <w:p w:rsidRPr="00175174" w:rsidR="00C61BE6" w:rsidP="00175174" w:rsidRDefault="00C61BE6" w14:paraId="2CB8C201" w14:textId="77777777">
            <w:pPr>
              <w:suppressAutoHyphens/>
              <w:autoSpaceDN/>
              <w:spacing w:after="0"/>
              <w:jc w:val="left"/>
              <w:rPr>
                <w:lang w:val="nl-NL"/>
              </w:rPr>
            </w:pPr>
            <w:r w:rsidRPr="00175174">
              <w:rPr>
                <w:lang w:val="nl-NL"/>
              </w:rPr>
              <w:t>2025</w:t>
            </w:r>
          </w:p>
        </w:tc>
        <w:tc>
          <w:tcPr>
            <w:tcW w:w="999" w:type="dxa"/>
          </w:tcPr>
          <w:p w:rsidRPr="00175174" w:rsidR="00C61BE6" w:rsidP="00175174" w:rsidRDefault="00C61BE6" w14:paraId="46F76DEA" w14:textId="7A1E5B0B">
            <w:pPr>
              <w:suppressAutoHyphens/>
              <w:autoSpaceDN/>
              <w:spacing w:after="0"/>
              <w:jc w:val="left"/>
              <w:rPr>
                <w:lang w:val="nl-NL"/>
              </w:rPr>
            </w:pPr>
            <w:r w:rsidRPr="00175174">
              <w:rPr>
                <w:lang w:val="nl-NL"/>
              </w:rPr>
              <w:t>+6</w:t>
            </w:r>
          </w:p>
        </w:tc>
      </w:tr>
      <w:tr w:rsidRPr="00175174" w:rsidR="00C61BE6" w:rsidTr="00C846D5" w14:paraId="62E87848" w14:textId="77777777">
        <w:trPr>
          <w:trHeight w:val="410"/>
        </w:trPr>
        <w:tc>
          <w:tcPr>
            <w:tcW w:w="2405" w:type="dxa"/>
          </w:tcPr>
          <w:p w:rsidRPr="00175174" w:rsidR="00C61BE6" w:rsidP="00175174" w:rsidRDefault="00C61BE6" w14:paraId="4F0C0DA2" w14:textId="77777777">
            <w:pPr>
              <w:suppressAutoHyphens/>
              <w:autoSpaceDN/>
              <w:spacing w:after="0"/>
              <w:jc w:val="left"/>
              <w:rPr>
                <w:lang w:val="nl-NL"/>
              </w:rPr>
            </w:pPr>
            <w:r w:rsidRPr="00175174">
              <w:rPr>
                <w:lang w:val="nl-NL"/>
              </w:rPr>
              <w:t>Tweede BR en derde VGR</w:t>
            </w:r>
          </w:p>
        </w:tc>
        <w:tc>
          <w:tcPr>
            <w:tcW w:w="1985" w:type="dxa"/>
          </w:tcPr>
          <w:p w:rsidRPr="00175174" w:rsidR="00C61BE6" w:rsidP="00175174" w:rsidRDefault="00C61BE6" w14:paraId="1C73DD5D" w14:textId="1979065A">
            <w:pPr>
              <w:suppressAutoHyphens/>
              <w:autoSpaceDN/>
              <w:spacing w:after="0"/>
              <w:jc w:val="left"/>
              <w:rPr>
                <w:lang w:val="nl-NL"/>
              </w:rPr>
            </w:pPr>
            <w:r w:rsidRPr="00175174">
              <w:rPr>
                <w:lang w:val="nl-NL"/>
              </w:rPr>
              <w:t>Post onvoorzien</w:t>
            </w:r>
          </w:p>
        </w:tc>
        <w:tc>
          <w:tcPr>
            <w:tcW w:w="1134" w:type="dxa"/>
          </w:tcPr>
          <w:p w:rsidRPr="00175174" w:rsidR="00C61BE6" w:rsidP="00175174" w:rsidRDefault="00C61BE6" w14:paraId="240006A3" w14:textId="77777777">
            <w:pPr>
              <w:suppressAutoHyphens/>
              <w:autoSpaceDN/>
              <w:spacing w:after="0"/>
              <w:jc w:val="left"/>
              <w:rPr>
                <w:lang w:val="nl-NL"/>
              </w:rPr>
            </w:pPr>
          </w:p>
        </w:tc>
        <w:tc>
          <w:tcPr>
            <w:tcW w:w="1134" w:type="dxa"/>
          </w:tcPr>
          <w:p w:rsidRPr="00175174" w:rsidR="00C61BE6" w:rsidP="00175174" w:rsidRDefault="00C61BE6" w14:paraId="300B6A7E" w14:textId="77777777">
            <w:pPr>
              <w:suppressAutoHyphens/>
              <w:autoSpaceDN/>
              <w:spacing w:after="0"/>
              <w:jc w:val="left"/>
              <w:rPr>
                <w:lang w:val="nl-NL"/>
              </w:rPr>
            </w:pPr>
            <w:r w:rsidRPr="00175174">
              <w:rPr>
                <w:lang w:val="nl-NL"/>
              </w:rPr>
              <w:t>2025</w:t>
            </w:r>
          </w:p>
        </w:tc>
        <w:tc>
          <w:tcPr>
            <w:tcW w:w="999" w:type="dxa"/>
          </w:tcPr>
          <w:p w:rsidRPr="00175174" w:rsidR="00C61BE6" w:rsidP="00175174" w:rsidRDefault="00C61BE6" w14:paraId="41011DFE" w14:textId="5609972C">
            <w:pPr>
              <w:suppressAutoHyphens/>
              <w:autoSpaceDN/>
              <w:spacing w:after="0"/>
              <w:jc w:val="left"/>
              <w:rPr>
                <w:lang w:val="nl-NL"/>
              </w:rPr>
            </w:pPr>
            <w:r w:rsidRPr="00175174">
              <w:rPr>
                <w:lang w:val="nl-NL"/>
              </w:rPr>
              <w:t>146</w:t>
            </w:r>
          </w:p>
        </w:tc>
      </w:tr>
    </w:tbl>
    <w:p w:rsidRPr="00175174" w:rsidR="00C61BE6" w:rsidP="00175174" w:rsidRDefault="00C61BE6" w14:paraId="07733018" w14:textId="77777777">
      <w:pPr>
        <w:pStyle w:val="Plattetekst"/>
        <w:suppressAutoHyphens/>
        <w:spacing w:line="240" w:lineRule="exact"/>
        <w:jc w:val="left"/>
        <w:rPr>
          <w:spacing w:val="-2"/>
        </w:rPr>
      </w:pPr>
    </w:p>
    <w:p w:rsidRPr="00175174" w:rsidR="000D6ADE" w:rsidP="00175174" w:rsidRDefault="008C43E2" w14:paraId="6246D65F" w14:textId="67321771">
      <w:pPr>
        <w:pStyle w:val="Kop3"/>
        <w:suppressAutoHyphens/>
      </w:pPr>
      <w:r w:rsidRPr="00175174">
        <w:t>Budgetspanning</w:t>
      </w:r>
    </w:p>
    <w:p w:rsidRPr="00175174" w:rsidR="004A1031" w:rsidP="00175174" w:rsidRDefault="004A1031" w14:paraId="58773D62" w14:textId="77777777">
      <w:pPr>
        <w:suppressAutoHyphens/>
        <w:jc w:val="left"/>
        <w:rPr>
          <w:iCs/>
          <w:color w:val="A90061"/>
        </w:rPr>
      </w:pPr>
      <w:bookmarkStart w:name="_Ref163633167" w:id="37"/>
      <w:r w:rsidRPr="00175174">
        <w:t>Onderstaande tabel geeft informatie over de verstrekte financiering aan het PALLAS-nieuwbouwprogramma, gespecificeerd naar financieringspartij en soort vermogen (eigen vermogen dan wel vreemd vermogen).</w:t>
      </w:r>
      <w:bookmarkEnd w:id="37"/>
    </w:p>
    <w:p w:rsidRPr="00175174" w:rsidR="00706413" w:rsidP="00175174" w:rsidRDefault="00706413" w14:paraId="64035F3F" w14:textId="59E500D5">
      <w:pPr>
        <w:pStyle w:val="Bijschrift"/>
        <w:suppressAutoHyphens/>
      </w:pPr>
      <w:r w:rsidRPr="00175174">
        <w:t xml:space="preserve">Tabel </w:t>
      </w:r>
      <w:r w:rsidRPr="00175174" w:rsidR="00C61BE6">
        <w:t>8</w:t>
      </w:r>
      <w:r w:rsidRPr="00175174">
        <w:t xml:space="preserve">. </w:t>
      </w:r>
      <w:r w:rsidRPr="00175174" w:rsidR="004A1031">
        <w:t>Verstrekte</w:t>
      </w:r>
      <w:r w:rsidRPr="00175174">
        <w:t xml:space="preserve"> </w:t>
      </w:r>
      <w:r w:rsidRPr="00175174" w:rsidR="00755718">
        <w:t>financiering</w:t>
      </w:r>
      <w:r w:rsidRPr="00175174">
        <w:t xml:space="preserve"> PALLAS-nieuwbouwprogramma</w:t>
      </w:r>
      <w:r w:rsidRPr="00175174" w:rsidR="00A43C87">
        <w:t xml:space="preserve"> t/m </w:t>
      </w:r>
      <w:r w:rsidRPr="00175174" w:rsidR="000B1EDC">
        <w:t>31 december</w:t>
      </w:r>
      <w:r w:rsidRPr="00175174" w:rsidR="00A43C87">
        <w:t xml:space="preserve"> 2025</w:t>
      </w:r>
    </w:p>
    <w:tbl>
      <w:tblPr>
        <w:tblStyle w:val="TableNormal"/>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Look w:val="01E0" w:firstRow="1" w:lastRow="1" w:firstColumn="1" w:lastColumn="1" w:noHBand="0" w:noVBand="0"/>
      </w:tblPr>
      <w:tblGrid>
        <w:gridCol w:w="2852"/>
        <w:gridCol w:w="1603"/>
        <w:gridCol w:w="1601"/>
        <w:gridCol w:w="1601"/>
      </w:tblGrid>
      <w:tr w:rsidRPr="00175174" w:rsidR="00706413" w:rsidTr="00211CD0" w14:paraId="4FCAB2D2" w14:textId="77777777">
        <w:trPr>
          <w:trHeight w:val="239"/>
        </w:trPr>
        <w:tc>
          <w:tcPr>
            <w:tcW w:w="2852" w:type="dxa"/>
            <w:shd w:val="clear" w:color="auto" w:fill="002F5B"/>
          </w:tcPr>
          <w:p w:rsidRPr="00175174" w:rsidR="00706413" w:rsidP="00175174" w:rsidRDefault="00706413" w14:paraId="741889E3" w14:textId="77777777">
            <w:pPr>
              <w:pStyle w:val="TableParagraph"/>
              <w:suppressAutoHyphens/>
              <w:jc w:val="left"/>
              <w:rPr>
                <w:b/>
                <w:bCs/>
                <w:sz w:val="18"/>
                <w:szCs w:val="18"/>
              </w:rPr>
            </w:pPr>
            <w:r w:rsidRPr="00175174">
              <w:rPr>
                <w:b/>
                <w:bCs/>
                <w:sz w:val="18"/>
                <w:szCs w:val="18"/>
              </w:rPr>
              <w:t>[0]</w:t>
            </w:r>
          </w:p>
        </w:tc>
        <w:tc>
          <w:tcPr>
            <w:tcW w:w="1603" w:type="dxa"/>
            <w:shd w:val="clear" w:color="auto" w:fill="002F5B"/>
          </w:tcPr>
          <w:p w:rsidRPr="00175174" w:rsidR="00706413" w:rsidP="00175174" w:rsidRDefault="00706413" w14:paraId="6C6ECDC9" w14:textId="77777777">
            <w:pPr>
              <w:pStyle w:val="TableParagraph"/>
              <w:suppressAutoHyphens/>
              <w:jc w:val="left"/>
              <w:rPr>
                <w:b/>
                <w:bCs/>
                <w:sz w:val="18"/>
                <w:szCs w:val="18"/>
              </w:rPr>
            </w:pPr>
            <w:r w:rsidRPr="00175174">
              <w:rPr>
                <w:b/>
                <w:bCs/>
                <w:sz w:val="18"/>
                <w:szCs w:val="18"/>
              </w:rPr>
              <w:t>[1]</w:t>
            </w:r>
          </w:p>
        </w:tc>
        <w:tc>
          <w:tcPr>
            <w:tcW w:w="1601" w:type="dxa"/>
            <w:shd w:val="clear" w:color="auto" w:fill="002F5B"/>
          </w:tcPr>
          <w:p w:rsidRPr="00175174" w:rsidR="00706413" w:rsidP="00175174" w:rsidRDefault="00706413" w14:paraId="71D98FD4" w14:textId="77777777">
            <w:pPr>
              <w:pStyle w:val="TableParagraph"/>
              <w:suppressAutoHyphens/>
              <w:jc w:val="left"/>
              <w:rPr>
                <w:b/>
                <w:bCs/>
                <w:sz w:val="18"/>
                <w:szCs w:val="18"/>
              </w:rPr>
            </w:pPr>
            <w:r w:rsidRPr="00175174">
              <w:rPr>
                <w:b/>
                <w:bCs/>
                <w:sz w:val="18"/>
                <w:szCs w:val="18"/>
              </w:rPr>
              <w:t>[2]</w:t>
            </w:r>
          </w:p>
        </w:tc>
        <w:tc>
          <w:tcPr>
            <w:tcW w:w="1601" w:type="dxa"/>
            <w:shd w:val="clear" w:color="auto" w:fill="002F5B"/>
          </w:tcPr>
          <w:p w:rsidRPr="00175174" w:rsidR="00706413" w:rsidP="00175174" w:rsidRDefault="00706413" w14:paraId="426FA2F0" w14:textId="77777777">
            <w:pPr>
              <w:pStyle w:val="TableParagraph"/>
              <w:suppressAutoHyphens/>
              <w:jc w:val="left"/>
              <w:rPr>
                <w:b/>
                <w:bCs/>
                <w:sz w:val="18"/>
                <w:szCs w:val="18"/>
              </w:rPr>
            </w:pPr>
            <w:r w:rsidRPr="00175174">
              <w:rPr>
                <w:b/>
                <w:bCs/>
                <w:sz w:val="18"/>
                <w:szCs w:val="18"/>
              </w:rPr>
              <w:t>[3] =</w:t>
            </w:r>
            <w:r w:rsidRPr="00175174">
              <w:rPr>
                <w:b/>
                <w:bCs/>
                <w:spacing w:val="-3"/>
                <w:sz w:val="18"/>
                <w:szCs w:val="18"/>
              </w:rPr>
              <w:t xml:space="preserve"> </w:t>
            </w:r>
            <w:r w:rsidRPr="00175174">
              <w:rPr>
                <w:b/>
                <w:bCs/>
                <w:sz w:val="18"/>
                <w:szCs w:val="18"/>
              </w:rPr>
              <w:t>[1]+[2]</w:t>
            </w:r>
          </w:p>
        </w:tc>
      </w:tr>
      <w:tr w:rsidRPr="00175174" w:rsidR="00706413" w:rsidTr="00211CD0" w14:paraId="50FAA24D" w14:textId="77777777">
        <w:trPr>
          <w:trHeight w:val="720"/>
        </w:trPr>
        <w:tc>
          <w:tcPr>
            <w:tcW w:w="2852" w:type="dxa"/>
            <w:shd w:val="clear" w:color="auto" w:fill="002F5B"/>
          </w:tcPr>
          <w:p w:rsidRPr="00175174" w:rsidR="00706413" w:rsidP="00175174" w:rsidRDefault="00706413" w14:paraId="2E3AEFC4" w14:textId="77777777">
            <w:pPr>
              <w:pStyle w:val="TableParagraph"/>
              <w:suppressAutoHyphens/>
              <w:jc w:val="left"/>
              <w:rPr>
                <w:b/>
                <w:bCs/>
                <w:sz w:val="18"/>
                <w:szCs w:val="18"/>
              </w:rPr>
            </w:pPr>
          </w:p>
          <w:p w:rsidRPr="00175174" w:rsidR="00706413" w:rsidP="00175174" w:rsidRDefault="00706413" w14:paraId="260D0500" w14:textId="0C61D8F0">
            <w:pPr>
              <w:pStyle w:val="TableParagraph"/>
              <w:suppressAutoHyphens/>
              <w:jc w:val="left"/>
              <w:rPr>
                <w:b/>
                <w:bCs/>
                <w:sz w:val="18"/>
                <w:szCs w:val="18"/>
              </w:rPr>
            </w:pPr>
            <w:proofErr w:type="spellStart"/>
            <w:r w:rsidRPr="00175174">
              <w:rPr>
                <w:b/>
                <w:bCs/>
                <w:sz w:val="18"/>
                <w:szCs w:val="18"/>
              </w:rPr>
              <w:t>Financieringspartij</w:t>
            </w:r>
            <w:proofErr w:type="spellEnd"/>
            <w:r w:rsidRPr="00175174" w:rsidR="00F77EF8">
              <w:rPr>
                <w:b/>
                <w:bCs/>
                <w:sz w:val="18"/>
                <w:szCs w:val="18"/>
              </w:rPr>
              <w:t xml:space="preserve"> en </w:t>
            </w:r>
            <w:proofErr w:type="spellStart"/>
            <w:r w:rsidRPr="00175174" w:rsidR="00F77EF8">
              <w:rPr>
                <w:b/>
                <w:bCs/>
                <w:sz w:val="18"/>
                <w:szCs w:val="18"/>
              </w:rPr>
              <w:t>soort</w:t>
            </w:r>
            <w:proofErr w:type="spellEnd"/>
            <w:r w:rsidRPr="00175174" w:rsidR="00F77EF8">
              <w:rPr>
                <w:b/>
                <w:bCs/>
                <w:sz w:val="18"/>
                <w:szCs w:val="18"/>
              </w:rPr>
              <w:t xml:space="preserve"> </w:t>
            </w:r>
            <w:proofErr w:type="spellStart"/>
            <w:r w:rsidRPr="00175174" w:rsidR="00F77EF8">
              <w:rPr>
                <w:b/>
                <w:bCs/>
                <w:sz w:val="18"/>
                <w:szCs w:val="18"/>
              </w:rPr>
              <w:t>vermogen</w:t>
            </w:r>
            <w:proofErr w:type="spellEnd"/>
          </w:p>
        </w:tc>
        <w:tc>
          <w:tcPr>
            <w:tcW w:w="1603" w:type="dxa"/>
            <w:shd w:val="clear" w:color="auto" w:fill="002F5B"/>
          </w:tcPr>
          <w:p w:rsidRPr="00175174" w:rsidR="00706413" w:rsidP="00175174" w:rsidRDefault="00706413" w14:paraId="5C859FD3" w14:textId="480E0801">
            <w:pPr>
              <w:pStyle w:val="TableParagraph"/>
              <w:suppressAutoHyphens/>
              <w:jc w:val="left"/>
              <w:rPr>
                <w:b/>
                <w:bCs/>
                <w:sz w:val="18"/>
                <w:szCs w:val="18"/>
              </w:rPr>
            </w:pPr>
            <w:r w:rsidRPr="00175174">
              <w:rPr>
                <w:b/>
                <w:bCs/>
                <w:sz w:val="18"/>
                <w:szCs w:val="18"/>
              </w:rPr>
              <w:t xml:space="preserve">T/m </w:t>
            </w:r>
            <w:r w:rsidRPr="00175174" w:rsidR="000B1EDC">
              <w:rPr>
                <w:b/>
                <w:bCs/>
                <w:sz w:val="18"/>
                <w:szCs w:val="18"/>
              </w:rPr>
              <w:t xml:space="preserve">8 </w:t>
            </w:r>
            <w:proofErr w:type="spellStart"/>
            <w:r w:rsidRPr="00175174" w:rsidR="000B1EDC">
              <w:rPr>
                <w:b/>
                <w:bCs/>
                <w:sz w:val="18"/>
                <w:szCs w:val="18"/>
              </w:rPr>
              <w:t>juli</w:t>
            </w:r>
            <w:proofErr w:type="spellEnd"/>
            <w:r w:rsidRPr="00175174" w:rsidR="000B1EDC">
              <w:rPr>
                <w:b/>
                <w:bCs/>
                <w:sz w:val="18"/>
                <w:szCs w:val="18"/>
              </w:rPr>
              <w:t xml:space="preserve"> 2025</w:t>
            </w:r>
          </w:p>
        </w:tc>
        <w:tc>
          <w:tcPr>
            <w:tcW w:w="1601" w:type="dxa"/>
            <w:shd w:val="clear" w:color="auto" w:fill="002F5B"/>
          </w:tcPr>
          <w:p w:rsidRPr="00175174" w:rsidR="00706413" w:rsidP="00175174" w:rsidRDefault="00706413" w14:paraId="00E29CC2" w14:textId="77777777">
            <w:pPr>
              <w:pStyle w:val="TableParagraph"/>
              <w:suppressAutoHyphens/>
              <w:jc w:val="left"/>
              <w:rPr>
                <w:b/>
                <w:bCs/>
                <w:sz w:val="18"/>
                <w:szCs w:val="18"/>
              </w:rPr>
            </w:pPr>
            <w:proofErr w:type="spellStart"/>
            <w:r w:rsidRPr="00175174">
              <w:rPr>
                <w:b/>
                <w:bCs/>
                <w:sz w:val="18"/>
                <w:szCs w:val="18"/>
              </w:rPr>
              <w:t>Mutaties</w:t>
            </w:r>
            <w:proofErr w:type="spellEnd"/>
          </w:p>
        </w:tc>
        <w:tc>
          <w:tcPr>
            <w:tcW w:w="1601" w:type="dxa"/>
            <w:shd w:val="clear" w:color="auto" w:fill="002F5B"/>
          </w:tcPr>
          <w:p w:rsidRPr="00175174" w:rsidR="00706413" w:rsidP="00175174" w:rsidRDefault="00706413" w14:paraId="10A47BFF" w14:textId="77777777">
            <w:pPr>
              <w:pStyle w:val="TableParagraph"/>
              <w:suppressAutoHyphens/>
              <w:jc w:val="left"/>
              <w:rPr>
                <w:b/>
                <w:bCs/>
                <w:sz w:val="18"/>
                <w:szCs w:val="18"/>
              </w:rPr>
            </w:pPr>
            <w:proofErr w:type="spellStart"/>
            <w:r w:rsidRPr="00175174">
              <w:rPr>
                <w:b/>
                <w:bCs/>
                <w:sz w:val="18"/>
                <w:szCs w:val="18"/>
              </w:rPr>
              <w:t>Actueel</w:t>
            </w:r>
            <w:proofErr w:type="spellEnd"/>
          </w:p>
          <w:p w:rsidRPr="00175174" w:rsidR="00706413" w:rsidP="00175174" w:rsidRDefault="00706413" w14:paraId="11359DFD" w14:textId="2ECA0EA0">
            <w:pPr>
              <w:pStyle w:val="TableParagraph"/>
              <w:suppressAutoHyphens/>
              <w:jc w:val="left"/>
              <w:rPr>
                <w:b/>
                <w:bCs/>
                <w:sz w:val="18"/>
                <w:szCs w:val="18"/>
              </w:rPr>
            </w:pPr>
            <w:r w:rsidRPr="00175174">
              <w:rPr>
                <w:b/>
                <w:bCs/>
                <w:sz w:val="18"/>
                <w:szCs w:val="18"/>
              </w:rPr>
              <w:t xml:space="preserve">t/m </w:t>
            </w:r>
            <w:r w:rsidRPr="00175174" w:rsidR="000B1EDC">
              <w:rPr>
                <w:b/>
                <w:bCs/>
                <w:sz w:val="18"/>
                <w:szCs w:val="18"/>
              </w:rPr>
              <w:t xml:space="preserve">31 </w:t>
            </w:r>
            <w:proofErr w:type="spellStart"/>
            <w:r w:rsidRPr="00175174" w:rsidR="000B1EDC">
              <w:rPr>
                <w:b/>
                <w:bCs/>
                <w:sz w:val="18"/>
                <w:szCs w:val="18"/>
              </w:rPr>
              <w:t>december</w:t>
            </w:r>
            <w:proofErr w:type="spellEnd"/>
            <w:r w:rsidRPr="00175174">
              <w:rPr>
                <w:b/>
                <w:bCs/>
                <w:sz w:val="18"/>
                <w:szCs w:val="18"/>
              </w:rPr>
              <w:t xml:space="preserve"> 2025</w:t>
            </w:r>
          </w:p>
        </w:tc>
      </w:tr>
      <w:tr w:rsidRPr="00175174" w:rsidR="000B1EDC" w:rsidTr="00211CD0" w14:paraId="76774C27" w14:textId="77777777">
        <w:trPr>
          <w:trHeight w:val="239"/>
        </w:trPr>
        <w:tc>
          <w:tcPr>
            <w:tcW w:w="2852" w:type="dxa"/>
          </w:tcPr>
          <w:p w:rsidRPr="00175174" w:rsidR="000B1EDC" w:rsidP="00175174" w:rsidRDefault="000B1EDC" w14:paraId="3A314CB0" w14:textId="60B89891">
            <w:pPr>
              <w:pStyle w:val="TableParagraph"/>
              <w:suppressAutoHyphens/>
              <w:jc w:val="left"/>
              <w:rPr>
                <w:sz w:val="18"/>
                <w:szCs w:val="18"/>
              </w:rPr>
            </w:pPr>
            <w:r w:rsidRPr="00175174">
              <w:rPr>
                <w:sz w:val="18"/>
                <w:szCs w:val="18"/>
              </w:rPr>
              <w:t xml:space="preserve">VWS - </w:t>
            </w:r>
            <w:proofErr w:type="spellStart"/>
            <w:r w:rsidRPr="00175174">
              <w:rPr>
                <w:sz w:val="18"/>
                <w:szCs w:val="18"/>
              </w:rPr>
              <w:t>vreemd</w:t>
            </w:r>
            <w:proofErr w:type="spellEnd"/>
            <w:r w:rsidRPr="00175174">
              <w:rPr>
                <w:sz w:val="18"/>
                <w:szCs w:val="18"/>
              </w:rPr>
              <w:t xml:space="preserve"> </w:t>
            </w:r>
            <w:proofErr w:type="spellStart"/>
            <w:r w:rsidRPr="00175174">
              <w:rPr>
                <w:sz w:val="18"/>
                <w:szCs w:val="18"/>
              </w:rPr>
              <w:t>vermogen</w:t>
            </w:r>
            <w:proofErr w:type="spellEnd"/>
            <w:r w:rsidRPr="00175174">
              <w:rPr>
                <w:sz w:val="18"/>
                <w:szCs w:val="18"/>
              </w:rPr>
              <w:t xml:space="preserve"> </w:t>
            </w:r>
          </w:p>
        </w:tc>
        <w:tc>
          <w:tcPr>
            <w:tcW w:w="1603" w:type="dxa"/>
          </w:tcPr>
          <w:p w:rsidRPr="00175174" w:rsidR="000B1EDC" w:rsidP="00175174" w:rsidRDefault="000B1EDC" w14:paraId="1057BC87" w14:textId="2C107500">
            <w:pPr>
              <w:pStyle w:val="TableParagraph"/>
              <w:suppressAutoHyphens/>
              <w:jc w:val="left"/>
              <w:rPr>
                <w:sz w:val="18"/>
                <w:szCs w:val="18"/>
              </w:rPr>
            </w:pPr>
            <w:r w:rsidRPr="00175174">
              <w:rPr>
                <w:sz w:val="18"/>
                <w:szCs w:val="18"/>
              </w:rPr>
              <w:t>614</w:t>
            </w:r>
          </w:p>
        </w:tc>
        <w:tc>
          <w:tcPr>
            <w:tcW w:w="1601" w:type="dxa"/>
          </w:tcPr>
          <w:p w:rsidRPr="00175174" w:rsidR="000B1EDC" w:rsidP="00175174" w:rsidRDefault="000B1EDC" w14:paraId="10E8508D" w14:textId="76BE218C">
            <w:pPr>
              <w:pStyle w:val="TableParagraph"/>
              <w:suppressAutoHyphens/>
              <w:jc w:val="left"/>
              <w:rPr>
                <w:sz w:val="18"/>
                <w:szCs w:val="18"/>
              </w:rPr>
            </w:pPr>
            <w:r w:rsidRPr="00175174">
              <w:rPr>
                <w:sz w:val="18"/>
                <w:szCs w:val="18"/>
              </w:rPr>
              <w:t>24</w:t>
            </w:r>
          </w:p>
        </w:tc>
        <w:tc>
          <w:tcPr>
            <w:tcW w:w="1601" w:type="dxa"/>
          </w:tcPr>
          <w:p w:rsidRPr="00175174" w:rsidR="000B1EDC" w:rsidP="00175174" w:rsidRDefault="000B1EDC" w14:paraId="3B66EBF8" w14:textId="61CE803C">
            <w:pPr>
              <w:pStyle w:val="TableParagraph"/>
              <w:suppressAutoHyphens/>
              <w:jc w:val="left"/>
              <w:rPr>
                <w:sz w:val="18"/>
                <w:szCs w:val="18"/>
              </w:rPr>
            </w:pPr>
            <w:r w:rsidRPr="00175174">
              <w:rPr>
                <w:sz w:val="18"/>
                <w:szCs w:val="18"/>
              </w:rPr>
              <w:t>638</w:t>
            </w:r>
          </w:p>
        </w:tc>
      </w:tr>
      <w:tr w:rsidRPr="00175174" w:rsidR="000B1EDC" w:rsidTr="00211CD0" w14:paraId="31253D1D" w14:textId="77777777">
        <w:trPr>
          <w:trHeight w:val="241"/>
        </w:trPr>
        <w:tc>
          <w:tcPr>
            <w:tcW w:w="2852" w:type="dxa"/>
          </w:tcPr>
          <w:p w:rsidRPr="00175174" w:rsidR="000B1EDC" w:rsidP="00175174" w:rsidRDefault="000B1EDC" w14:paraId="59B163CF" w14:textId="3970D9E5">
            <w:pPr>
              <w:pStyle w:val="TableParagraph"/>
              <w:suppressAutoHyphens/>
              <w:jc w:val="left"/>
              <w:rPr>
                <w:sz w:val="18"/>
                <w:szCs w:val="18"/>
              </w:rPr>
            </w:pPr>
            <w:r w:rsidRPr="00175174">
              <w:rPr>
                <w:sz w:val="18"/>
                <w:szCs w:val="18"/>
              </w:rPr>
              <w:t xml:space="preserve">VWS - eigen </w:t>
            </w:r>
            <w:proofErr w:type="spellStart"/>
            <w:r w:rsidRPr="00175174">
              <w:rPr>
                <w:sz w:val="18"/>
                <w:szCs w:val="18"/>
              </w:rPr>
              <w:t>vermogen</w:t>
            </w:r>
            <w:proofErr w:type="spellEnd"/>
          </w:p>
        </w:tc>
        <w:tc>
          <w:tcPr>
            <w:tcW w:w="1603" w:type="dxa"/>
          </w:tcPr>
          <w:p w:rsidRPr="00175174" w:rsidR="000B1EDC" w:rsidP="00175174" w:rsidRDefault="000B1EDC" w14:paraId="054EEEEB" w14:textId="5EC2B9A6">
            <w:pPr>
              <w:pStyle w:val="TableParagraph"/>
              <w:suppressAutoHyphens/>
              <w:jc w:val="left"/>
              <w:rPr>
                <w:sz w:val="18"/>
                <w:szCs w:val="18"/>
              </w:rPr>
            </w:pPr>
            <w:r w:rsidRPr="00175174">
              <w:rPr>
                <w:sz w:val="18"/>
                <w:szCs w:val="18"/>
              </w:rPr>
              <w:t>59</w:t>
            </w:r>
          </w:p>
        </w:tc>
        <w:tc>
          <w:tcPr>
            <w:tcW w:w="1601" w:type="dxa"/>
          </w:tcPr>
          <w:p w:rsidRPr="00175174" w:rsidR="000B1EDC" w:rsidP="00175174" w:rsidRDefault="000B1EDC" w14:paraId="4030645E" w14:textId="7A28BB9D">
            <w:pPr>
              <w:pStyle w:val="TableParagraph"/>
              <w:suppressAutoHyphens/>
              <w:jc w:val="left"/>
              <w:rPr>
                <w:sz w:val="18"/>
                <w:szCs w:val="18"/>
              </w:rPr>
            </w:pPr>
            <w:r w:rsidRPr="00175174">
              <w:rPr>
                <w:sz w:val="18"/>
                <w:szCs w:val="18"/>
              </w:rPr>
              <w:t>208</w:t>
            </w:r>
          </w:p>
        </w:tc>
        <w:tc>
          <w:tcPr>
            <w:tcW w:w="1601" w:type="dxa"/>
          </w:tcPr>
          <w:p w:rsidRPr="00175174" w:rsidR="000B1EDC" w:rsidP="00175174" w:rsidRDefault="000B1EDC" w14:paraId="1B87506E" w14:textId="34F20025">
            <w:pPr>
              <w:pStyle w:val="TableParagraph"/>
              <w:suppressAutoHyphens/>
              <w:jc w:val="left"/>
              <w:rPr>
                <w:sz w:val="18"/>
                <w:szCs w:val="18"/>
              </w:rPr>
            </w:pPr>
            <w:r w:rsidRPr="00175174">
              <w:rPr>
                <w:sz w:val="18"/>
                <w:szCs w:val="18"/>
              </w:rPr>
              <w:t>267</w:t>
            </w:r>
          </w:p>
        </w:tc>
      </w:tr>
      <w:tr w:rsidRPr="00175174" w:rsidR="000B1EDC" w:rsidTr="00211CD0" w14:paraId="5DB8A95F" w14:textId="77777777">
        <w:trPr>
          <w:trHeight w:val="241"/>
        </w:trPr>
        <w:tc>
          <w:tcPr>
            <w:tcW w:w="2852" w:type="dxa"/>
          </w:tcPr>
          <w:p w:rsidRPr="00175174" w:rsidR="000B1EDC" w:rsidP="00175174" w:rsidRDefault="000B1EDC" w14:paraId="7CA6615D" w14:textId="49B3037D">
            <w:pPr>
              <w:pStyle w:val="TableParagraph"/>
              <w:suppressAutoHyphens/>
              <w:jc w:val="left"/>
              <w:rPr>
                <w:sz w:val="18"/>
                <w:szCs w:val="18"/>
              </w:rPr>
            </w:pPr>
            <w:r w:rsidRPr="00175174">
              <w:rPr>
                <w:sz w:val="18"/>
                <w:szCs w:val="18"/>
              </w:rPr>
              <w:t xml:space="preserve">EZK - </w:t>
            </w:r>
            <w:proofErr w:type="spellStart"/>
            <w:r w:rsidRPr="00175174">
              <w:rPr>
                <w:sz w:val="18"/>
                <w:szCs w:val="18"/>
              </w:rPr>
              <w:t>vreemd</w:t>
            </w:r>
            <w:proofErr w:type="spellEnd"/>
            <w:r w:rsidRPr="00175174">
              <w:rPr>
                <w:sz w:val="18"/>
                <w:szCs w:val="18"/>
              </w:rPr>
              <w:t xml:space="preserve"> </w:t>
            </w:r>
            <w:proofErr w:type="spellStart"/>
            <w:r w:rsidRPr="00175174">
              <w:rPr>
                <w:sz w:val="18"/>
                <w:szCs w:val="18"/>
              </w:rPr>
              <w:t>vermogen</w:t>
            </w:r>
            <w:proofErr w:type="spellEnd"/>
          </w:p>
        </w:tc>
        <w:tc>
          <w:tcPr>
            <w:tcW w:w="1603" w:type="dxa"/>
          </w:tcPr>
          <w:p w:rsidRPr="00175174" w:rsidR="000B1EDC" w:rsidP="00175174" w:rsidRDefault="000B1EDC" w14:paraId="15F23934" w14:textId="46789AF6">
            <w:pPr>
              <w:pStyle w:val="TableParagraph"/>
              <w:suppressAutoHyphens/>
              <w:jc w:val="left"/>
              <w:rPr>
                <w:sz w:val="18"/>
                <w:szCs w:val="18"/>
              </w:rPr>
            </w:pPr>
            <w:r w:rsidRPr="00175174">
              <w:rPr>
                <w:sz w:val="18"/>
                <w:szCs w:val="18"/>
              </w:rPr>
              <w:t>40</w:t>
            </w:r>
          </w:p>
        </w:tc>
        <w:tc>
          <w:tcPr>
            <w:tcW w:w="1601" w:type="dxa"/>
          </w:tcPr>
          <w:p w:rsidRPr="00175174" w:rsidR="000B1EDC" w:rsidP="00175174" w:rsidRDefault="000B1EDC" w14:paraId="088942A8" w14:textId="77777777">
            <w:pPr>
              <w:pStyle w:val="TableParagraph"/>
              <w:suppressAutoHyphens/>
              <w:jc w:val="left"/>
              <w:rPr>
                <w:sz w:val="18"/>
                <w:szCs w:val="18"/>
              </w:rPr>
            </w:pPr>
            <w:r w:rsidRPr="00175174">
              <w:rPr>
                <w:sz w:val="18"/>
                <w:szCs w:val="18"/>
              </w:rPr>
              <w:t>-</w:t>
            </w:r>
          </w:p>
        </w:tc>
        <w:tc>
          <w:tcPr>
            <w:tcW w:w="1601" w:type="dxa"/>
          </w:tcPr>
          <w:p w:rsidRPr="00175174" w:rsidR="000B1EDC" w:rsidP="00175174" w:rsidRDefault="000B1EDC" w14:paraId="14CED471" w14:textId="77777777">
            <w:pPr>
              <w:pStyle w:val="TableParagraph"/>
              <w:suppressAutoHyphens/>
              <w:jc w:val="left"/>
              <w:rPr>
                <w:sz w:val="18"/>
                <w:szCs w:val="18"/>
              </w:rPr>
            </w:pPr>
            <w:r w:rsidRPr="00175174">
              <w:rPr>
                <w:sz w:val="18"/>
                <w:szCs w:val="18"/>
              </w:rPr>
              <w:t>40</w:t>
            </w:r>
          </w:p>
        </w:tc>
      </w:tr>
      <w:tr w:rsidRPr="00175174" w:rsidR="000B1EDC" w:rsidTr="00211CD0" w14:paraId="718EF23E" w14:textId="77777777">
        <w:trPr>
          <w:trHeight w:val="239"/>
        </w:trPr>
        <w:tc>
          <w:tcPr>
            <w:tcW w:w="2852" w:type="dxa"/>
          </w:tcPr>
          <w:p w:rsidRPr="00175174" w:rsidR="000B1EDC" w:rsidP="00175174" w:rsidRDefault="000B1EDC" w14:paraId="104695CE" w14:textId="67809B4B">
            <w:pPr>
              <w:pStyle w:val="TableParagraph"/>
              <w:suppressAutoHyphens/>
              <w:jc w:val="left"/>
              <w:rPr>
                <w:sz w:val="18"/>
                <w:szCs w:val="18"/>
                <w:lang w:val="nl-NL"/>
              </w:rPr>
            </w:pPr>
            <w:r w:rsidRPr="00175174">
              <w:rPr>
                <w:sz w:val="18"/>
                <w:szCs w:val="18"/>
                <w:lang w:val="nl-NL"/>
              </w:rPr>
              <w:t>Provincie</w:t>
            </w:r>
            <w:r w:rsidRPr="00175174">
              <w:rPr>
                <w:spacing w:val="-12"/>
                <w:sz w:val="18"/>
                <w:szCs w:val="18"/>
                <w:lang w:val="nl-NL"/>
              </w:rPr>
              <w:t xml:space="preserve"> </w:t>
            </w:r>
            <w:r w:rsidRPr="00175174">
              <w:rPr>
                <w:sz w:val="18"/>
                <w:szCs w:val="18"/>
                <w:lang w:val="nl-NL"/>
              </w:rPr>
              <w:t>Noord-Holland - vreemd vermogen</w:t>
            </w:r>
          </w:p>
        </w:tc>
        <w:tc>
          <w:tcPr>
            <w:tcW w:w="1603" w:type="dxa"/>
          </w:tcPr>
          <w:p w:rsidRPr="00175174" w:rsidR="000B1EDC" w:rsidP="00175174" w:rsidRDefault="000B1EDC" w14:paraId="7EEDAFB6" w14:textId="20C57288">
            <w:pPr>
              <w:pStyle w:val="TableParagraph"/>
              <w:suppressAutoHyphens/>
              <w:jc w:val="left"/>
              <w:rPr>
                <w:sz w:val="18"/>
                <w:szCs w:val="18"/>
              </w:rPr>
            </w:pPr>
            <w:r w:rsidRPr="00175174">
              <w:rPr>
                <w:sz w:val="18"/>
                <w:szCs w:val="18"/>
              </w:rPr>
              <w:t>40</w:t>
            </w:r>
          </w:p>
        </w:tc>
        <w:tc>
          <w:tcPr>
            <w:tcW w:w="1601" w:type="dxa"/>
          </w:tcPr>
          <w:p w:rsidRPr="00175174" w:rsidR="000B1EDC" w:rsidP="00175174" w:rsidRDefault="000B1EDC" w14:paraId="7F7ADBF0" w14:textId="77777777">
            <w:pPr>
              <w:pStyle w:val="TableParagraph"/>
              <w:suppressAutoHyphens/>
              <w:jc w:val="left"/>
              <w:rPr>
                <w:sz w:val="18"/>
                <w:szCs w:val="18"/>
              </w:rPr>
            </w:pPr>
            <w:r w:rsidRPr="00175174">
              <w:rPr>
                <w:sz w:val="18"/>
                <w:szCs w:val="18"/>
              </w:rPr>
              <w:t>-</w:t>
            </w:r>
          </w:p>
        </w:tc>
        <w:tc>
          <w:tcPr>
            <w:tcW w:w="1601" w:type="dxa"/>
          </w:tcPr>
          <w:p w:rsidRPr="00175174" w:rsidR="000B1EDC" w:rsidP="00175174" w:rsidRDefault="000B1EDC" w14:paraId="27548C16" w14:textId="77777777">
            <w:pPr>
              <w:pStyle w:val="TableParagraph"/>
              <w:suppressAutoHyphens/>
              <w:jc w:val="left"/>
              <w:rPr>
                <w:sz w:val="18"/>
                <w:szCs w:val="18"/>
              </w:rPr>
            </w:pPr>
            <w:r w:rsidRPr="00175174">
              <w:rPr>
                <w:sz w:val="18"/>
                <w:szCs w:val="18"/>
              </w:rPr>
              <w:t>40</w:t>
            </w:r>
          </w:p>
        </w:tc>
      </w:tr>
      <w:tr w:rsidRPr="00175174" w:rsidR="000B1EDC" w:rsidTr="00211CD0" w14:paraId="199033E3" w14:textId="77777777">
        <w:trPr>
          <w:trHeight w:val="479"/>
        </w:trPr>
        <w:tc>
          <w:tcPr>
            <w:tcW w:w="2852" w:type="dxa"/>
          </w:tcPr>
          <w:p w:rsidRPr="00175174" w:rsidR="000B1EDC" w:rsidP="00175174" w:rsidRDefault="000B1EDC" w14:paraId="13F034F4" w14:textId="77777777">
            <w:pPr>
              <w:pStyle w:val="TableParagraph"/>
              <w:suppressAutoHyphens/>
              <w:jc w:val="left"/>
              <w:rPr>
                <w:sz w:val="18"/>
                <w:szCs w:val="18"/>
              </w:rPr>
            </w:pPr>
            <w:proofErr w:type="spellStart"/>
            <w:r w:rsidRPr="00175174">
              <w:rPr>
                <w:sz w:val="18"/>
                <w:szCs w:val="18"/>
              </w:rPr>
              <w:t>Totale</w:t>
            </w:r>
            <w:proofErr w:type="spellEnd"/>
            <w:r w:rsidRPr="00175174">
              <w:rPr>
                <w:spacing w:val="-8"/>
                <w:sz w:val="18"/>
                <w:szCs w:val="18"/>
              </w:rPr>
              <w:t xml:space="preserve"> </w:t>
            </w:r>
            <w:proofErr w:type="spellStart"/>
            <w:r w:rsidRPr="00175174">
              <w:rPr>
                <w:sz w:val="18"/>
                <w:szCs w:val="18"/>
              </w:rPr>
              <w:t>realisatie</w:t>
            </w:r>
            <w:proofErr w:type="spellEnd"/>
            <w:r w:rsidRPr="00175174">
              <w:rPr>
                <w:spacing w:val="-7"/>
                <w:sz w:val="18"/>
                <w:szCs w:val="18"/>
              </w:rPr>
              <w:t xml:space="preserve"> </w:t>
            </w:r>
            <w:r w:rsidRPr="00175174">
              <w:rPr>
                <w:spacing w:val="-2"/>
                <w:sz w:val="18"/>
                <w:szCs w:val="18"/>
              </w:rPr>
              <w:t>PALLAS-</w:t>
            </w:r>
          </w:p>
          <w:p w:rsidRPr="00175174" w:rsidR="000B1EDC" w:rsidP="00175174" w:rsidRDefault="000B1EDC" w14:paraId="012C3502" w14:textId="77777777">
            <w:pPr>
              <w:pStyle w:val="TableParagraph"/>
              <w:suppressAutoHyphens/>
              <w:jc w:val="left"/>
              <w:rPr>
                <w:sz w:val="18"/>
                <w:szCs w:val="18"/>
              </w:rPr>
            </w:pPr>
            <w:r w:rsidRPr="00175174">
              <w:rPr>
                <w:sz w:val="18"/>
                <w:szCs w:val="18"/>
              </w:rPr>
              <w:t>nieuwbouwprogramma</w:t>
            </w:r>
          </w:p>
        </w:tc>
        <w:tc>
          <w:tcPr>
            <w:tcW w:w="1603" w:type="dxa"/>
          </w:tcPr>
          <w:p w:rsidRPr="00175174" w:rsidR="000B1EDC" w:rsidP="00175174" w:rsidRDefault="000B1EDC" w14:paraId="71F04101" w14:textId="77777777">
            <w:pPr>
              <w:pStyle w:val="TableParagraph"/>
              <w:suppressAutoHyphens/>
              <w:jc w:val="left"/>
              <w:rPr>
                <w:sz w:val="18"/>
                <w:szCs w:val="18"/>
              </w:rPr>
            </w:pPr>
          </w:p>
          <w:p w:rsidRPr="00175174" w:rsidR="000B1EDC" w:rsidP="00175174" w:rsidRDefault="000B1EDC" w14:paraId="76CF579F" w14:textId="28FAC9B6">
            <w:pPr>
              <w:pStyle w:val="TableParagraph"/>
              <w:suppressAutoHyphens/>
              <w:jc w:val="left"/>
              <w:rPr>
                <w:sz w:val="18"/>
                <w:szCs w:val="18"/>
              </w:rPr>
            </w:pPr>
            <w:r w:rsidRPr="00175174">
              <w:rPr>
                <w:sz w:val="18"/>
                <w:szCs w:val="18"/>
              </w:rPr>
              <w:t>753</w:t>
            </w:r>
          </w:p>
        </w:tc>
        <w:tc>
          <w:tcPr>
            <w:tcW w:w="1601" w:type="dxa"/>
          </w:tcPr>
          <w:p w:rsidRPr="00175174" w:rsidR="000B1EDC" w:rsidP="00175174" w:rsidRDefault="000B1EDC" w14:paraId="0B616291" w14:textId="77777777">
            <w:pPr>
              <w:pStyle w:val="TableParagraph"/>
              <w:suppressAutoHyphens/>
              <w:jc w:val="left"/>
              <w:rPr>
                <w:sz w:val="18"/>
                <w:szCs w:val="18"/>
              </w:rPr>
            </w:pPr>
          </w:p>
          <w:p w:rsidRPr="00175174" w:rsidR="000B1EDC" w:rsidP="00175174" w:rsidRDefault="000B1EDC" w14:paraId="320F10D8" w14:textId="76208996">
            <w:pPr>
              <w:pStyle w:val="TableParagraph"/>
              <w:suppressAutoHyphens/>
              <w:jc w:val="left"/>
              <w:rPr>
                <w:sz w:val="18"/>
                <w:szCs w:val="18"/>
              </w:rPr>
            </w:pPr>
            <w:r w:rsidRPr="00175174">
              <w:rPr>
                <w:sz w:val="18"/>
                <w:szCs w:val="18"/>
              </w:rPr>
              <w:t>232</w:t>
            </w:r>
          </w:p>
        </w:tc>
        <w:tc>
          <w:tcPr>
            <w:tcW w:w="1601" w:type="dxa"/>
          </w:tcPr>
          <w:p w:rsidRPr="00175174" w:rsidR="000B1EDC" w:rsidP="00175174" w:rsidRDefault="000B1EDC" w14:paraId="070602D8" w14:textId="77777777">
            <w:pPr>
              <w:pStyle w:val="TableParagraph"/>
              <w:suppressAutoHyphens/>
              <w:jc w:val="left"/>
              <w:rPr>
                <w:sz w:val="18"/>
                <w:szCs w:val="18"/>
              </w:rPr>
            </w:pPr>
          </w:p>
          <w:p w:rsidRPr="00175174" w:rsidR="000B1EDC" w:rsidP="00175174" w:rsidRDefault="000B1EDC" w14:paraId="0CA7B9D1" w14:textId="4AB84696">
            <w:pPr>
              <w:pStyle w:val="TableParagraph"/>
              <w:suppressAutoHyphens/>
              <w:jc w:val="left"/>
              <w:rPr>
                <w:sz w:val="18"/>
                <w:szCs w:val="18"/>
              </w:rPr>
            </w:pPr>
            <w:r w:rsidRPr="00175174">
              <w:rPr>
                <w:sz w:val="18"/>
                <w:szCs w:val="18"/>
              </w:rPr>
              <w:t>985</w:t>
            </w:r>
          </w:p>
        </w:tc>
      </w:tr>
    </w:tbl>
    <w:p w:rsidRPr="00175174" w:rsidR="00ED6DDD" w:rsidP="00175174" w:rsidRDefault="00ED6DDD" w14:paraId="7C856F38" w14:textId="77777777">
      <w:pPr>
        <w:suppressAutoHyphens/>
        <w:spacing w:after="0"/>
        <w:jc w:val="left"/>
      </w:pPr>
    </w:p>
    <w:p w:rsidRPr="00175174" w:rsidR="00CD43A0" w:rsidP="00175174" w:rsidRDefault="00CD43A0" w14:paraId="7F9A3918" w14:textId="579070BE">
      <w:pPr>
        <w:suppressAutoHyphens/>
        <w:jc w:val="left"/>
      </w:pPr>
      <w:r w:rsidRPr="00175174">
        <w:t xml:space="preserve">Zoals vermeld in de tweede basisrapportage bedroeg de totale verstrekte financiering </w:t>
      </w:r>
      <w:r w:rsidRPr="00175174" w:rsidR="00311D10">
        <w:t>tot en met</w:t>
      </w:r>
      <w:r w:rsidRPr="00175174">
        <w:t xml:space="preserve"> 8 juli 2025 € 753 mln. Hiervan was € 673 mln. afkomstig van VWS en € 80 mln. van </w:t>
      </w:r>
      <w:r w:rsidRPr="00175174" w:rsidR="00311D10">
        <w:t xml:space="preserve">het ministerie van </w:t>
      </w:r>
      <w:r w:rsidRPr="00175174">
        <w:t>EZK en de provincie Noord-Holland (ieder € 40 mln. in 2014). In de periode van 9 juli tot en met 31 december 2025 is de financiering met € 232 mln. toegenomen (volledig afkomstig van VWS), zodat de totale verstrekte financiering aan het PALLAS-nieuwbouwprogramma t</w:t>
      </w:r>
      <w:r w:rsidRPr="00175174" w:rsidR="00311D10">
        <w:t>ot en met</w:t>
      </w:r>
      <w:r w:rsidRPr="00175174">
        <w:t xml:space="preserve"> 31 december 2025 € 985 mln. bedraagt. Hiervan heeft € 718 mln. betrekking op vreemd vermogen (leningen) en € 267 mln. op eigen vermogen (aandelenkapitaal). De verstrekte financiering is met € 985 mln. in totaal € 15</w:t>
      </w:r>
      <w:r w:rsidRPr="00175174" w:rsidR="00540A77">
        <w:t>4</w:t>
      </w:r>
      <w:r w:rsidRPr="00175174">
        <w:t xml:space="preserve"> mln. hoger dan de daadwerkelijke uitgaven aan het PALLAS-nieuwbouwprogramma van € 83</w:t>
      </w:r>
      <w:r w:rsidRPr="00175174" w:rsidR="007F65AB">
        <w:t>1</w:t>
      </w:r>
      <w:r w:rsidRPr="00175174">
        <w:t xml:space="preserve"> mln. (zie tabel 6). Dit wordt veroorzaakt doordat sprake is van voorfinanciering van het programma (de financiering gaat vooraf aan de besteding door NRG PALLAS B.V.).</w:t>
      </w:r>
    </w:p>
    <w:p w:rsidRPr="00175174" w:rsidR="008C43E2" w:rsidP="00175174" w:rsidRDefault="008C43E2" w14:paraId="3B3DD773" w14:textId="2332336A">
      <w:pPr>
        <w:pStyle w:val="Plattetekst"/>
        <w:suppressAutoHyphens/>
        <w:spacing w:line="240" w:lineRule="exact"/>
        <w:jc w:val="left"/>
      </w:pPr>
      <w:r w:rsidRPr="00175174">
        <w:fldChar w:fldCharType="begin"/>
      </w:r>
      <w:r w:rsidRPr="00175174">
        <w:instrText xml:space="preserve"> REF _Ref206681597 \h </w:instrText>
      </w:r>
      <w:r w:rsidRPr="00175174" w:rsidR="00175174">
        <w:instrText xml:space="preserve"> \* MERGEFORMAT </w:instrText>
      </w:r>
      <w:r w:rsidRPr="00175174">
        <w:fldChar w:fldCharType="separate"/>
      </w:r>
      <w:r w:rsidRPr="00175174" w:rsidR="00175174">
        <w:t>Tabel 9</w:t>
      </w:r>
      <w:r w:rsidRPr="00175174">
        <w:fldChar w:fldCharType="end"/>
      </w:r>
      <w:r w:rsidRPr="00175174">
        <w:t xml:space="preserve"> geeft aan dat de resterende kapitaalbehoefte van het PALLAS-nieuwbouwprogramma per </w:t>
      </w:r>
      <w:r w:rsidRPr="00175174" w:rsidR="005E293E">
        <w:t>31 december</w:t>
      </w:r>
      <w:r w:rsidRPr="00175174">
        <w:t xml:space="preserve"> 2025 € 1.</w:t>
      </w:r>
      <w:r w:rsidRPr="00175174" w:rsidR="005E293E">
        <w:t>488</w:t>
      </w:r>
      <w:r w:rsidRPr="00175174">
        <w:t xml:space="preserve"> mln. bedraagt.</w:t>
      </w:r>
      <w:r w:rsidRPr="00175174">
        <w:rPr>
          <w:spacing w:val="-5"/>
        </w:rPr>
        <w:t xml:space="preserve"> </w:t>
      </w:r>
      <w:r w:rsidRPr="00175174">
        <w:t>Deze</w:t>
      </w:r>
      <w:r w:rsidRPr="00175174">
        <w:rPr>
          <w:spacing w:val="-4"/>
        </w:rPr>
        <w:t xml:space="preserve"> </w:t>
      </w:r>
      <w:r w:rsidRPr="00175174">
        <w:t>is</w:t>
      </w:r>
      <w:r w:rsidRPr="00175174">
        <w:rPr>
          <w:spacing w:val="-3"/>
        </w:rPr>
        <w:t xml:space="preserve"> </w:t>
      </w:r>
      <w:r w:rsidRPr="00175174">
        <w:t>bepaald</w:t>
      </w:r>
      <w:r w:rsidRPr="00175174">
        <w:rPr>
          <w:spacing w:val="-4"/>
        </w:rPr>
        <w:t xml:space="preserve"> </w:t>
      </w:r>
      <w:r w:rsidRPr="00175174">
        <w:t>door</w:t>
      </w:r>
      <w:r w:rsidRPr="00175174">
        <w:rPr>
          <w:spacing w:val="-4"/>
        </w:rPr>
        <w:t xml:space="preserve"> </w:t>
      </w:r>
      <w:r w:rsidRPr="00175174">
        <w:t>de</w:t>
      </w:r>
      <w:r w:rsidRPr="00175174">
        <w:rPr>
          <w:spacing w:val="-4"/>
        </w:rPr>
        <w:t xml:space="preserve"> </w:t>
      </w:r>
      <w:r w:rsidRPr="00175174" w:rsidR="0053519A">
        <w:t>verstrekte financiering</w:t>
      </w:r>
      <w:r w:rsidRPr="00175174">
        <w:rPr>
          <w:spacing w:val="-3"/>
        </w:rPr>
        <w:t xml:space="preserve"> </w:t>
      </w:r>
      <w:r w:rsidRPr="00175174">
        <w:t>t</w:t>
      </w:r>
      <w:r w:rsidRPr="00175174" w:rsidR="00311D10">
        <w:t>ot en met</w:t>
      </w:r>
      <w:r w:rsidRPr="00175174">
        <w:t xml:space="preserve"> </w:t>
      </w:r>
      <w:r w:rsidRPr="00175174" w:rsidR="005E293E">
        <w:t>31 december</w:t>
      </w:r>
      <w:r w:rsidRPr="00175174">
        <w:t xml:space="preserve"> 2025 in mindering te brengen op </w:t>
      </w:r>
      <w:r w:rsidRPr="00175174" w:rsidR="00E12DAD">
        <w:t>de totale financieringsbehoefte</w:t>
      </w:r>
      <w:r w:rsidRPr="00175174">
        <w:t xml:space="preserve"> van NRG PALLAS B.V.</w:t>
      </w:r>
      <w:r w:rsidRPr="00175174" w:rsidR="00E12DAD">
        <w:t xml:space="preserve"> voor het nieuwbouwprogramma</w:t>
      </w:r>
      <w:r w:rsidRPr="00175174" w:rsidR="00AA1F5B">
        <w:t>.</w:t>
      </w:r>
    </w:p>
    <w:p w:rsidRPr="00175174" w:rsidR="00706413" w:rsidP="00175174" w:rsidRDefault="00706413" w14:paraId="67605029" w14:textId="5C7A91B6">
      <w:pPr>
        <w:pStyle w:val="Bijschrift"/>
        <w:suppressAutoHyphens/>
      </w:pPr>
      <w:bookmarkStart w:name="_Ref206681597" w:id="38"/>
      <w:r w:rsidRPr="00175174">
        <w:t xml:space="preserve">Tabel </w:t>
      </w:r>
      <w:r w:rsidRPr="00175174" w:rsidR="00C61BE6">
        <w:t>9</w:t>
      </w:r>
      <w:bookmarkEnd w:id="38"/>
      <w:r w:rsidRPr="00175174">
        <w:t xml:space="preserve">. Resterende kapitaalbehoefte voor het PALLAS-nieuwbouwprogramma per </w:t>
      </w:r>
      <w:r w:rsidRPr="00175174" w:rsidR="005E293E">
        <w:t>31 december</w:t>
      </w:r>
      <w:r w:rsidRPr="00175174">
        <w:t xml:space="preserve"> 2025 </w:t>
      </w:r>
    </w:p>
    <w:tbl>
      <w:tblPr>
        <w:tblStyle w:val="TableNormal"/>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Look w:val="01E0" w:firstRow="1" w:lastRow="1" w:firstColumn="1" w:lastColumn="1" w:noHBand="0" w:noVBand="0"/>
      </w:tblPr>
      <w:tblGrid>
        <w:gridCol w:w="2547"/>
        <w:gridCol w:w="1704"/>
        <w:gridCol w:w="1594"/>
        <w:gridCol w:w="1812"/>
      </w:tblGrid>
      <w:tr w:rsidRPr="00175174" w:rsidR="00706413" w:rsidTr="00311D10" w14:paraId="50DF2E53" w14:textId="77777777">
        <w:trPr>
          <w:trHeight w:val="239"/>
          <w:tblHeader/>
        </w:trPr>
        <w:tc>
          <w:tcPr>
            <w:tcW w:w="2547" w:type="dxa"/>
            <w:shd w:val="clear" w:color="auto" w:fill="002F5B"/>
          </w:tcPr>
          <w:p w:rsidRPr="00175174" w:rsidR="00706413" w:rsidP="00175174" w:rsidRDefault="00706413" w14:paraId="68D679BB" w14:textId="77777777">
            <w:pPr>
              <w:pStyle w:val="TableParagraph"/>
              <w:suppressAutoHyphens/>
              <w:jc w:val="left"/>
              <w:rPr>
                <w:b/>
                <w:bCs/>
                <w:sz w:val="18"/>
                <w:szCs w:val="18"/>
              </w:rPr>
            </w:pPr>
            <w:r w:rsidRPr="00175174">
              <w:rPr>
                <w:b/>
                <w:bCs/>
                <w:sz w:val="18"/>
                <w:szCs w:val="18"/>
              </w:rPr>
              <w:t>[0]</w:t>
            </w:r>
          </w:p>
        </w:tc>
        <w:tc>
          <w:tcPr>
            <w:tcW w:w="1704" w:type="dxa"/>
            <w:shd w:val="clear" w:color="auto" w:fill="002F5B"/>
          </w:tcPr>
          <w:p w:rsidRPr="00175174" w:rsidR="00706413" w:rsidP="00175174" w:rsidRDefault="00706413" w14:paraId="0708FC43" w14:textId="77777777">
            <w:pPr>
              <w:pStyle w:val="TableParagraph"/>
              <w:suppressAutoHyphens/>
              <w:jc w:val="left"/>
              <w:rPr>
                <w:b/>
                <w:bCs/>
                <w:sz w:val="18"/>
                <w:szCs w:val="18"/>
              </w:rPr>
            </w:pPr>
            <w:r w:rsidRPr="00175174">
              <w:rPr>
                <w:b/>
                <w:bCs/>
                <w:sz w:val="18"/>
                <w:szCs w:val="18"/>
              </w:rPr>
              <w:t>[1]</w:t>
            </w:r>
          </w:p>
        </w:tc>
        <w:tc>
          <w:tcPr>
            <w:tcW w:w="1594" w:type="dxa"/>
            <w:shd w:val="clear" w:color="auto" w:fill="002F5B"/>
          </w:tcPr>
          <w:p w:rsidRPr="00175174" w:rsidR="00706413" w:rsidP="00175174" w:rsidRDefault="00706413" w14:paraId="7EC25D71" w14:textId="77777777">
            <w:pPr>
              <w:pStyle w:val="TableParagraph"/>
              <w:suppressAutoHyphens/>
              <w:jc w:val="left"/>
              <w:rPr>
                <w:b/>
                <w:bCs/>
                <w:sz w:val="18"/>
                <w:szCs w:val="18"/>
              </w:rPr>
            </w:pPr>
            <w:r w:rsidRPr="00175174">
              <w:rPr>
                <w:b/>
                <w:bCs/>
                <w:sz w:val="18"/>
                <w:szCs w:val="18"/>
              </w:rPr>
              <w:t>[2]</w:t>
            </w:r>
          </w:p>
        </w:tc>
        <w:tc>
          <w:tcPr>
            <w:tcW w:w="1812" w:type="dxa"/>
            <w:shd w:val="clear" w:color="auto" w:fill="002F5B"/>
          </w:tcPr>
          <w:p w:rsidRPr="00175174" w:rsidR="00706413" w:rsidP="00175174" w:rsidRDefault="00706413" w14:paraId="0187C6B8" w14:textId="77777777">
            <w:pPr>
              <w:pStyle w:val="TableParagraph"/>
              <w:suppressAutoHyphens/>
              <w:jc w:val="left"/>
              <w:rPr>
                <w:b/>
                <w:bCs/>
                <w:sz w:val="18"/>
                <w:szCs w:val="18"/>
              </w:rPr>
            </w:pPr>
            <w:r w:rsidRPr="00175174">
              <w:rPr>
                <w:b/>
                <w:bCs/>
                <w:sz w:val="18"/>
                <w:szCs w:val="18"/>
              </w:rPr>
              <w:t>[3]</w:t>
            </w:r>
            <w:r w:rsidRPr="00175174">
              <w:rPr>
                <w:b/>
                <w:bCs/>
                <w:spacing w:val="-3"/>
                <w:sz w:val="18"/>
                <w:szCs w:val="18"/>
              </w:rPr>
              <w:t xml:space="preserve"> </w:t>
            </w:r>
            <w:r w:rsidRPr="00175174">
              <w:rPr>
                <w:b/>
                <w:bCs/>
                <w:sz w:val="18"/>
                <w:szCs w:val="18"/>
              </w:rPr>
              <w:t>=</w:t>
            </w:r>
            <w:r w:rsidRPr="00175174">
              <w:rPr>
                <w:b/>
                <w:bCs/>
                <w:spacing w:val="-4"/>
                <w:sz w:val="18"/>
                <w:szCs w:val="18"/>
              </w:rPr>
              <w:t xml:space="preserve"> </w:t>
            </w:r>
            <w:r w:rsidRPr="00175174">
              <w:rPr>
                <w:b/>
                <w:bCs/>
                <w:sz w:val="18"/>
                <w:szCs w:val="18"/>
              </w:rPr>
              <w:t>[1]-</w:t>
            </w:r>
            <w:r w:rsidRPr="00175174">
              <w:rPr>
                <w:b/>
                <w:bCs/>
                <w:spacing w:val="-5"/>
                <w:sz w:val="18"/>
                <w:szCs w:val="18"/>
              </w:rPr>
              <w:t>[2]</w:t>
            </w:r>
          </w:p>
        </w:tc>
      </w:tr>
      <w:tr w:rsidRPr="00175174" w:rsidR="00706413" w:rsidTr="00311D10" w14:paraId="72606F5A" w14:textId="77777777">
        <w:trPr>
          <w:trHeight w:val="482"/>
          <w:tblHeader/>
        </w:trPr>
        <w:tc>
          <w:tcPr>
            <w:tcW w:w="2547" w:type="dxa"/>
            <w:shd w:val="clear" w:color="auto" w:fill="002F5B"/>
          </w:tcPr>
          <w:p w:rsidRPr="00175174" w:rsidR="00706413" w:rsidP="00175174" w:rsidRDefault="00706413" w14:paraId="4BE21F78" w14:textId="77777777">
            <w:pPr>
              <w:pStyle w:val="TableParagraph"/>
              <w:suppressAutoHyphens/>
              <w:jc w:val="left"/>
              <w:rPr>
                <w:b/>
                <w:bCs/>
                <w:sz w:val="18"/>
                <w:szCs w:val="18"/>
              </w:rPr>
            </w:pPr>
            <w:proofErr w:type="spellStart"/>
            <w:r w:rsidRPr="00175174">
              <w:rPr>
                <w:b/>
                <w:bCs/>
                <w:sz w:val="18"/>
                <w:szCs w:val="18"/>
              </w:rPr>
              <w:t>Onderdeel</w:t>
            </w:r>
            <w:proofErr w:type="spellEnd"/>
          </w:p>
        </w:tc>
        <w:tc>
          <w:tcPr>
            <w:tcW w:w="1704" w:type="dxa"/>
            <w:shd w:val="clear" w:color="auto" w:fill="002F5B"/>
          </w:tcPr>
          <w:p w:rsidRPr="00175174" w:rsidR="00706413" w:rsidP="00175174" w:rsidRDefault="00E12DAD" w14:paraId="3CDE0D32" w14:textId="731B487F">
            <w:pPr>
              <w:pStyle w:val="TableParagraph"/>
              <w:suppressAutoHyphens/>
              <w:jc w:val="left"/>
              <w:rPr>
                <w:b/>
                <w:bCs/>
                <w:sz w:val="18"/>
                <w:szCs w:val="18"/>
              </w:rPr>
            </w:pPr>
            <w:proofErr w:type="spellStart"/>
            <w:r w:rsidRPr="00175174">
              <w:rPr>
                <w:b/>
                <w:bCs/>
                <w:sz w:val="18"/>
                <w:szCs w:val="18"/>
              </w:rPr>
              <w:t>Totale</w:t>
            </w:r>
            <w:proofErr w:type="spellEnd"/>
            <w:r w:rsidRPr="00175174">
              <w:rPr>
                <w:b/>
                <w:bCs/>
                <w:sz w:val="18"/>
                <w:szCs w:val="18"/>
              </w:rPr>
              <w:t xml:space="preserve"> </w:t>
            </w:r>
            <w:proofErr w:type="spellStart"/>
            <w:r w:rsidRPr="00175174">
              <w:rPr>
                <w:b/>
                <w:bCs/>
                <w:sz w:val="18"/>
                <w:szCs w:val="18"/>
              </w:rPr>
              <w:t>financierings-behoefte</w:t>
            </w:r>
            <w:proofErr w:type="spellEnd"/>
          </w:p>
        </w:tc>
        <w:tc>
          <w:tcPr>
            <w:tcW w:w="1594" w:type="dxa"/>
            <w:shd w:val="clear" w:color="auto" w:fill="002F5B"/>
          </w:tcPr>
          <w:p w:rsidRPr="00175174" w:rsidR="00706413" w:rsidP="00175174" w:rsidRDefault="00706413" w14:paraId="2DACFF65" w14:textId="77777777">
            <w:pPr>
              <w:pStyle w:val="TableParagraph"/>
              <w:suppressAutoHyphens/>
              <w:jc w:val="left"/>
              <w:rPr>
                <w:b/>
                <w:bCs/>
                <w:sz w:val="18"/>
                <w:szCs w:val="18"/>
              </w:rPr>
            </w:pPr>
            <w:proofErr w:type="spellStart"/>
            <w:r w:rsidRPr="00175174">
              <w:rPr>
                <w:b/>
                <w:bCs/>
                <w:sz w:val="18"/>
                <w:szCs w:val="18"/>
              </w:rPr>
              <w:t>Realisatie</w:t>
            </w:r>
            <w:proofErr w:type="spellEnd"/>
            <w:r w:rsidRPr="00175174">
              <w:rPr>
                <w:b/>
                <w:bCs/>
                <w:sz w:val="18"/>
                <w:szCs w:val="18"/>
              </w:rPr>
              <w:t xml:space="preserve"> </w:t>
            </w:r>
            <w:proofErr w:type="spellStart"/>
            <w:r w:rsidRPr="00175174">
              <w:rPr>
                <w:b/>
                <w:bCs/>
                <w:sz w:val="18"/>
                <w:szCs w:val="18"/>
              </w:rPr>
              <w:t>bijdragen</w:t>
            </w:r>
            <w:proofErr w:type="spellEnd"/>
          </w:p>
        </w:tc>
        <w:tc>
          <w:tcPr>
            <w:tcW w:w="1812" w:type="dxa"/>
            <w:shd w:val="clear" w:color="auto" w:fill="002F5B"/>
          </w:tcPr>
          <w:p w:rsidRPr="00175174" w:rsidR="00706413" w:rsidP="00175174" w:rsidRDefault="00706413" w14:paraId="60CEA36D" w14:textId="77777777">
            <w:pPr>
              <w:pStyle w:val="TableParagraph"/>
              <w:suppressAutoHyphens/>
              <w:jc w:val="left"/>
              <w:rPr>
                <w:b/>
                <w:bCs/>
                <w:sz w:val="18"/>
                <w:szCs w:val="18"/>
              </w:rPr>
            </w:pPr>
            <w:proofErr w:type="spellStart"/>
            <w:r w:rsidRPr="00175174">
              <w:rPr>
                <w:b/>
                <w:bCs/>
                <w:sz w:val="18"/>
                <w:szCs w:val="18"/>
              </w:rPr>
              <w:t>Resterende</w:t>
            </w:r>
            <w:proofErr w:type="spellEnd"/>
            <w:r w:rsidRPr="00175174">
              <w:rPr>
                <w:b/>
                <w:bCs/>
                <w:sz w:val="18"/>
                <w:szCs w:val="18"/>
              </w:rPr>
              <w:t xml:space="preserve"> </w:t>
            </w:r>
            <w:proofErr w:type="spellStart"/>
            <w:r w:rsidRPr="00175174">
              <w:rPr>
                <w:b/>
                <w:bCs/>
                <w:sz w:val="18"/>
                <w:szCs w:val="18"/>
              </w:rPr>
              <w:t>kapitaalbehoefte</w:t>
            </w:r>
            <w:proofErr w:type="spellEnd"/>
          </w:p>
        </w:tc>
      </w:tr>
      <w:tr w:rsidRPr="00175174" w:rsidR="00706413" w:rsidTr="00311D10" w14:paraId="3510DEA7" w14:textId="77777777">
        <w:trPr>
          <w:trHeight w:val="239"/>
          <w:tblHeader/>
        </w:trPr>
        <w:tc>
          <w:tcPr>
            <w:tcW w:w="2547" w:type="dxa"/>
          </w:tcPr>
          <w:p w:rsidRPr="00175174" w:rsidR="00706413" w:rsidP="00175174" w:rsidRDefault="00706413" w14:paraId="789CB8F7" w14:textId="77777777">
            <w:pPr>
              <w:pStyle w:val="TableParagraph"/>
              <w:suppressAutoHyphens/>
              <w:jc w:val="left"/>
              <w:rPr>
                <w:sz w:val="18"/>
                <w:szCs w:val="18"/>
              </w:rPr>
            </w:pPr>
            <w:r w:rsidRPr="00175174">
              <w:rPr>
                <w:sz w:val="18"/>
                <w:szCs w:val="18"/>
              </w:rPr>
              <w:t>PALLAS-nieuwbouwprogramma</w:t>
            </w:r>
          </w:p>
        </w:tc>
        <w:tc>
          <w:tcPr>
            <w:tcW w:w="1704" w:type="dxa"/>
          </w:tcPr>
          <w:p w:rsidRPr="00175174" w:rsidR="00706413" w:rsidP="00175174" w:rsidRDefault="00706413" w14:paraId="2F70E3E0" w14:textId="77777777">
            <w:pPr>
              <w:pStyle w:val="TableParagraph"/>
              <w:suppressAutoHyphens/>
              <w:jc w:val="left"/>
              <w:rPr>
                <w:sz w:val="18"/>
                <w:szCs w:val="18"/>
              </w:rPr>
            </w:pPr>
            <w:r w:rsidRPr="00175174">
              <w:rPr>
                <w:sz w:val="18"/>
                <w:szCs w:val="18"/>
              </w:rPr>
              <w:t>2.473</w:t>
            </w:r>
          </w:p>
        </w:tc>
        <w:tc>
          <w:tcPr>
            <w:tcW w:w="1594" w:type="dxa"/>
          </w:tcPr>
          <w:p w:rsidRPr="00175174" w:rsidR="00706413" w:rsidP="00175174" w:rsidRDefault="005E293E" w14:paraId="18E2E3DD" w14:textId="653A61A6">
            <w:pPr>
              <w:pStyle w:val="TableParagraph"/>
              <w:suppressAutoHyphens/>
              <w:jc w:val="left"/>
              <w:rPr>
                <w:sz w:val="18"/>
                <w:szCs w:val="18"/>
              </w:rPr>
            </w:pPr>
            <w:r w:rsidRPr="00175174">
              <w:rPr>
                <w:sz w:val="18"/>
                <w:szCs w:val="18"/>
              </w:rPr>
              <w:t>985</w:t>
            </w:r>
          </w:p>
        </w:tc>
        <w:tc>
          <w:tcPr>
            <w:tcW w:w="1812" w:type="dxa"/>
          </w:tcPr>
          <w:p w:rsidRPr="00175174" w:rsidR="00706413" w:rsidP="00175174" w:rsidRDefault="00706413" w14:paraId="534C66CE" w14:textId="35FC6D0D">
            <w:pPr>
              <w:pStyle w:val="TableParagraph"/>
              <w:suppressAutoHyphens/>
              <w:jc w:val="left"/>
              <w:rPr>
                <w:sz w:val="18"/>
                <w:szCs w:val="18"/>
              </w:rPr>
            </w:pPr>
            <w:r w:rsidRPr="00175174">
              <w:rPr>
                <w:sz w:val="18"/>
                <w:szCs w:val="18"/>
              </w:rPr>
              <w:t>1.</w:t>
            </w:r>
            <w:r w:rsidRPr="00175174" w:rsidR="005E293E">
              <w:rPr>
                <w:sz w:val="18"/>
                <w:szCs w:val="18"/>
              </w:rPr>
              <w:t>488</w:t>
            </w:r>
          </w:p>
        </w:tc>
      </w:tr>
    </w:tbl>
    <w:p w:rsidRPr="00175174" w:rsidR="00955B20" w:rsidP="00175174" w:rsidRDefault="00955B20" w14:paraId="6BAD3E91" w14:textId="77777777">
      <w:pPr>
        <w:suppressAutoHyphens/>
        <w:autoSpaceDN/>
        <w:spacing w:after="0" w:line="240" w:lineRule="atLeast"/>
        <w:jc w:val="left"/>
        <w:textAlignment w:val="auto"/>
      </w:pPr>
    </w:p>
    <w:p w:rsidRPr="00175174" w:rsidR="00955B20" w:rsidP="00175174" w:rsidRDefault="00955B20" w14:paraId="30349732" w14:textId="4AF58297">
      <w:pPr>
        <w:suppressAutoHyphens/>
        <w:autoSpaceDN/>
        <w:spacing w:after="0" w:line="240" w:lineRule="atLeast"/>
        <w:jc w:val="left"/>
        <w:textAlignment w:val="auto"/>
      </w:pPr>
      <w:r w:rsidRPr="00175174">
        <w:t>In</w:t>
      </w:r>
      <w:r w:rsidRPr="00175174">
        <w:rPr>
          <w:spacing w:val="-2"/>
        </w:rPr>
        <w:t xml:space="preserve"> </w:t>
      </w:r>
      <w:r w:rsidRPr="00175174">
        <w:t>de</w:t>
      </w:r>
      <w:r w:rsidRPr="00175174">
        <w:rPr>
          <w:spacing w:val="-3"/>
        </w:rPr>
        <w:t xml:space="preserve"> </w:t>
      </w:r>
      <w:r w:rsidRPr="00175174">
        <w:t>begroting</w:t>
      </w:r>
      <w:r w:rsidRPr="00175174">
        <w:rPr>
          <w:spacing w:val="-3"/>
        </w:rPr>
        <w:t xml:space="preserve"> </w:t>
      </w:r>
      <w:r w:rsidRPr="00175174">
        <w:t>van</w:t>
      </w:r>
      <w:r w:rsidRPr="00175174">
        <w:rPr>
          <w:spacing w:val="-2"/>
        </w:rPr>
        <w:t xml:space="preserve"> </w:t>
      </w:r>
      <w:r w:rsidRPr="00175174">
        <w:t>VWS voor 2026</w:t>
      </w:r>
      <w:r w:rsidRPr="00175174">
        <w:rPr>
          <w:spacing w:val="-3"/>
        </w:rPr>
        <w:t xml:space="preserve"> (Kamerstuk 36 800 XVI, nr. 2) is op het artikelonderdeel 2.50 NRG PALLAS </w:t>
      </w:r>
      <w:r w:rsidRPr="00175174">
        <w:t xml:space="preserve">voor de jaren 2026 t/m 2030 </w:t>
      </w:r>
      <w:r w:rsidRPr="00175174" w:rsidR="00311D10">
        <w:t xml:space="preserve">een bedrag van </w:t>
      </w:r>
      <w:r w:rsidRPr="00175174">
        <w:rPr>
          <w:spacing w:val="-3"/>
        </w:rPr>
        <w:t xml:space="preserve">€ 1.453 mln. </w:t>
      </w:r>
      <w:r w:rsidRPr="00175174">
        <w:t xml:space="preserve">opgenomen voor de financiering van het PALLAS-nieuwbouwprogramma in de vorm van eigen vermogen en vreemd vermogen. </w:t>
      </w:r>
      <w:hyperlink w:history="1" w:anchor="_bookmark22">
        <w:r w:rsidRPr="00175174">
          <w:t xml:space="preserve">Tabel </w:t>
        </w:r>
      </w:hyperlink>
      <w:r w:rsidRPr="00175174">
        <w:t>9 bevat een specificatie van dit bedrag over de verschillende jaren (bedragen in € mln.).</w:t>
      </w:r>
    </w:p>
    <w:p w:rsidRPr="00175174" w:rsidR="008773D1" w:rsidP="00175174" w:rsidRDefault="008773D1" w14:paraId="1CE0F238" w14:textId="6111A0C0">
      <w:pPr>
        <w:suppressAutoHyphens/>
        <w:autoSpaceDN/>
        <w:spacing w:after="0" w:line="240" w:lineRule="atLeast"/>
        <w:jc w:val="left"/>
        <w:textAlignment w:val="auto"/>
      </w:pPr>
      <w:r w:rsidRPr="00175174">
        <w:br w:type="page"/>
      </w:r>
    </w:p>
    <w:p w:rsidRPr="00175174" w:rsidR="00D93176" w:rsidP="00175174" w:rsidRDefault="00D93176" w14:paraId="39B97D9F" w14:textId="244EF870">
      <w:pPr>
        <w:pStyle w:val="Bijschrift"/>
        <w:suppressAutoHyphens/>
      </w:pPr>
      <w:r w:rsidRPr="00175174">
        <w:t xml:space="preserve">Tabel </w:t>
      </w:r>
      <w:r w:rsidRPr="00175174" w:rsidR="00C61BE6">
        <w:t>10</w:t>
      </w:r>
      <w:r w:rsidRPr="00175174">
        <w:t xml:space="preserve">. Beschikbare financiering voor het PALLAS-nieuwbouwprogramma in </w:t>
      </w:r>
      <w:r w:rsidRPr="00175174" w:rsidR="00955B20">
        <w:t>ontwerp</w:t>
      </w:r>
      <w:r w:rsidRPr="00175174">
        <w:t xml:space="preserve">begroting </w:t>
      </w:r>
      <w:r w:rsidRPr="00175174" w:rsidR="00955B20">
        <w:t>VWS 2026</w:t>
      </w:r>
      <w:r w:rsidRPr="00175174">
        <w:t>.</w:t>
      </w:r>
    </w:p>
    <w:tbl>
      <w:tblPr>
        <w:tblStyle w:val="TableNormal"/>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Look w:val="01E0" w:firstRow="1" w:lastRow="1" w:firstColumn="1" w:lastColumn="1" w:noHBand="0" w:noVBand="0"/>
      </w:tblPr>
      <w:tblGrid>
        <w:gridCol w:w="2424"/>
        <w:gridCol w:w="790"/>
        <w:gridCol w:w="790"/>
        <w:gridCol w:w="790"/>
        <w:gridCol w:w="790"/>
        <w:gridCol w:w="790"/>
        <w:gridCol w:w="1276"/>
      </w:tblGrid>
      <w:tr w:rsidRPr="00175174" w:rsidR="009A68CD" w:rsidTr="00211CD0" w14:paraId="3018B883" w14:textId="77777777">
        <w:trPr>
          <w:trHeight w:val="239"/>
        </w:trPr>
        <w:tc>
          <w:tcPr>
            <w:tcW w:w="2424" w:type="dxa"/>
            <w:shd w:val="clear" w:color="auto" w:fill="002F5B"/>
          </w:tcPr>
          <w:p w:rsidRPr="00175174" w:rsidR="009A68CD" w:rsidP="00175174" w:rsidRDefault="009A68CD" w14:paraId="18D910B1" w14:textId="77777777">
            <w:pPr>
              <w:pStyle w:val="TableParagraph"/>
              <w:suppressAutoHyphens/>
              <w:jc w:val="left"/>
              <w:rPr>
                <w:b/>
                <w:bCs/>
                <w:sz w:val="18"/>
                <w:szCs w:val="18"/>
                <w:lang w:val="nl-NL"/>
              </w:rPr>
            </w:pPr>
          </w:p>
        </w:tc>
        <w:tc>
          <w:tcPr>
            <w:tcW w:w="790" w:type="dxa"/>
            <w:shd w:val="clear" w:color="auto" w:fill="002F5B"/>
          </w:tcPr>
          <w:p w:rsidRPr="00175174" w:rsidR="009A68CD" w:rsidP="00175174" w:rsidRDefault="009A68CD" w14:paraId="7E79E4D3" w14:textId="77777777">
            <w:pPr>
              <w:pStyle w:val="TableParagraph"/>
              <w:suppressAutoHyphens/>
              <w:jc w:val="left"/>
              <w:rPr>
                <w:b/>
                <w:bCs/>
                <w:sz w:val="18"/>
                <w:szCs w:val="18"/>
              </w:rPr>
            </w:pPr>
            <w:r w:rsidRPr="00175174">
              <w:rPr>
                <w:b/>
                <w:bCs/>
                <w:sz w:val="18"/>
                <w:szCs w:val="18"/>
              </w:rPr>
              <w:t>2026</w:t>
            </w:r>
          </w:p>
        </w:tc>
        <w:tc>
          <w:tcPr>
            <w:tcW w:w="790" w:type="dxa"/>
            <w:shd w:val="clear" w:color="auto" w:fill="002F5B"/>
          </w:tcPr>
          <w:p w:rsidRPr="00175174" w:rsidR="009A68CD" w:rsidP="00175174" w:rsidRDefault="009A68CD" w14:paraId="254C61A0" w14:textId="77777777">
            <w:pPr>
              <w:pStyle w:val="TableParagraph"/>
              <w:suppressAutoHyphens/>
              <w:jc w:val="left"/>
              <w:rPr>
                <w:b/>
                <w:bCs/>
                <w:sz w:val="18"/>
                <w:szCs w:val="18"/>
              </w:rPr>
            </w:pPr>
            <w:r w:rsidRPr="00175174">
              <w:rPr>
                <w:b/>
                <w:bCs/>
                <w:sz w:val="18"/>
                <w:szCs w:val="18"/>
              </w:rPr>
              <w:t>2027</w:t>
            </w:r>
          </w:p>
        </w:tc>
        <w:tc>
          <w:tcPr>
            <w:tcW w:w="790" w:type="dxa"/>
            <w:shd w:val="clear" w:color="auto" w:fill="002F5B"/>
          </w:tcPr>
          <w:p w:rsidRPr="00175174" w:rsidR="009A68CD" w:rsidP="00175174" w:rsidRDefault="009A68CD" w14:paraId="7E49EB0C" w14:textId="77777777">
            <w:pPr>
              <w:pStyle w:val="TableParagraph"/>
              <w:suppressAutoHyphens/>
              <w:jc w:val="left"/>
              <w:rPr>
                <w:b/>
                <w:bCs/>
                <w:sz w:val="18"/>
                <w:szCs w:val="18"/>
              </w:rPr>
            </w:pPr>
            <w:r w:rsidRPr="00175174">
              <w:rPr>
                <w:b/>
                <w:bCs/>
                <w:sz w:val="18"/>
                <w:szCs w:val="18"/>
              </w:rPr>
              <w:t>2028</w:t>
            </w:r>
          </w:p>
        </w:tc>
        <w:tc>
          <w:tcPr>
            <w:tcW w:w="790" w:type="dxa"/>
            <w:shd w:val="clear" w:color="auto" w:fill="002F5B"/>
          </w:tcPr>
          <w:p w:rsidRPr="00175174" w:rsidR="009A68CD" w:rsidP="00175174" w:rsidRDefault="009A68CD" w14:paraId="74CB26D7" w14:textId="77777777">
            <w:pPr>
              <w:pStyle w:val="TableParagraph"/>
              <w:suppressAutoHyphens/>
              <w:jc w:val="left"/>
              <w:rPr>
                <w:b/>
                <w:bCs/>
                <w:sz w:val="18"/>
                <w:szCs w:val="18"/>
              </w:rPr>
            </w:pPr>
            <w:r w:rsidRPr="00175174">
              <w:rPr>
                <w:b/>
                <w:bCs/>
                <w:sz w:val="18"/>
                <w:szCs w:val="18"/>
              </w:rPr>
              <w:t>2029</w:t>
            </w:r>
          </w:p>
        </w:tc>
        <w:tc>
          <w:tcPr>
            <w:tcW w:w="790" w:type="dxa"/>
            <w:shd w:val="clear" w:color="auto" w:fill="002F5B"/>
          </w:tcPr>
          <w:p w:rsidRPr="00175174" w:rsidR="009A68CD" w:rsidP="00175174" w:rsidRDefault="009A68CD" w14:paraId="309DED22" w14:textId="77777777">
            <w:pPr>
              <w:pStyle w:val="TableParagraph"/>
              <w:suppressAutoHyphens/>
              <w:jc w:val="left"/>
              <w:rPr>
                <w:b/>
                <w:bCs/>
                <w:sz w:val="18"/>
                <w:szCs w:val="18"/>
              </w:rPr>
            </w:pPr>
            <w:r w:rsidRPr="00175174">
              <w:rPr>
                <w:b/>
                <w:bCs/>
                <w:sz w:val="18"/>
                <w:szCs w:val="18"/>
              </w:rPr>
              <w:t>2030</w:t>
            </w:r>
          </w:p>
        </w:tc>
        <w:tc>
          <w:tcPr>
            <w:tcW w:w="1276" w:type="dxa"/>
            <w:shd w:val="clear" w:color="auto" w:fill="002F5B"/>
          </w:tcPr>
          <w:p w:rsidRPr="00175174" w:rsidR="009A68CD" w:rsidP="00175174" w:rsidRDefault="009A68CD" w14:paraId="359F01E7" w14:textId="77777777">
            <w:pPr>
              <w:pStyle w:val="TableParagraph"/>
              <w:suppressAutoHyphens/>
              <w:jc w:val="left"/>
              <w:rPr>
                <w:b/>
                <w:bCs/>
                <w:sz w:val="18"/>
                <w:szCs w:val="18"/>
              </w:rPr>
            </w:pPr>
            <w:proofErr w:type="spellStart"/>
            <w:r w:rsidRPr="00175174">
              <w:rPr>
                <w:b/>
                <w:bCs/>
                <w:sz w:val="18"/>
                <w:szCs w:val="18"/>
              </w:rPr>
              <w:t>Totaal</w:t>
            </w:r>
            <w:proofErr w:type="spellEnd"/>
          </w:p>
        </w:tc>
      </w:tr>
      <w:tr w:rsidRPr="00175174" w:rsidR="009A68CD" w:rsidTr="00211CD0" w14:paraId="01B7482D" w14:textId="77777777">
        <w:trPr>
          <w:trHeight w:val="479"/>
        </w:trPr>
        <w:tc>
          <w:tcPr>
            <w:tcW w:w="2424" w:type="dxa"/>
          </w:tcPr>
          <w:p w:rsidRPr="00175174" w:rsidR="009A68CD" w:rsidP="00175174" w:rsidRDefault="009A68CD" w14:paraId="3F6B38E8" w14:textId="77777777">
            <w:pPr>
              <w:pStyle w:val="TableParagraph"/>
              <w:suppressAutoHyphens/>
              <w:jc w:val="left"/>
              <w:rPr>
                <w:sz w:val="18"/>
                <w:szCs w:val="18"/>
                <w:lang w:val="nl-NL"/>
              </w:rPr>
            </w:pPr>
            <w:r w:rsidRPr="00175174">
              <w:rPr>
                <w:sz w:val="18"/>
                <w:szCs w:val="18"/>
                <w:lang w:val="nl-NL"/>
              </w:rPr>
              <w:t>Vermogensverschaffing</w:t>
            </w:r>
            <w:r w:rsidRPr="00175174">
              <w:rPr>
                <w:spacing w:val="20"/>
                <w:sz w:val="18"/>
                <w:szCs w:val="18"/>
                <w:lang w:val="nl-NL"/>
              </w:rPr>
              <w:t xml:space="preserve"> </w:t>
            </w:r>
            <w:r w:rsidRPr="00175174">
              <w:rPr>
                <w:spacing w:val="-5"/>
                <w:sz w:val="18"/>
                <w:szCs w:val="18"/>
                <w:lang w:val="nl-NL"/>
              </w:rPr>
              <w:t xml:space="preserve">in </w:t>
            </w:r>
            <w:r w:rsidRPr="00175174">
              <w:rPr>
                <w:sz w:val="18"/>
                <w:szCs w:val="18"/>
                <w:lang w:val="nl-NL"/>
              </w:rPr>
              <w:t>Rijksbegroting (eigen vermogen)</w:t>
            </w:r>
          </w:p>
        </w:tc>
        <w:tc>
          <w:tcPr>
            <w:tcW w:w="790" w:type="dxa"/>
          </w:tcPr>
          <w:p w:rsidRPr="00175174" w:rsidR="009A68CD" w:rsidP="00175174" w:rsidRDefault="009A68CD" w14:paraId="4564D6F2" w14:textId="49D9716C">
            <w:pPr>
              <w:pStyle w:val="TableParagraph"/>
              <w:suppressAutoHyphens/>
              <w:jc w:val="left"/>
              <w:rPr>
                <w:sz w:val="18"/>
                <w:szCs w:val="18"/>
              </w:rPr>
            </w:pPr>
            <w:r w:rsidRPr="00175174">
              <w:rPr>
                <w:sz w:val="18"/>
                <w:szCs w:val="18"/>
              </w:rPr>
              <w:t>149</w:t>
            </w:r>
          </w:p>
        </w:tc>
        <w:tc>
          <w:tcPr>
            <w:tcW w:w="790" w:type="dxa"/>
          </w:tcPr>
          <w:p w:rsidRPr="00175174" w:rsidR="009A68CD" w:rsidP="00175174" w:rsidRDefault="009A68CD" w14:paraId="4896E4F8" w14:textId="1885B827">
            <w:pPr>
              <w:pStyle w:val="TableParagraph"/>
              <w:suppressAutoHyphens/>
              <w:jc w:val="left"/>
              <w:rPr>
                <w:sz w:val="18"/>
                <w:szCs w:val="18"/>
              </w:rPr>
            </w:pPr>
            <w:r w:rsidRPr="00175174">
              <w:rPr>
                <w:sz w:val="18"/>
                <w:szCs w:val="18"/>
              </w:rPr>
              <w:t>339</w:t>
            </w:r>
          </w:p>
        </w:tc>
        <w:tc>
          <w:tcPr>
            <w:tcW w:w="790" w:type="dxa"/>
          </w:tcPr>
          <w:p w:rsidRPr="00175174" w:rsidR="009A68CD" w:rsidP="00175174" w:rsidRDefault="009A68CD" w14:paraId="5FDADCE0" w14:textId="75564BB8">
            <w:pPr>
              <w:pStyle w:val="TableParagraph"/>
              <w:suppressAutoHyphens/>
              <w:jc w:val="left"/>
              <w:rPr>
                <w:sz w:val="18"/>
                <w:szCs w:val="18"/>
              </w:rPr>
            </w:pPr>
            <w:r w:rsidRPr="00175174">
              <w:rPr>
                <w:sz w:val="18"/>
                <w:szCs w:val="18"/>
              </w:rPr>
              <w:t>229</w:t>
            </w:r>
          </w:p>
        </w:tc>
        <w:tc>
          <w:tcPr>
            <w:tcW w:w="790" w:type="dxa"/>
          </w:tcPr>
          <w:p w:rsidRPr="00175174" w:rsidR="009A68CD" w:rsidP="00175174" w:rsidRDefault="009A68CD" w14:paraId="6A5874F5" w14:textId="499889DD">
            <w:pPr>
              <w:pStyle w:val="TableParagraph"/>
              <w:suppressAutoHyphens/>
              <w:jc w:val="left"/>
              <w:rPr>
                <w:sz w:val="18"/>
                <w:szCs w:val="18"/>
              </w:rPr>
            </w:pPr>
            <w:r w:rsidRPr="00175174">
              <w:rPr>
                <w:sz w:val="18"/>
                <w:szCs w:val="18"/>
              </w:rPr>
              <w:t>248</w:t>
            </w:r>
          </w:p>
        </w:tc>
        <w:tc>
          <w:tcPr>
            <w:tcW w:w="790" w:type="dxa"/>
          </w:tcPr>
          <w:p w:rsidRPr="00175174" w:rsidR="009A68CD" w:rsidP="00175174" w:rsidRDefault="009A68CD" w14:paraId="5E8BD74F" w14:textId="690A76FA">
            <w:pPr>
              <w:pStyle w:val="TableParagraph"/>
              <w:suppressAutoHyphens/>
              <w:jc w:val="left"/>
              <w:rPr>
                <w:sz w:val="18"/>
                <w:szCs w:val="18"/>
              </w:rPr>
            </w:pPr>
            <w:r w:rsidRPr="00175174">
              <w:rPr>
                <w:sz w:val="18"/>
                <w:szCs w:val="18"/>
              </w:rPr>
              <w:t>191</w:t>
            </w:r>
          </w:p>
        </w:tc>
        <w:tc>
          <w:tcPr>
            <w:tcW w:w="1276" w:type="dxa"/>
          </w:tcPr>
          <w:p w:rsidRPr="00175174" w:rsidR="009A68CD" w:rsidP="00175174" w:rsidRDefault="009A68CD" w14:paraId="35CFD8A7" w14:textId="17FB6C52">
            <w:pPr>
              <w:pStyle w:val="TableParagraph"/>
              <w:suppressAutoHyphens/>
              <w:jc w:val="left"/>
              <w:rPr>
                <w:sz w:val="18"/>
                <w:szCs w:val="18"/>
              </w:rPr>
            </w:pPr>
            <w:r w:rsidRPr="00175174">
              <w:rPr>
                <w:sz w:val="18"/>
                <w:szCs w:val="18"/>
              </w:rPr>
              <w:t xml:space="preserve">1.156 </w:t>
            </w:r>
            <w:r w:rsidRPr="00175174" w:rsidR="00211CD0">
              <w:rPr>
                <w:sz w:val="18"/>
                <w:szCs w:val="18"/>
              </w:rPr>
              <w:br/>
            </w:r>
            <w:r w:rsidRPr="00175174">
              <w:rPr>
                <w:sz w:val="18"/>
                <w:szCs w:val="18"/>
              </w:rPr>
              <w:t>(80%)</w:t>
            </w:r>
          </w:p>
        </w:tc>
      </w:tr>
      <w:tr w:rsidRPr="00175174" w:rsidR="009A68CD" w:rsidTr="00211CD0" w14:paraId="12FE0BEF" w14:textId="77777777">
        <w:trPr>
          <w:trHeight w:val="479"/>
        </w:trPr>
        <w:tc>
          <w:tcPr>
            <w:tcW w:w="2424" w:type="dxa"/>
          </w:tcPr>
          <w:p w:rsidRPr="00175174" w:rsidR="009A68CD" w:rsidP="00175174" w:rsidRDefault="009A68CD" w14:paraId="6F58A117" w14:textId="77777777">
            <w:pPr>
              <w:pStyle w:val="TableParagraph"/>
              <w:suppressAutoHyphens/>
              <w:jc w:val="left"/>
              <w:rPr>
                <w:sz w:val="18"/>
                <w:szCs w:val="18"/>
                <w:lang w:val="nl-NL"/>
              </w:rPr>
            </w:pPr>
            <w:r w:rsidRPr="00175174">
              <w:rPr>
                <w:sz w:val="18"/>
                <w:szCs w:val="18"/>
                <w:lang w:val="nl-NL"/>
              </w:rPr>
              <w:t>Leningen in Rijksbegroting (vreemd vermogen)</w:t>
            </w:r>
          </w:p>
        </w:tc>
        <w:tc>
          <w:tcPr>
            <w:tcW w:w="790" w:type="dxa"/>
          </w:tcPr>
          <w:p w:rsidRPr="00175174" w:rsidR="009A68CD" w:rsidP="00175174" w:rsidRDefault="009A68CD" w14:paraId="581150F0" w14:textId="074DB0DC">
            <w:pPr>
              <w:pStyle w:val="TableParagraph"/>
              <w:suppressAutoHyphens/>
              <w:jc w:val="left"/>
              <w:rPr>
                <w:sz w:val="18"/>
                <w:szCs w:val="18"/>
              </w:rPr>
            </w:pPr>
            <w:r w:rsidRPr="00175174">
              <w:rPr>
                <w:sz w:val="18"/>
                <w:szCs w:val="18"/>
              </w:rPr>
              <w:t>96</w:t>
            </w:r>
          </w:p>
        </w:tc>
        <w:tc>
          <w:tcPr>
            <w:tcW w:w="790" w:type="dxa"/>
          </w:tcPr>
          <w:p w:rsidRPr="00175174" w:rsidR="009A68CD" w:rsidP="00175174" w:rsidRDefault="009A68CD" w14:paraId="2B5AF0B0" w14:textId="2B2C50E6">
            <w:pPr>
              <w:pStyle w:val="TableParagraph"/>
              <w:suppressAutoHyphens/>
              <w:jc w:val="left"/>
              <w:rPr>
                <w:sz w:val="18"/>
                <w:szCs w:val="18"/>
              </w:rPr>
            </w:pPr>
            <w:r w:rsidRPr="00175174">
              <w:rPr>
                <w:sz w:val="18"/>
                <w:szCs w:val="18"/>
              </w:rPr>
              <w:t>82</w:t>
            </w:r>
          </w:p>
        </w:tc>
        <w:tc>
          <w:tcPr>
            <w:tcW w:w="790" w:type="dxa"/>
          </w:tcPr>
          <w:p w:rsidRPr="00175174" w:rsidR="009A68CD" w:rsidP="00175174" w:rsidRDefault="009A68CD" w14:paraId="5AD0602F" w14:textId="4A841B86">
            <w:pPr>
              <w:pStyle w:val="TableParagraph"/>
              <w:suppressAutoHyphens/>
              <w:jc w:val="left"/>
              <w:rPr>
                <w:sz w:val="18"/>
                <w:szCs w:val="18"/>
              </w:rPr>
            </w:pPr>
            <w:r w:rsidRPr="00175174">
              <w:rPr>
                <w:sz w:val="18"/>
                <w:szCs w:val="18"/>
              </w:rPr>
              <w:t>56</w:t>
            </w:r>
          </w:p>
        </w:tc>
        <w:tc>
          <w:tcPr>
            <w:tcW w:w="790" w:type="dxa"/>
          </w:tcPr>
          <w:p w:rsidRPr="00175174" w:rsidR="009A68CD" w:rsidP="00175174" w:rsidRDefault="009A68CD" w14:paraId="0706D986" w14:textId="081EE87A">
            <w:pPr>
              <w:pStyle w:val="TableParagraph"/>
              <w:suppressAutoHyphens/>
              <w:jc w:val="left"/>
              <w:rPr>
                <w:sz w:val="18"/>
                <w:szCs w:val="18"/>
              </w:rPr>
            </w:pPr>
            <w:r w:rsidRPr="00175174">
              <w:rPr>
                <w:sz w:val="18"/>
                <w:szCs w:val="18"/>
              </w:rPr>
              <w:t>42</w:t>
            </w:r>
          </w:p>
        </w:tc>
        <w:tc>
          <w:tcPr>
            <w:tcW w:w="790" w:type="dxa"/>
          </w:tcPr>
          <w:p w:rsidRPr="00175174" w:rsidR="009A68CD" w:rsidP="00175174" w:rsidRDefault="009A68CD" w14:paraId="2CD3931E" w14:textId="55B11802">
            <w:pPr>
              <w:pStyle w:val="TableParagraph"/>
              <w:suppressAutoHyphens/>
              <w:jc w:val="left"/>
              <w:rPr>
                <w:sz w:val="18"/>
                <w:szCs w:val="18"/>
              </w:rPr>
            </w:pPr>
            <w:r w:rsidRPr="00175174">
              <w:rPr>
                <w:sz w:val="18"/>
                <w:szCs w:val="18"/>
              </w:rPr>
              <w:t>21</w:t>
            </w:r>
          </w:p>
        </w:tc>
        <w:tc>
          <w:tcPr>
            <w:tcW w:w="1276" w:type="dxa"/>
          </w:tcPr>
          <w:p w:rsidRPr="00175174" w:rsidR="009A68CD" w:rsidP="00175174" w:rsidRDefault="009A68CD" w14:paraId="4BBFAA88" w14:textId="2377434F">
            <w:pPr>
              <w:pStyle w:val="TableParagraph"/>
              <w:suppressAutoHyphens/>
              <w:jc w:val="left"/>
              <w:rPr>
                <w:sz w:val="18"/>
                <w:szCs w:val="18"/>
              </w:rPr>
            </w:pPr>
            <w:r w:rsidRPr="00175174">
              <w:rPr>
                <w:sz w:val="18"/>
                <w:szCs w:val="18"/>
              </w:rPr>
              <w:t xml:space="preserve">297 </w:t>
            </w:r>
            <w:r w:rsidRPr="00175174" w:rsidR="00211CD0">
              <w:rPr>
                <w:sz w:val="18"/>
                <w:szCs w:val="18"/>
              </w:rPr>
              <w:br/>
            </w:r>
            <w:r w:rsidRPr="00175174">
              <w:rPr>
                <w:sz w:val="18"/>
                <w:szCs w:val="18"/>
              </w:rPr>
              <w:t>(20%)</w:t>
            </w:r>
          </w:p>
        </w:tc>
      </w:tr>
      <w:tr w:rsidRPr="00175174" w:rsidR="009A68CD" w:rsidTr="00211CD0" w14:paraId="0EBDF1B2" w14:textId="77777777">
        <w:trPr>
          <w:trHeight w:val="479"/>
        </w:trPr>
        <w:tc>
          <w:tcPr>
            <w:tcW w:w="2424" w:type="dxa"/>
          </w:tcPr>
          <w:p w:rsidRPr="00175174" w:rsidR="009A68CD" w:rsidP="00175174" w:rsidRDefault="009A68CD" w14:paraId="371C9236" w14:textId="77777777">
            <w:pPr>
              <w:pStyle w:val="TableParagraph"/>
              <w:suppressAutoHyphens/>
              <w:jc w:val="left"/>
              <w:rPr>
                <w:sz w:val="18"/>
                <w:szCs w:val="18"/>
              </w:rPr>
            </w:pPr>
            <w:proofErr w:type="spellStart"/>
            <w:r w:rsidRPr="00175174">
              <w:rPr>
                <w:sz w:val="18"/>
                <w:szCs w:val="18"/>
              </w:rPr>
              <w:t>Totaal</w:t>
            </w:r>
            <w:proofErr w:type="spellEnd"/>
          </w:p>
        </w:tc>
        <w:tc>
          <w:tcPr>
            <w:tcW w:w="790" w:type="dxa"/>
          </w:tcPr>
          <w:p w:rsidRPr="00175174" w:rsidR="009A68CD" w:rsidP="00175174" w:rsidRDefault="009A68CD" w14:paraId="5856CD92" w14:textId="48880885">
            <w:pPr>
              <w:pStyle w:val="TableParagraph"/>
              <w:suppressAutoHyphens/>
              <w:jc w:val="left"/>
              <w:rPr>
                <w:sz w:val="18"/>
                <w:szCs w:val="18"/>
              </w:rPr>
            </w:pPr>
            <w:r w:rsidRPr="00175174">
              <w:rPr>
                <w:sz w:val="18"/>
                <w:szCs w:val="18"/>
              </w:rPr>
              <w:t>245</w:t>
            </w:r>
          </w:p>
        </w:tc>
        <w:tc>
          <w:tcPr>
            <w:tcW w:w="790" w:type="dxa"/>
          </w:tcPr>
          <w:p w:rsidRPr="00175174" w:rsidR="009A68CD" w:rsidP="00175174" w:rsidRDefault="009A68CD" w14:paraId="15194C75" w14:textId="2B64CB96">
            <w:pPr>
              <w:pStyle w:val="TableParagraph"/>
              <w:suppressAutoHyphens/>
              <w:jc w:val="left"/>
              <w:rPr>
                <w:sz w:val="18"/>
                <w:szCs w:val="18"/>
              </w:rPr>
            </w:pPr>
            <w:r w:rsidRPr="00175174">
              <w:rPr>
                <w:sz w:val="18"/>
                <w:szCs w:val="18"/>
              </w:rPr>
              <w:t>421</w:t>
            </w:r>
          </w:p>
        </w:tc>
        <w:tc>
          <w:tcPr>
            <w:tcW w:w="790" w:type="dxa"/>
          </w:tcPr>
          <w:p w:rsidRPr="00175174" w:rsidR="009A68CD" w:rsidP="00175174" w:rsidRDefault="009A68CD" w14:paraId="0696E5FF" w14:textId="23335A8A">
            <w:pPr>
              <w:pStyle w:val="TableParagraph"/>
              <w:suppressAutoHyphens/>
              <w:jc w:val="left"/>
              <w:rPr>
                <w:sz w:val="18"/>
                <w:szCs w:val="18"/>
              </w:rPr>
            </w:pPr>
            <w:r w:rsidRPr="00175174">
              <w:rPr>
                <w:sz w:val="18"/>
                <w:szCs w:val="18"/>
              </w:rPr>
              <w:t>285</w:t>
            </w:r>
          </w:p>
        </w:tc>
        <w:tc>
          <w:tcPr>
            <w:tcW w:w="790" w:type="dxa"/>
          </w:tcPr>
          <w:p w:rsidRPr="00175174" w:rsidR="009A68CD" w:rsidP="00175174" w:rsidRDefault="009A68CD" w14:paraId="660211AB" w14:textId="21846A45">
            <w:pPr>
              <w:pStyle w:val="TableParagraph"/>
              <w:suppressAutoHyphens/>
              <w:jc w:val="left"/>
              <w:rPr>
                <w:sz w:val="18"/>
                <w:szCs w:val="18"/>
              </w:rPr>
            </w:pPr>
            <w:r w:rsidRPr="00175174">
              <w:rPr>
                <w:sz w:val="18"/>
                <w:szCs w:val="18"/>
              </w:rPr>
              <w:t>290</w:t>
            </w:r>
          </w:p>
        </w:tc>
        <w:tc>
          <w:tcPr>
            <w:tcW w:w="790" w:type="dxa"/>
          </w:tcPr>
          <w:p w:rsidRPr="00175174" w:rsidR="009A68CD" w:rsidP="00175174" w:rsidRDefault="009A68CD" w14:paraId="786CC980" w14:textId="0C4E8775">
            <w:pPr>
              <w:pStyle w:val="TableParagraph"/>
              <w:suppressAutoHyphens/>
              <w:jc w:val="left"/>
              <w:rPr>
                <w:sz w:val="18"/>
                <w:szCs w:val="18"/>
              </w:rPr>
            </w:pPr>
            <w:r w:rsidRPr="00175174">
              <w:rPr>
                <w:sz w:val="18"/>
                <w:szCs w:val="18"/>
              </w:rPr>
              <w:t>212</w:t>
            </w:r>
          </w:p>
        </w:tc>
        <w:tc>
          <w:tcPr>
            <w:tcW w:w="1276" w:type="dxa"/>
          </w:tcPr>
          <w:p w:rsidRPr="00175174" w:rsidR="009A68CD" w:rsidP="00175174" w:rsidRDefault="009A68CD" w14:paraId="007B216D" w14:textId="7A4F249C">
            <w:pPr>
              <w:pStyle w:val="TableParagraph"/>
              <w:suppressAutoHyphens/>
              <w:jc w:val="left"/>
              <w:rPr>
                <w:sz w:val="18"/>
                <w:szCs w:val="18"/>
              </w:rPr>
            </w:pPr>
            <w:r w:rsidRPr="00175174">
              <w:rPr>
                <w:sz w:val="18"/>
                <w:szCs w:val="18"/>
              </w:rPr>
              <w:t>1.453</w:t>
            </w:r>
            <w:r w:rsidRPr="00175174" w:rsidR="00211CD0">
              <w:rPr>
                <w:sz w:val="18"/>
                <w:szCs w:val="18"/>
              </w:rPr>
              <w:br/>
            </w:r>
            <w:r w:rsidRPr="00175174">
              <w:rPr>
                <w:sz w:val="18"/>
                <w:szCs w:val="18"/>
              </w:rPr>
              <w:t>(100%)</w:t>
            </w:r>
          </w:p>
        </w:tc>
      </w:tr>
    </w:tbl>
    <w:p w:rsidRPr="00175174" w:rsidR="001D3A1B" w:rsidP="00175174" w:rsidRDefault="001D3A1B" w14:paraId="53E869D1" w14:textId="77777777">
      <w:pPr>
        <w:pStyle w:val="Plattetekst"/>
        <w:suppressAutoHyphens/>
        <w:spacing w:after="0" w:line="240" w:lineRule="atLeast"/>
        <w:jc w:val="left"/>
      </w:pPr>
    </w:p>
    <w:p w:rsidRPr="00175174" w:rsidR="0016345F" w:rsidP="00175174" w:rsidRDefault="0016345F" w14:paraId="354858BA" w14:textId="479FADCD">
      <w:pPr>
        <w:pStyle w:val="Plattetekst"/>
        <w:suppressAutoHyphens/>
        <w:spacing w:after="0" w:line="240" w:lineRule="atLeast"/>
        <w:jc w:val="left"/>
      </w:pPr>
      <w:r w:rsidRPr="00175174">
        <w:t>De</w:t>
      </w:r>
      <w:r w:rsidRPr="00175174">
        <w:rPr>
          <w:spacing w:val="-3"/>
        </w:rPr>
        <w:t xml:space="preserve"> </w:t>
      </w:r>
      <w:r w:rsidRPr="00175174" w:rsidR="00955B20">
        <w:rPr>
          <w:spacing w:val="-3"/>
        </w:rPr>
        <w:t xml:space="preserve">resterende </w:t>
      </w:r>
      <w:r w:rsidRPr="00175174">
        <w:t>kapitaalbehoefte</w:t>
      </w:r>
      <w:r w:rsidRPr="00175174">
        <w:rPr>
          <w:spacing w:val="-4"/>
        </w:rPr>
        <w:t xml:space="preserve"> </w:t>
      </w:r>
      <w:r w:rsidRPr="00175174">
        <w:t xml:space="preserve">per </w:t>
      </w:r>
      <w:r w:rsidRPr="00175174" w:rsidR="009A68CD">
        <w:t>31 december</w:t>
      </w:r>
      <w:r w:rsidRPr="00175174">
        <w:t xml:space="preserve"> 2025</w:t>
      </w:r>
      <w:r w:rsidRPr="00175174">
        <w:rPr>
          <w:spacing w:val="-3"/>
        </w:rPr>
        <w:t xml:space="preserve"> </w:t>
      </w:r>
      <w:r w:rsidRPr="00175174">
        <w:t>bedraagt zoals vermeld</w:t>
      </w:r>
      <w:r w:rsidRPr="00175174">
        <w:rPr>
          <w:spacing w:val="-3"/>
        </w:rPr>
        <w:t xml:space="preserve"> € </w:t>
      </w:r>
      <w:r w:rsidRPr="00175174">
        <w:t>1.</w:t>
      </w:r>
      <w:r w:rsidRPr="00175174" w:rsidR="009A68CD">
        <w:t>488</w:t>
      </w:r>
      <w:r w:rsidRPr="00175174">
        <w:rPr>
          <w:spacing w:val="-2"/>
        </w:rPr>
        <w:t xml:space="preserve"> mln. (zie tabel 8)</w:t>
      </w:r>
      <w:r w:rsidRPr="00175174" w:rsidR="005D3A36">
        <w:rPr>
          <w:spacing w:val="-2"/>
        </w:rPr>
        <w:t>. Aangezien er in de VWS-begroting € 1.</w:t>
      </w:r>
      <w:r w:rsidRPr="00175174" w:rsidR="009A68CD">
        <w:rPr>
          <w:spacing w:val="-2"/>
        </w:rPr>
        <w:t>453</w:t>
      </w:r>
      <w:r w:rsidRPr="00175174" w:rsidR="005D3A36">
        <w:rPr>
          <w:spacing w:val="-2"/>
        </w:rPr>
        <w:t xml:space="preserve"> mln. is opgenomen, </w:t>
      </w:r>
      <w:r w:rsidRPr="00175174">
        <w:t>is</w:t>
      </w:r>
      <w:r w:rsidRPr="00175174">
        <w:rPr>
          <w:spacing w:val="-4"/>
        </w:rPr>
        <w:t xml:space="preserve"> </w:t>
      </w:r>
      <w:r w:rsidRPr="00175174">
        <w:t>er</w:t>
      </w:r>
      <w:r w:rsidRPr="00175174">
        <w:rPr>
          <w:spacing w:val="-4"/>
        </w:rPr>
        <w:t xml:space="preserve"> </w:t>
      </w:r>
      <w:r w:rsidRPr="00175174">
        <w:t>op</w:t>
      </w:r>
      <w:r w:rsidRPr="00175174">
        <w:rPr>
          <w:spacing w:val="-4"/>
        </w:rPr>
        <w:t xml:space="preserve"> </w:t>
      </w:r>
      <w:r w:rsidRPr="00175174">
        <w:t>dit moment sprake van een budgetspanning van € 3</w:t>
      </w:r>
      <w:r w:rsidRPr="00175174" w:rsidR="009A68CD">
        <w:t>5</w:t>
      </w:r>
      <w:r w:rsidRPr="00175174" w:rsidR="00EF2F88">
        <w:t xml:space="preserve"> mln.</w:t>
      </w:r>
      <w:r w:rsidRPr="00175174">
        <w:t xml:space="preserve"> Deze budgetspanning wordt </w:t>
      </w:r>
      <w:r w:rsidRPr="00175174" w:rsidR="009A68CD">
        <w:t xml:space="preserve">met name </w:t>
      </w:r>
      <w:r w:rsidRPr="00175174">
        <w:t xml:space="preserve">veroorzaakt door een discrepantie tussen de </w:t>
      </w:r>
      <w:r w:rsidRPr="00175174" w:rsidR="008B7F48">
        <w:t>prijs</w:t>
      </w:r>
      <w:r w:rsidRPr="00175174">
        <w:t xml:space="preserve">indexatie </w:t>
      </w:r>
      <w:r w:rsidRPr="00175174" w:rsidR="005913FA">
        <w:t>die van toepassing is op</w:t>
      </w:r>
      <w:r w:rsidRPr="00175174">
        <w:t xml:space="preserve"> </w:t>
      </w:r>
      <w:r w:rsidRPr="00175174" w:rsidR="005D3A36">
        <w:t xml:space="preserve">het </w:t>
      </w:r>
      <w:r w:rsidRPr="00175174">
        <w:t>PALLAS</w:t>
      </w:r>
      <w:r w:rsidRPr="00175174" w:rsidR="005D3A36">
        <w:t xml:space="preserve">-nieuwbouwprogramma </w:t>
      </w:r>
      <w:r w:rsidRPr="00175174">
        <w:t xml:space="preserve">en de </w:t>
      </w:r>
      <w:r w:rsidRPr="00175174" w:rsidR="008B7F48">
        <w:t>prijs</w:t>
      </w:r>
      <w:r w:rsidRPr="00175174">
        <w:t xml:space="preserve">indexatie van de </w:t>
      </w:r>
      <w:r w:rsidRPr="00175174" w:rsidR="005D3A36">
        <w:t xml:space="preserve">PALLAS-reeks in de VWS-begroting die </w:t>
      </w:r>
      <w:r w:rsidRPr="00175174" w:rsidR="009B3159">
        <w:t>is</w:t>
      </w:r>
      <w:r w:rsidRPr="00175174" w:rsidR="005D3A36">
        <w:t xml:space="preserve"> ontvangen van het ministerie van Financiën.</w:t>
      </w:r>
      <w:r w:rsidRPr="00175174">
        <w:t xml:space="preserve"> </w:t>
      </w:r>
    </w:p>
    <w:p w:rsidRPr="00175174" w:rsidR="00311D10" w:rsidP="00175174" w:rsidRDefault="00311D10" w14:paraId="18DD0C13" w14:textId="77777777">
      <w:pPr>
        <w:pStyle w:val="Plattetekst"/>
        <w:suppressAutoHyphens/>
        <w:spacing w:after="0" w:line="240" w:lineRule="atLeast"/>
        <w:jc w:val="left"/>
        <w:rPr>
          <w:iCs/>
        </w:rPr>
      </w:pPr>
    </w:p>
    <w:p w:rsidRPr="00175174" w:rsidR="00955B20" w:rsidP="00175174" w:rsidRDefault="00955B20" w14:paraId="12F41E68" w14:textId="6A413F6B">
      <w:pPr>
        <w:suppressAutoHyphens/>
        <w:spacing w:line="240" w:lineRule="atLeast"/>
        <w:jc w:val="left"/>
      </w:pPr>
      <w:r w:rsidRPr="00175174">
        <w:rPr>
          <w:iCs/>
        </w:rPr>
        <w:t xml:space="preserve">De verhouding tussen eigen en vreemd vermogen in de </w:t>
      </w:r>
      <w:r w:rsidRPr="00175174" w:rsidR="006B778C">
        <w:rPr>
          <w:iCs/>
        </w:rPr>
        <w:t>ontwerpbegroting</w:t>
      </w:r>
      <w:r w:rsidRPr="00175174">
        <w:rPr>
          <w:iCs/>
        </w:rPr>
        <w:t xml:space="preserve"> </w:t>
      </w:r>
      <w:r w:rsidRPr="00175174" w:rsidR="009157EF">
        <w:rPr>
          <w:iCs/>
        </w:rPr>
        <w:t>VWS</w:t>
      </w:r>
      <w:r w:rsidRPr="00175174">
        <w:rPr>
          <w:iCs/>
        </w:rPr>
        <w:t xml:space="preserve"> 2026 bedraagt 80/20. Deze verhouding komt niet overeen met de verhouding die is vastgelegd in de financieringsovereenkomsten, namelijk 90/10. Voor het jaar 2025 is </w:t>
      </w:r>
      <w:r w:rsidRPr="00175174" w:rsidR="006B778C">
        <w:rPr>
          <w:iCs/>
        </w:rPr>
        <w:t>de begroting hierop aangepast</w:t>
      </w:r>
      <w:r w:rsidRPr="00175174">
        <w:rPr>
          <w:iCs/>
        </w:rPr>
        <w:t xml:space="preserve"> bij de Najaarsnota 2025</w:t>
      </w:r>
      <w:r w:rsidRPr="00175174" w:rsidR="006B778C">
        <w:rPr>
          <w:iCs/>
        </w:rPr>
        <w:t xml:space="preserve"> en voor de overige jaren bij de Voorjaarsnota 2026. Bij deze aanpassingen is vreemd vermogen omgezet naar eigen vermogen.</w:t>
      </w:r>
      <w:r w:rsidRPr="00175174">
        <w:rPr>
          <w:iCs/>
        </w:rPr>
        <w:t xml:space="preserve"> Voordat de </w:t>
      </w:r>
      <w:r w:rsidRPr="00175174">
        <w:t xml:space="preserve">financieringsovereenkomsten op 11 juli 2025 </w:t>
      </w:r>
      <w:r w:rsidRPr="00175174" w:rsidR="00B168ED">
        <w:t xml:space="preserve">waren </w:t>
      </w:r>
      <w:r w:rsidRPr="00175174">
        <w:t xml:space="preserve">getekend, heeft financiering uitsluitend met vreemd vermogen plaatsgevonden. De uiteindelijke verhouding tussen eigen en vreemd vermogen zal naar verwachting in 2031 rond 65/35 uitkomen. Verstrekking van gelden voor het PALLAS-nieuwbouwprogramma uit hoofde van de financieringsovereenkomsten vindt op kwartaalbasis plaats naar gelang de voortgang en </w:t>
      </w:r>
      <w:r w:rsidRPr="00175174">
        <w:rPr>
          <w:rFonts w:cstheme="minorHAnsi"/>
        </w:rPr>
        <w:t>met inachtneming van de beschikbare budgetten en de opgenomen maxima in de financieringsovereenkomsten</w:t>
      </w:r>
      <w:r w:rsidRPr="00175174">
        <w:t>.</w:t>
      </w:r>
    </w:p>
    <w:p w:rsidRPr="00175174" w:rsidR="00660913" w:rsidP="00175174" w:rsidRDefault="00660913" w14:paraId="6031B424" w14:textId="6EE8DC28">
      <w:pPr>
        <w:pStyle w:val="Kop3"/>
        <w:suppressAutoHyphens/>
      </w:pPr>
      <w:r w:rsidRPr="00175174">
        <w:t>Mee- en tegenvallers</w:t>
      </w:r>
    </w:p>
    <w:p w:rsidRPr="00175174" w:rsidR="0011648E" w:rsidP="00175174" w:rsidRDefault="00F13F71" w14:paraId="7FA76510" w14:textId="44B54497">
      <w:pPr>
        <w:pStyle w:val="Normaalweb"/>
        <w:suppressAutoHyphens/>
        <w:spacing w:before="0" w:beforeAutospacing="0" w:after="240" w:afterAutospacing="0" w:line="240" w:lineRule="atLeast"/>
        <w:rPr>
          <w:rFonts w:ascii="Verdana" w:hAnsi="Verdana"/>
          <w:sz w:val="18"/>
          <w:szCs w:val="18"/>
        </w:rPr>
      </w:pPr>
      <w:r w:rsidRPr="00175174">
        <w:rPr>
          <w:rFonts w:ascii="Verdana" w:hAnsi="Verdana"/>
          <w:sz w:val="18"/>
          <w:szCs w:val="18"/>
        </w:rPr>
        <w:t xml:space="preserve">Tegenvallers in het PALLAS-nieuwbouwprogramma komen in beginsel ten laste van </w:t>
      </w:r>
      <w:r w:rsidRPr="00175174" w:rsidR="0011648E">
        <w:rPr>
          <w:rFonts w:ascii="Verdana" w:hAnsi="Verdana"/>
          <w:sz w:val="18"/>
          <w:szCs w:val="18"/>
        </w:rPr>
        <w:t>NRG PALLAS B.V.</w:t>
      </w:r>
      <w:r w:rsidRPr="00175174">
        <w:rPr>
          <w:rFonts w:ascii="Verdana" w:hAnsi="Verdana"/>
          <w:sz w:val="18"/>
          <w:szCs w:val="18"/>
        </w:rPr>
        <w:t xml:space="preserve"> De</w:t>
      </w:r>
      <w:r w:rsidRPr="00175174" w:rsidR="0011648E">
        <w:rPr>
          <w:rFonts w:ascii="Verdana" w:hAnsi="Verdana"/>
          <w:sz w:val="18"/>
          <w:szCs w:val="18"/>
        </w:rPr>
        <w:t xml:space="preserve">ze tegenvallers kan de onderneming opvangen </w:t>
      </w:r>
      <w:r w:rsidRPr="00175174">
        <w:rPr>
          <w:rFonts w:ascii="Verdana" w:hAnsi="Verdana"/>
          <w:sz w:val="18"/>
          <w:szCs w:val="18"/>
        </w:rPr>
        <w:t>met de post onvoorzien, besparingsmaatregelen</w:t>
      </w:r>
      <w:r w:rsidRPr="00175174" w:rsidR="0011648E">
        <w:rPr>
          <w:rFonts w:ascii="Verdana" w:hAnsi="Verdana"/>
          <w:sz w:val="18"/>
          <w:szCs w:val="18"/>
        </w:rPr>
        <w:t xml:space="preserve"> en </w:t>
      </w:r>
      <w:r w:rsidRPr="00175174">
        <w:rPr>
          <w:rFonts w:ascii="Verdana" w:hAnsi="Verdana"/>
          <w:sz w:val="18"/>
          <w:szCs w:val="18"/>
        </w:rPr>
        <w:t xml:space="preserve">meevallers. </w:t>
      </w:r>
      <w:r w:rsidRPr="00175174" w:rsidR="0011648E">
        <w:rPr>
          <w:rFonts w:ascii="Verdana" w:hAnsi="Verdana"/>
          <w:sz w:val="18"/>
          <w:szCs w:val="18"/>
        </w:rPr>
        <w:t>Daarnaast heeft NRG PALLAS B.V. eigen vermogen tot haar beschikking, zij het in beperkte mate. Wanneer er sprake is van tegenvallers die NRG PALLAS B.V. niet kan opvangen, heeft de onderneming de mogelijkheid een verzoek te doen aan VWS voor extra financiering. Het is dan aan de minister van VWS om te besluiten hoe hiermee wordt omgegaan. Tegenvallers komen volgens de reguliere begrotingssystematiek ten laste van de VWS-begroting en worden niet vanuit de algemene middelen gedekt. Netto-meevallers op het PALLAS-nieuwbouwprogramma leiden ertoe dat NRG PALLAS B.V een kleinere financieringsbehoefte heeft en minder financiële middelen zal aanvragen bij VWS. Dit leidt dan tot een meevaller op de VWS-begroting.</w:t>
      </w:r>
    </w:p>
    <w:p w:rsidRPr="00175174" w:rsidR="0016345F" w:rsidP="00175174" w:rsidRDefault="0016345F" w14:paraId="40D1E79B" w14:textId="77777777">
      <w:pPr>
        <w:pStyle w:val="Kopjezondernummering"/>
        <w:suppressAutoHyphens/>
        <w:jc w:val="left"/>
      </w:pPr>
      <w:r w:rsidRPr="00175174">
        <w:t>Indexering</w:t>
      </w:r>
      <w:r w:rsidRPr="00175174">
        <w:rPr>
          <w:spacing w:val="-7"/>
        </w:rPr>
        <w:t xml:space="preserve"> </w:t>
      </w:r>
      <w:r w:rsidRPr="00175174">
        <w:t>Prognose</w:t>
      </w:r>
      <w:r w:rsidRPr="00175174">
        <w:rPr>
          <w:spacing w:val="-3"/>
        </w:rPr>
        <w:t xml:space="preserve"> </w:t>
      </w:r>
      <w:r w:rsidRPr="00175174">
        <w:t>Eindstand</w:t>
      </w:r>
      <w:r w:rsidRPr="00175174">
        <w:rPr>
          <w:spacing w:val="-5"/>
        </w:rPr>
        <w:t xml:space="preserve"> </w:t>
      </w:r>
      <w:r w:rsidRPr="00175174">
        <w:t>versus</w:t>
      </w:r>
      <w:r w:rsidRPr="00175174">
        <w:rPr>
          <w:spacing w:val="-4"/>
        </w:rPr>
        <w:t xml:space="preserve"> </w:t>
      </w:r>
      <w:r w:rsidRPr="00175174">
        <w:t>indexering</w:t>
      </w:r>
      <w:r w:rsidRPr="00175174">
        <w:rPr>
          <w:spacing w:val="-4"/>
        </w:rPr>
        <w:t xml:space="preserve"> </w:t>
      </w:r>
      <w:r w:rsidRPr="00175174">
        <w:rPr>
          <w:spacing w:val="-2"/>
        </w:rPr>
        <w:t>Rijksbegroting</w:t>
      </w:r>
    </w:p>
    <w:p w:rsidRPr="00175174" w:rsidR="0016345F" w:rsidP="00175174" w:rsidRDefault="0016345F" w14:paraId="4FAEFE2C" w14:textId="5AE1D150">
      <w:pPr>
        <w:pStyle w:val="Plattetekst"/>
        <w:suppressAutoHyphens/>
        <w:spacing w:line="240" w:lineRule="atLeast"/>
        <w:jc w:val="left"/>
      </w:pPr>
      <w:r w:rsidRPr="00175174">
        <w:t>De</w:t>
      </w:r>
      <w:r w:rsidRPr="00175174">
        <w:rPr>
          <w:spacing w:val="-1"/>
        </w:rPr>
        <w:t xml:space="preserve"> </w:t>
      </w:r>
      <w:r w:rsidRPr="00175174">
        <w:t>kapitaalverschaffing</w:t>
      </w:r>
      <w:r w:rsidRPr="00175174">
        <w:rPr>
          <w:spacing w:val="-2"/>
        </w:rPr>
        <w:t xml:space="preserve"> </w:t>
      </w:r>
      <w:r w:rsidRPr="00175174">
        <w:t>van</w:t>
      </w:r>
      <w:r w:rsidRPr="00175174">
        <w:rPr>
          <w:spacing w:val="-1"/>
        </w:rPr>
        <w:t xml:space="preserve"> </w:t>
      </w:r>
      <w:r w:rsidRPr="00175174">
        <w:t>het</w:t>
      </w:r>
      <w:r w:rsidRPr="00175174">
        <w:rPr>
          <w:spacing w:val="-1"/>
        </w:rPr>
        <w:t xml:space="preserve"> </w:t>
      </w:r>
      <w:r w:rsidRPr="00175174">
        <w:t>PALLAS-nieuwbouwprogramma</w:t>
      </w:r>
      <w:r w:rsidRPr="00175174">
        <w:rPr>
          <w:spacing w:val="-3"/>
        </w:rPr>
        <w:t xml:space="preserve"> </w:t>
      </w:r>
      <w:r w:rsidRPr="00175174">
        <w:t>in</w:t>
      </w:r>
      <w:r w:rsidRPr="00175174">
        <w:rPr>
          <w:spacing w:val="-1"/>
        </w:rPr>
        <w:t xml:space="preserve"> </w:t>
      </w:r>
      <w:r w:rsidRPr="00175174">
        <w:t>de</w:t>
      </w:r>
      <w:r w:rsidRPr="00175174">
        <w:rPr>
          <w:spacing w:val="-2"/>
        </w:rPr>
        <w:t xml:space="preserve"> begroting van VWS</w:t>
      </w:r>
      <w:r w:rsidRPr="00175174">
        <w:t xml:space="preserve"> wordt jaarlijks gecorrigeerd voor inflatie op basis van de IBOI (Index voor Bruto Overheidsinvesteringen). De prognose eindstand wordt door NRG PALLAS B.V. geïndexeerd met behulp van twee indices van het CBS: de inputprijsindex Grond-, Weg- en Waterbouw (GWW) met als deelgebied Civieltechnische werken en bouw (4221) en de consumentenprijsindex (CPI). Het verleden laat zien dat de IBOI doorgaans beduidend lager is dan de mix van GWW (4221) en de CPI die NRG PALLAS B.V. hanteert.</w:t>
      </w:r>
      <w:r w:rsidRPr="00175174">
        <w:rPr>
          <w:spacing w:val="-5"/>
        </w:rPr>
        <w:t xml:space="preserve"> </w:t>
      </w:r>
      <w:r w:rsidRPr="00175174">
        <w:t>Dit</w:t>
      </w:r>
      <w:r w:rsidRPr="00175174">
        <w:rPr>
          <w:spacing w:val="-3"/>
        </w:rPr>
        <w:t xml:space="preserve"> </w:t>
      </w:r>
      <w:r w:rsidRPr="00175174">
        <w:t>representeert</w:t>
      </w:r>
      <w:r w:rsidRPr="00175174">
        <w:rPr>
          <w:spacing w:val="-6"/>
        </w:rPr>
        <w:t xml:space="preserve"> </w:t>
      </w:r>
      <w:r w:rsidRPr="00175174">
        <w:t>een</w:t>
      </w:r>
      <w:r w:rsidRPr="00175174">
        <w:rPr>
          <w:spacing w:val="-3"/>
        </w:rPr>
        <w:t xml:space="preserve"> </w:t>
      </w:r>
      <w:r w:rsidRPr="00175174">
        <w:t>financieel</w:t>
      </w:r>
      <w:r w:rsidRPr="00175174">
        <w:rPr>
          <w:spacing w:val="-3"/>
        </w:rPr>
        <w:t xml:space="preserve"> </w:t>
      </w:r>
      <w:r w:rsidRPr="00175174">
        <w:t>risico</w:t>
      </w:r>
      <w:r w:rsidRPr="00175174">
        <w:rPr>
          <w:spacing w:val="-3"/>
        </w:rPr>
        <w:t xml:space="preserve"> </w:t>
      </w:r>
      <w:r w:rsidRPr="00175174">
        <w:t>voor</w:t>
      </w:r>
      <w:r w:rsidRPr="00175174" w:rsidR="004301C0">
        <w:rPr>
          <w:spacing w:val="-4"/>
        </w:rPr>
        <w:t xml:space="preserve"> </w:t>
      </w:r>
      <w:r w:rsidRPr="00175174">
        <w:t>VWS</w:t>
      </w:r>
      <w:r w:rsidRPr="00175174">
        <w:rPr>
          <w:spacing w:val="-5"/>
        </w:rPr>
        <w:t xml:space="preserve"> </w:t>
      </w:r>
      <w:r w:rsidRPr="00175174">
        <w:t>dat</w:t>
      </w:r>
      <w:r w:rsidRPr="00175174">
        <w:rPr>
          <w:spacing w:val="-4"/>
        </w:rPr>
        <w:t xml:space="preserve"> </w:t>
      </w:r>
      <w:r w:rsidRPr="00175174">
        <w:t>lastig</w:t>
      </w:r>
      <w:r w:rsidRPr="00175174">
        <w:rPr>
          <w:spacing w:val="-4"/>
        </w:rPr>
        <w:t xml:space="preserve"> </w:t>
      </w:r>
      <w:r w:rsidRPr="00175174">
        <w:t>te</w:t>
      </w:r>
      <w:r w:rsidRPr="00175174">
        <w:rPr>
          <w:spacing w:val="-4"/>
        </w:rPr>
        <w:t xml:space="preserve"> </w:t>
      </w:r>
      <w:r w:rsidRPr="00175174">
        <w:t>kwantificeren is, omdat het verschil tussen de toekomstige indices nog niet bekend is (dit is afhankelijk van toekomstige prijsontwikkelingen).</w:t>
      </w:r>
    </w:p>
    <w:p w:rsidRPr="00175174" w:rsidR="00936E1F" w:rsidP="00175174" w:rsidRDefault="00936E1F" w14:paraId="2B12AF2F" w14:textId="70BB3B28">
      <w:pPr>
        <w:pStyle w:val="Kopjezondernummering"/>
        <w:suppressAutoHyphens/>
        <w:jc w:val="left"/>
      </w:pPr>
      <w:r w:rsidRPr="00175174">
        <w:t>Historische financiële overzichten</w:t>
      </w:r>
    </w:p>
    <w:p w:rsidRPr="00175174" w:rsidR="00936E1F" w:rsidP="00175174" w:rsidRDefault="00936E1F" w14:paraId="24CB24D3" w14:textId="5039E442">
      <w:pPr>
        <w:pStyle w:val="Plattetekst"/>
        <w:suppressAutoHyphens/>
        <w:spacing w:line="240" w:lineRule="atLeast"/>
        <w:jc w:val="left"/>
      </w:pPr>
      <w:r w:rsidRPr="00175174">
        <w:t>Hoofdstuk 5 bevat een bijlage</w:t>
      </w:r>
      <w:r w:rsidRPr="00175174" w:rsidR="007200FC">
        <w:t>, waarin</w:t>
      </w:r>
      <w:r w:rsidRPr="00175174">
        <w:t xml:space="preserve"> </w:t>
      </w:r>
      <w:r w:rsidRPr="00175174" w:rsidR="007200FC">
        <w:t xml:space="preserve">de volgende </w:t>
      </w:r>
      <w:r w:rsidRPr="00175174">
        <w:t xml:space="preserve">financiële overzichten zijn opgenomen </w:t>
      </w:r>
      <w:r w:rsidRPr="00175174" w:rsidR="007200FC">
        <w:t>met de realisatie van VWS in 2025 met betrekking tot NRG PALLAS B.V.</w:t>
      </w:r>
      <w:r w:rsidRPr="00175174">
        <w:t>:</w:t>
      </w:r>
      <w:r w:rsidRPr="00175174" w:rsidR="007200FC">
        <w:t xml:space="preserve"> aangegane verplichtingen, uitgaven en het verloop van de volgende posten in de saldibalans: voorschotten, vorderingen, deelnemingen en openstaande verplichtingen.</w:t>
      </w:r>
    </w:p>
    <w:p w:rsidRPr="00175174" w:rsidR="001034D3" w:rsidP="00175174" w:rsidRDefault="001034D3" w14:paraId="045497E0" w14:textId="098BF128">
      <w:pPr>
        <w:pStyle w:val="Kop2"/>
        <w:suppressAutoHyphens/>
        <w:jc w:val="left"/>
      </w:pPr>
      <w:bookmarkStart w:name="_Ref224037130" w:id="39"/>
      <w:bookmarkStart w:name="_Toc227050520" w:id="40"/>
      <w:bookmarkEnd w:id="33"/>
      <w:r w:rsidRPr="00175174">
        <w:t>Risico’s</w:t>
      </w:r>
      <w:bookmarkEnd w:id="39"/>
      <w:bookmarkEnd w:id="40"/>
    </w:p>
    <w:bookmarkEnd w:id="32"/>
    <w:p w:rsidRPr="00175174" w:rsidR="007C18D6" w:rsidP="00175174" w:rsidRDefault="007C18D6" w14:paraId="3CE814AB" w14:textId="2427D9B5">
      <w:pPr>
        <w:suppressAutoHyphens/>
        <w:jc w:val="left"/>
      </w:pPr>
      <w:r w:rsidRPr="00175174">
        <w:t>Deze paragraaf behandelt de aan het PALLAS-nieuwbouwprogramma verbonden risico’</w:t>
      </w:r>
      <w:r w:rsidRPr="00175174" w:rsidR="00B125E8">
        <w:t>s.</w:t>
      </w:r>
      <w:r w:rsidRPr="00175174">
        <w:t xml:space="preserve"> Indien van toepassing worde</w:t>
      </w:r>
      <w:r w:rsidRPr="00175174" w:rsidR="008105CC">
        <w:t>n</w:t>
      </w:r>
      <w:r w:rsidRPr="00175174">
        <w:t xml:space="preserve"> ook de betreffende beheersing</w:t>
      </w:r>
      <w:r w:rsidRPr="00175174" w:rsidR="008105CC">
        <w:t>s</w:t>
      </w:r>
      <w:r w:rsidRPr="00175174">
        <w:t>maatregelen genoemd.</w:t>
      </w:r>
      <w:r w:rsidRPr="00175174" w:rsidR="00127393">
        <w:t xml:space="preserve"> De belangrijkste risico’s binnen het PALLAS-nieuwbouwprogramma liggen bij NRG PALLAS B.V., als uitvoerende organisatie verantwoordelijk voor ontwerp, realisatie en implementatie. VWS treedt op als aandeelhouder en financier en draagt in die hoedanigheid primair risico’s gerelateerd aan sturing, toezicht en financiering. Deze risico’s zijn naar aard en omvang beperkt ten opzichte van de uitvoeringsrisico’s bij NRG PALLAS B.V. en maken daarom geen onderdeel uit van de top 10 van programmarisico’s. Om die reden </w:t>
      </w:r>
      <w:r w:rsidRPr="00175174" w:rsidR="00136439">
        <w:t>zijn</w:t>
      </w:r>
      <w:r w:rsidRPr="00175174" w:rsidR="00127393">
        <w:t xml:space="preserve"> zij in deze rapportage niet nader uitgewerkt.</w:t>
      </w:r>
    </w:p>
    <w:p w:rsidRPr="00175174" w:rsidR="00684129" w:rsidP="00175174" w:rsidRDefault="00684129" w14:paraId="59278A84" w14:textId="77777777">
      <w:pPr>
        <w:pStyle w:val="Kop3"/>
        <w:suppressAutoHyphens/>
      </w:pPr>
      <w:bookmarkStart w:name="_Toc164073619" w:id="41"/>
      <w:bookmarkStart w:name="_Toc164074310" w:id="42"/>
      <w:bookmarkStart w:name="_Toc164261473" w:id="43"/>
      <w:r w:rsidRPr="00175174">
        <w:t>Risicobeheersing PALLAS-nieuwbouwprogramma</w:t>
      </w:r>
      <w:bookmarkEnd w:id="41"/>
      <w:bookmarkEnd w:id="42"/>
      <w:bookmarkEnd w:id="43"/>
    </w:p>
    <w:p w:rsidRPr="00175174" w:rsidR="00684129" w:rsidP="00175174" w:rsidRDefault="00684129" w14:paraId="5CF9C716" w14:textId="6295E808">
      <w:pPr>
        <w:suppressAutoHyphens/>
        <w:jc w:val="left"/>
      </w:pPr>
      <w:r w:rsidRPr="00175174">
        <w:t>Grote</w:t>
      </w:r>
      <w:r w:rsidRPr="00175174" w:rsidR="00000360">
        <w:t>,</w:t>
      </w:r>
      <w:r w:rsidRPr="00175174">
        <w:t xml:space="preserve"> complexe</w:t>
      </w:r>
      <w:r w:rsidRPr="00175174" w:rsidR="00000360">
        <w:t xml:space="preserve"> en langdurige nucleaire</w:t>
      </w:r>
      <w:r w:rsidRPr="00175174">
        <w:t xml:space="preserve"> pro</w:t>
      </w:r>
      <w:r w:rsidRPr="00175174" w:rsidR="008C49E3">
        <w:t>gramma’s</w:t>
      </w:r>
      <w:r w:rsidRPr="00175174">
        <w:t xml:space="preserve"> zoals het PALLAS-nieuwbouwprogramma kennen van nature een grote verscheidenheid aan </w:t>
      </w:r>
      <w:r w:rsidRPr="00175174" w:rsidR="00000360">
        <w:t xml:space="preserve">technische, juridische en financiële </w:t>
      </w:r>
      <w:r w:rsidRPr="00175174" w:rsidR="009D4889">
        <w:t>risico’s</w:t>
      </w:r>
      <w:r w:rsidRPr="00175174">
        <w:t>. Daarnaast zijn er, gezien de bestuurlijke context, ook politiek-bestuurlijke en maatschappelijke risico</w:t>
      </w:r>
      <w:r w:rsidRPr="00175174" w:rsidR="009D4889">
        <w:t>’</w:t>
      </w:r>
      <w:r w:rsidRPr="00175174">
        <w:t xml:space="preserve">s </w:t>
      </w:r>
      <w:r w:rsidRPr="00175174" w:rsidR="009D4889">
        <w:t>die samenhangen met</w:t>
      </w:r>
      <w:r w:rsidRPr="00175174">
        <w:t xml:space="preserve"> het PALLAS-nieuwbouwprogramma. Met behulp van adequaat risicomanagement worden deze risico’s op proactieve wijze geïdentificeerd en </w:t>
      </w:r>
      <w:r w:rsidRPr="00175174" w:rsidR="008C49E3">
        <w:t xml:space="preserve">wordt </w:t>
      </w:r>
      <w:r w:rsidRPr="00175174">
        <w:t>hun mogelijke impact</w:t>
      </w:r>
      <w:r w:rsidRPr="00175174" w:rsidR="008C49E3">
        <w:t xml:space="preserve"> op het project bepaald, zowel in kwa</w:t>
      </w:r>
      <w:r w:rsidRPr="00175174" w:rsidR="00151B5C">
        <w:t>nt</w:t>
      </w:r>
      <w:r w:rsidRPr="00175174" w:rsidR="008C49E3">
        <w:t>itatieve als kwalitatieve zin.</w:t>
      </w:r>
      <w:r w:rsidRPr="00175174">
        <w:t xml:space="preserve"> Op basis van de</w:t>
      </w:r>
      <w:r w:rsidRPr="00175174" w:rsidR="008C49E3">
        <w:t>ze</w:t>
      </w:r>
      <w:r w:rsidRPr="00175174">
        <w:t xml:space="preserve"> impact wordt de prioriteit van het risico bepaald en word</w:t>
      </w:r>
      <w:r w:rsidRPr="00175174" w:rsidR="008C49E3">
        <w:t>t</w:t>
      </w:r>
      <w:r w:rsidRPr="00175174">
        <w:t xml:space="preserve"> besloten welke beheersmaatregelen hier tegenover gezet moeten worden. Deze methodiek zorgt ervoor dat beheersmaatregelen in overeenstemming zijn met de omvang van het risico. </w:t>
      </w:r>
    </w:p>
    <w:p w:rsidRPr="00175174" w:rsidR="00684129" w:rsidP="00175174" w:rsidRDefault="00684129" w14:paraId="75578EBA" w14:textId="15BCF784">
      <w:pPr>
        <w:suppressAutoHyphens/>
        <w:jc w:val="left"/>
      </w:pPr>
      <w:r w:rsidRPr="00175174">
        <w:t xml:space="preserve">Risicomanagement binnen het PALLAS-nieuwbouwprogramma is vormgegeven conform de standaard werkwijze van </w:t>
      </w:r>
      <w:r w:rsidRPr="00175174" w:rsidR="0088684A">
        <w:t xml:space="preserve">het ministerie van </w:t>
      </w:r>
      <w:proofErr w:type="spellStart"/>
      <w:r w:rsidRPr="00175174">
        <w:t>IenW</w:t>
      </w:r>
      <w:proofErr w:type="spellEnd"/>
      <w:r w:rsidRPr="00175174">
        <w:t xml:space="preserve"> en Rijkswaterstaat. De belangrijkste uitgangspunten zijn vastgelegd in de financieringsovereenkomsten: </w:t>
      </w:r>
    </w:p>
    <w:p w:rsidRPr="00175174" w:rsidR="00684129" w:rsidP="00175174" w:rsidRDefault="00684129" w14:paraId="3B0B5973" w14:textId="269498C9">
      <w:pPr>
        <w:pStyle w:val="Lijstalinea"/>
        <w:numPr>
          <w:ilvl w:val="0"/>
          <w:numId w:val="16"/>
        </w:numPr>
        <w:suppressAutoHyphens/>
        <w:jc w:val="left"/>
      </w:pPr>
      <w:r w:rsidRPr="00175174">
        <w:t>Een totaaloverzicht van de risico’s wordt vastgelegd in een risicodossier. Dit dossier wordt</w:t>
      </w:r>
      <w:r w:rsidRPr="00175174" w:rsidR="00386193">
        <w:t xml:space="preserve"> continu</w:t>
      </w:r>
      <w:r w:rsidRPr="00175174">
        <w:t xml:space="preserve"> up </w:t>
      </w:r>
      <w:proofErr w:type="spellStart"/>
      <w:r w:rsidRPr="00175174">
        <w:t>to</w:t>
      </w:r>
      <w:proofErr w:type="spellEnd"/>
      <w:r w:rsidRPr="00175174">
        <w:t xml:space="preserve"> date gehouden, maakt vast onderdeel uit van de </w:t>
      </w:r>
      <w:r w:rsidRPr="00175174" w:rsidR="00017577">
        <w:t xml:space="preserve">agenda van de raad van bestuur van NRG PALLAS B.V. </w:t>
      </w:r>
      <w:r w:rsidRPr="00175174" w:rsidR="006B778C">
        <w:t xml:space="preserve">en </w:t>
      </w:r>
      <w:r w:rsidRPr="00175174">
        <w:t xml:space="preserve">wordt minimaal </w:t>
      </w:r>
      <w:r w:rsidRPr="00175174" w:rsidR="0016306D">
        <w:t>éé</w:t>
      </w:r>
      <w:r w:rsidRPr="00175174">
        <w:t xml:space="preserve">nmaal per kwartaal </w:t>
      </w:r>
      <w:r w:rsidRPr="00175174" w:rsidR="00386193">
        <w:t>gerapporteerd aan en besproken met</w:t>
      </w:r>
      <w:r w:rsidRPr="00175174" w:rsidR="0088684A">
        <w:t xml:space="preserve"> </w:t>
      </w:r>
      <w:r w:rsidRPr="00175174" w:rsidR="00386193">
        <w:t>VWS</w:t>
      </w:r>
      <w:r w:rsidRPr="00175174">
        <w:t xml:space="preserve">. </w:t>
      </w:r>
    </w:p>
    <w:p w:rsidRPr="00175174" w:rsidR="00776E30" w:rsidP="00175174" w:rsidRDefault="00684129" w14:paraId="175E28D8" w14:textId="156D421E">
      <w:pPr>
        <w:pStyle w:val="Lijstalinea"/>
        <w:numPr>
          <w:ilvl w:val="0"/>
          <w:numId w:val="16"/>
        </w:numPr>
        <w:suppressAutoHyphens/>
        <w:jc w:val="left"/>
      </w:pPr>
      <w:r w:rsidRPr="00175174">
        <w:t xml:space="preserve">Er </w:t>
      </w:r>
      <w:r w:rsidRPr="00175174" w:rsidR="00386193">
        <w:t xml:space="preserve">is een </w:t>
      </w:r>
      <w:r w:rsidRPr="00175174">
        <w:t>onderscheid gemaakt tussen risico’s die door</w:t>
      </w:r>
      <w:r w:rsidRPr="00175174" w:rsidR="00017577">
        <w:t xml:space="preserve"> NRG PALLAS B.V.</w:t>
      </w:r>
      <w:r w:rsidRPr="00175174">
        <w:t xml:space="preserve"> te beheersen zijn en die niet door </w:t>
      </w:r>
      <w:r w:rsidRPr="00175174" w:rsidR="00017577">
        <w:t>NRG PALLAS B.V.</w:t>
      </w:r>
      <w:r w:rsidRPr="00175174">
        <w:t xml:space="preserve"> te beheersen zijn. De</w:t>
      </w:r>
      <w:r w:rsidRPr="00175174" w:rsidR="004C0ADE">
        <w:t xml:space="preserve"> </w:t>
      </w:r>
      <w:r w:rsidRPr="00175174" w:rsidR="00A76EDB">
        <w:t>r</w:t>
      </w:r>
      <w:r w:rsidRPr="00175174" w:rsidR="004C0ADE">
        <w:t xml:space="preserve">aad van </w:t>
      </w:r>
      <w:r w:rsidRPr="00175174" w:rsidR="00A76EDB">
        <w:t>b</w:t>
      </w:r>
      <w:r w:rsidRPr="00175174" w:rsidR="004C0ADE">
        <w:t xml:space="preserve">estuur is opdrachtgever van het PALLAS-nieuwbouwprogramma en </w:t>
      </w:r>
      <w:r w:rsidRPr="00175174" w:rsidR="0016306D">
        <w:t xml:space="preserve">draagt </w:t>
      </w:r>
      <w:r w:rsidRPr="00175174" w:rsidR="004C0ADE">
        <w:t>daarom</w:t>
      </w:r>
      <w:r w:rsidRPr="00175174">
        <w:t xml:space="preserve"> verantwoordelijkheid voor </w:t>
      </w:r>
      <w:r w:rsidRPr="00175174" w:rsidR="00461F7A">
        <w:t>de financiering van</w:t>
      </w:r>
      <w:r w:rsidRPr="00175174" w:rsidR="00716764">
        <w:t xml:space="preserve"> de gevolgen van</w:t>
      </w:r>
      <w:r w:rsidRPr="00175174" w:rsidR="00461F7A">
        <w:t xml:space="preserve"> </w:t>
      </w:r>
      <w:r w:rsidRPr="00175174" w:rsidR="00017577">
        <w:t xml:space="preserve">bovengenoemde </w:t>
      </w:r>
      <w:r w:rsidRPr="00175174" w:rsidR="00461F7A">
        <w:t xml:space="preserve">risico’s wanneer deze zich (financieel) </w:t>
      </w:r>
      <w:r w:rsidRPr="00175174" w:rsidR="00046246">
        <w:t xml:space="preserve">zouden </w:t>
      </w:r>
      <w:r w:rsidRPr="00175174" w:rsidR="00461F7A">
        <w:t xml:space="preserve">materialiseren. </w:t>
      </w:r>
    </w:p>
    <w:p w:rsidRPr="00175174" w:rsidR="00684129" w:rsidP="00175174" w:rsidRDefault="00D12B6C" w14:paraId="49C28FD1" w14:textId="532A61FB">
      <w:pPr>
        <w:pStyle w:val="Lijstalinea"/>
        <w:numPr>
          <w:ilvl w:val="0"/>
          <w:numId w:val="16"/>
        </w:numPr>
        <w:suppressAutoHyphens/>
        <w:jc w:val="left"/>
      </w:pPr>
      <w:r w:rsidRPr="00175174">
        <w:t>De top 10 risico’s van het programma, bestaande uit plannings- en financiële risico’s, wordt door NRG PALLAS B.V. op kwartaalbasis geactualiseerd, inclusief de bijbehorende beheersmaatregelen. Deze top 10 wordt opgenomen in de halfjaarlijkse voortgangsrapportages.</w:t>
      </w:r>
    </w:p>
    <w:p w:rsidRPr="00175174" w:rsidR="00DD43FD" w:rsidP="00175174" w:rsidRDefault="00DD43FD" w14:paraId="72C971C8" w14:textId="018142A3">
      <w:pPr>
        <w:pStyle w:val="Lijstalinea"/>
        <w:suppressAutoHyphens/>
        <w:ind w:left="360"/>
        <w:jc w:val="left"/>
      </w:pPr>
      <w:r w:rsidRPr="00175174">
        <w:br w:type="page"/>
      </w:r>
    </w:p>
    <w:p w:rsidRPr="00175174" w:rsidR="00736BBE" w:rsidP="00175174" w:rsidRDefault="007E2EA4" w14:paraId="56214D78" w14:textId="6961ADBC">
      <w:pPr>
        <w:pStyle w:val="Kop3"/>
        <w:suppressAutoHyphens/>
      </w:pPr>
      <w:bookmarkStart w:name="_Ref225781199" w:id="44"/>
      <w:bookmarkStart w:name="_Hlk224303678" w:id="45"/>
      <w:bookmarkStart w:name="_Hlk222313777" w:id="46"/>
      <w:r w:rsidRPr="00175174">
        <w:t>R</w:t>
      </w:r>
      <w:r w:rsidRPr="00175174" w:rsidR="00736BBE">
        <w:t>isico’s</w:t>
      </w:r>
      <w:r w:rsidRPr="00175174" w:rsidR="000F1C7D">
        <w:t xml:space="preserve"> nieuwbouwprogramma</w:t>
      </w:r>
      <w:bookmarkEnd w:id="44"/>
    </w:p>
    <w:bookmarkEnd w:id="45"/>
    <w:p w:rsidRPr="00175174" w:rsidR="0091645C" w:rsidP="00175174" w:rsidRDefault="0091645C" w14:paraId="40DAED2B" w14:textId="77777777">
      <w:pPr>
        <w:pStyle w:val="Plattetekst"/>
        <w:suppressAutoHyphens/>
        <w:spacing w:after="0" w:line="240" w:lineRule="exact"/>
        <w:jc w:val="left"/>
        <w:rPr>
          <w:i/>
          <w:iCs/>
          <w:spacing w:val="-2"/>
        </w:rPr>
      </w:pPr>
    </w:p>
    <w:p w:rsidRPr="00175174" w:rsidR="00011D6B" w:rsidP="00175174" w:rsidRDefault="00011D6B" w14:paraId="22E94818" w14:textId="1B6675B7">
      <w:pPr>
        <w:pStyle w:val="Plattetekst"/>
        <w:suppressAutoHyphens/>
        <w:spacing w:after="0" w:line="240" w:lineRule="atLeast"/>
        <w:jc w:val="left"/>
        <w:rPr>
          <w:i/>
          <w:iCs/>
          <w:spacing w:val="-2"/>
        </w:rPr>
      </w:pPr>
      <w:r w:rsidRPr="00175174">
        <w:rPr>
          <w:i/>
          <w:iCs/>
          <w:spacing w:val="-2"/>
        </w:rPr>
        <w:t>Tota</w:t>
      </w:r>
      <w:r w:rsidRPr="00175174" w:rsidR="005A0F10">
        <w:rPr>
          <w:i/>
          <w:iCs/>
          <w:spacing w:val="-2"/>
        </w:rPr>
        <w:t>al</w:t>
      </w:r>
      <w:r w:rsidRPr="00175174">
        <w:rPr>
          <w:i/>
          <w:iCs/>
          <w:spacing w:val="-2"/>
        </w:rPr>
        <w:t xml:space="preserve"> risicoprofiel</w:t>
      </w:r>
    </w:p>
    <w:p w:rsidRPr="00175174" w:rsidR="00127393" w:rsidP="00175174" w:rsidRDefault="00127393" w14:paraId="4B0C05E6" w14:textId="61CA17B0">
      <w:pPr>
        <w:suppressAutoHyphens/>
        <w:spacing w:line="240" w:lineRule="atLeast"/>
        <w:jc w:val="left"/>
      </w:pPr>
      <w:r w:rsidRPr="00175174">
        <w:t xml:space="preserve">Het risicoprofiel van het PALLAS-nieuwbouwprogramma blijft in deze verslagperiode hoog. Net als in de tweede basisrapportage concentreren de belangrijkste risico’s zich rond de voortgang van het detailontwerp, de veiligheidsdocumentatie en </w:t>
      </w:r>
      <w:proofErr w:type="spellStart"/>
      <w:r w:rsidRPr="00175174">
        <w:t>vergunningtrajecten</w:t>
      </w:r>
      <w:proofErr w:type="spellEnd"/>
      <w:r w:rsidRPr="00175174">
        <w:t>, en de beschikbaarheid van voldoende gekwalificeerd personeel. Deze risico’s hangen samen met de fase waarin het programma zich bevindt, namelijk</w:t>
      </w:r>
      <w:r w:rsidRPr="00175174" w:rsidR="00B00A34">
        <w:t xml:space="preserve"> </w:t>
      </w:r>
      <w:r w:rsidRPr="00175174">
        <w:t>de overgang van ontwerp naar uitvoering. VWS blijft sturen op een tijdige en volledige duiding van deze risico’s door NRG PALLAS B.V., inclusief de ontwikkeling daarvan en de getroffen maatregelen. Daarmee wordt geborgd dat risico’s niet alleen tijdig worden gesignaleerd, maar integraal onderdeel vormen van de programmasturing.</w:t>
      </w:r>
    </w:p>
    <w:p w:rsidRPr="00175174" w:rsidR="00127393" w:rsidP="00175174" w:rsidRDefault="00127393" w14:paraId="065406CF" w14:textId="674620BF">
      <w:pPr>
        <w:suppressAutoHyphens/>
        <w:spacing w:line="240" w:lineRule="atLeast"/>
        <w:jc w:val="left"/>
      </w:pPr>
      <w:r w:rsidRPr="00175174">
        <w:t>Binnen de top 10 is ten opzichte van de tweede basisrapportage een aantal</w:t>
      </w:r>
      <w:r w:rsidRPr="00175174" w:rsidR="00B00A34">
        <w:t xml:space="preserve"> </w:t>
      </w:r>
      <w:r w:rsidRPr="00175174">
        <w:t xml:space="preserve">verschuivingen zichtbaar. Een aantal risico’s is toegenomen, met name waar het gaat om de beschikbaarheid van input voor veiligheidsanalyses, de kwaliteit en tijdigheid van technische specificaties voor Long Lead Items, de beschikbaarheid van specialistische personele capaciteit en de aansluiting van de toekomstige productiecapaciteit op de internationale marktvraag naar medische isotopen. </w:t>
      </w:r>
      <w:r w:rsidRPr="00175174">
        <w:rPr>
          <w:color w:val="auto"/>
        </w:rPr>
        <w:t>Het zijn risico’s die in meer of mindere mate aan het materialiseren zijn.</w:t>
      </w:r>
      <w:r w:rsidRPr="00175174">
        <w:t xml:space="preserve"> Tegelijkertijd zijn enkele risico’s afgenomen, onder meer door verdere voortgang in het overleg met de ANVS en nadere uitwerking van onderdelen van het </w:t>
      </w:r>
      <w:proofErr w:type="spellStart"/>
      <w:r w:rsidRPr="00175174">
        <w:t>vergunningtraject</w:t>
      </w:r>
      <w:proofErr w:type="spellEnd"/>
      <w:r w:rsidRPr="00175174">
        <w:t xml:space="preserve">. Het algemene beeld blijft evenwel dat </w:t>
      </w:r>
      <w:r w:rsidR="00472AAD">
        <w:t>vier</w:t>
      </w:r>
      <w:r w:rsidRPr="00175174">
        <w:t xml:space="preserve"> categorieën risico’s bepalend zijn voor een beheerste voortgang van het programma: voortgang van het detailontwerp, veiligheidsdocumentatie en vergunningen, personele capaciteit en expertise en marktvraag en toekomstige productiecapaciteit.</w:t>
      </w:r>
    </w:p>
    <w:p w:rsidRPr="00175174" w:rsidR="00532605" w:rsidP="00175174" w:rsidRDefault="00EC0835" w14:paraId="3E97B7D2" w14:textId="44452C6F">
      <w:pPr>
        <w:pStyle w:val="Plattetekst"/>
        <w:suppressAutoHyphens/>
        <w:spacing w:after="0" w:line="240" w:lineRule="atLeast"/>
        <w:jc w:val="left"/>
        <w:rPr>
          <w:i/>
          <w:iCs/>
          <w:spacing w:val="-2"/>
        </w:rPr>
      </w:pPr>
      <w:r w:rsidRPr="00175174">
        <w:rPr>
          <w:i/>
          <w:iCs/>
          <w:spacing w:val="-2"/>
        </w:rPr>
        <w:t>Voortgang d</w:t>
      </w:r>
      <w:r w:rsidRPr="00175174" w:rsidR="00011D6B">
        <w:rPr>
          <w:i/>
          <w:iCs/>
          <w:spacing w:val="-2"/>
        </w:rPr>
        <w:t xml:space="preserve">etailontwerp </w:t>
      </w:r>
    </w:p>
    <w:p w:rsidRPr="00175174" w:rsidR="00127393" w:rsidP="00175174" w:rsidRDefault="00127393" w14:paraId="340C03D5" w14:textId="46929851">
      <w:pPr>
        <w:suppressAutoHyphens/>
        <w:spacing w:line="240" w:lineRule="atLeast"/>
        <w:jc w:val="left"/>
      </w:pPr>
      <w:r w:rsidRPr="00175174">
        <w:t>De grootste risico’s binnen het programma hangen samen met het detailontwerp van de reactor. Het betreft daarbij de mate waarin het ontwerp op kritische vrijgavemomenten voldoende volwassen is, de beheersing van de ontwerpintegratie, de beschikbaarheid van geïntegreerde data en de kwaliteit van technische specificaties voor onderdelen met een lange levertijd. Deze risico’s hangen nauw met elkaar samen en werken direct door in de verdere voortgang van het programma.</w:t>
      </w:r>
      <w:r w:rsidRPr="00175174" w:rsidR="00B00A34">
        <w:t xml:space="preserve"> </w:t>
      </w:r>
    </w:p>
    <w:p w:rsidRPr="00175174" w:rsidR="00520610" w:rsidP="00175174" w:rsidRDefault="00520610" w14:paraId="251A8859" w14:textId="77777777">
      <w:pPr>
        <w:pStyle w:val="Plattetekst"/>
        <w:suppressAutoHyphens/>
        <w:spacing w:after="0" w:line="240" w:lineRule="atLeast"/>
        <w:jc w:val="left"/>
        <w:rPr>
          <w:i/>
          <w:iCs/>
          <w:spacing w:val="-2"/>
        </w:rPr>
      </w:pPr>
      <w:r w:rsidRPr="00175174">
        <w:rPr>
          <w:i/>
          <w:iCs/>
          <w:spacing w:val="-2"/>
        </w:rPr>
        <w:t>Veiligheidsdocumentatie en vergunningstrajecten</w:t>
      </w:r>
    </w:p>
    <w:p w:rsidRPr="00175174" w:rsidR="00127393" w:rsidP="00175174" w:rsidRDefault="00127393" w14:paraId="6B3F39E1" w14:textId="6E0E36CF">
      <w:pPr>
        <w:pStyle w:val="Plattetekst"/>
        <w:suppressAutoHyphens/>
        <w:spacing w:line="240" w:lineRule="atLeast"/>
        <w:jc w:val="left"/>
        <w:rPr>
          <w:spacing w:val="-2"/>
        </w:rPr>
      </w:pPr>
      <w:r w:rsidRPr="00175174">
        <w:rPr>
          <w:spacing w:val="-2"/>
        </w:rPr>
        <w:t xml:space="preserve">Een tweede thema binnen het risicobeeld betreft de veiligheidsdocumentatie en </w:t>
      </w:r>
      <w:proofErr w:type="spellStart"/>
      <w:r w:rsidRPr="00175174">
        <w:rPr>
          <w:spacing w:val="-2"/>
        </w:rPr>
        <w:t>vergunningtrajecten</w:t>
      </w:r>
      <w:proofErr w:type="spellEnd"/>
      <w:r w:rsidRPr="00175174">
        <w:rPr>
          <w:spacing w:val="-2"/>
        </w:rPr>
        <w:t xml:space="preserve">. Het risico dat niet tijdig volledige en geschikte input beschikbaar is voor veiligheidsanalyses en het veiligheidsdossier voor de Kernenergiewetvergunning is in deze verslagperiode toegenomen. Dit hangt samen met de afhankelijkheid van tijdige beschikbaarheid van ontwerpdocumentatie. Tegelijkertijd zijn het risico op verschillen van inzicht met de ANVS over de invulling van eisen en het risico dat </w:t>
      </w:r>
      <w:proofErr w:type="spellStart"/>
      <w:r w:rsidRPr="00175174">
        <w:rPr>
          <w:spacing w:val="-2"/>
        </w:rPr>
        <w:t>hold</w:t>
      </w:r>
      <w:proofErr w:type="spellEnd"/>
      <w:r w:rsidRPr="00175174">
        <w:rPr>
          <w:spacing w:val="-2"/>
        </w:rPr>
        <w:t xml:space="preserve"> points van de ANVS en/of NRG PALLAS</w:t>
      </w:r>
      <w:r w:rsidRPr="00175174" w:rsidR="00EE01A0">
        <w:rPr>
          <w:spacing w:val="-2"/>
        </w:rPr>
        <w:t xml:space="preserve"> B.V.</w:t>
      </w:r>
      <w:r w:rsidRPr="00175174">
        <w:rPr>
          <w:spacing w:val="-2"/>
        </w:rPr>
        <w:t xml:space="preserve"> de voortgang van constructiewerkzaamheden beïnvloeden afgenomen. Het risico op een vertraagde onherroepelijke Kernenergiewetvergunning blijft daarnaast onderdeel van de top 10.</w:t>
      </w:r>
    </w:p>
    <w:p w:rsidRPr="00175174" w:rsidR="00520610" w:rsidP="00175174" w:rsidRDefault="00520610" w14:paraId="0014F9E6" w14:textId="77777777">
      <w:pPr>
        <w:pStyle w:val="Plattetekst"/>
        <w:suppressAutoHyphens/>
        <w:spacing w:after="0" w:line="240" w:lineRule="atLeast"/>
        <w:jc w:val="left"/>
        <w:rPr>
          <w:i/>
          <w:iCs/>
          <w:spacing w:val="-2"/>
        </w:rPr>
      </w:pPr>
      <w:r w:rsidRPr="00175174">
        <w:rPr>
          <w:i/>
          <w:iCs/>
          <w:spacing w:val="-2"/>
        </w:rPr>
        <w:t xml:space="preserve">Personele </w:t>
      </w:r>
      <w:r w:rsidRPr="00175174" w:rsidR="00127393">
        <w:rPr>
          <w:i/>
          <w:iCs/>
          <w:spacing w:val="-2"/>
        </w:rPr>
        <w:t>c</w:t>
      </w:r>
      <w:r w:rsidRPr="00175174">
        <w:rPr>
          <w:i/>
          <w:iCs/>
          <w:spacing w:val="-2"/>
        </w:rPr>
        <w:t>apaciteit en expertise</w:t>
      </w:r>
    </w:p>
    <w:p w:rsidRPr="00175174" w:rsidR="00EE01A0" w:rsidP="00175174" w:rsidRDefault="00EE01A0" w14:paraId="2A0406AA" w14:textId="50529DCE">
      <w:pPr>
        <w:suppressAutoHyphens/>
        <w:spacing w:line="240" w:lineRule="atLeast"/>
        <w:jc w:val="left"/>
      </w:pPr>
      <w:bookmarkStart w:name="_Hlk226552710" w:id="47"/>
      <w:r w:rsidRPr="00175174">
        <w:t xml:space="preserve">Het risico rond het aantrekken en behouden van voldoende gekwalificeerd personeel is in deze verslagperiode toegenomen. Dit hangt samen met de aanhoudende schaarste aan specialistische, en in het bijzonder nucleaire, expertise op de arbeidsmarkt. Dit risico raakt meerdere onderdelen van het programma, waaronder ontwerp, </w:t>
      </w:r>
      <w:proofErr w:type="spellStart"/>
      <w:r w:rsidRPr="00175174">
        <w:t>vergunningvoorbereiding</w:t>
      </w:r>
      <w:proofErr w:type="spellEnd"/>
      <w:r w:rsidRPr="00175174">
        <w:t xml:space="preserve"> en projectbeheersing. NRG PALLAS B.V. zet in op gerichte maatregelen op het gebied van werving, behoud en organisatieontwikkeling. VWS blijft hierbij nadrukkelijk letten op de mate waarin deze maatregelen tijdig en aantoonbaar bijdragen aan de stabiliteit van het programma.</w:t>
      </w:r>
    </w:p>
    <w:bookmarkEnd w:id="47"/>
    <w:p w:rsidRPr="00175174" w:rsidR="00417099" w:rsidP="00175174" w:rsidRDefault="00417099" w14:paraId="32C8C18C" w14:textId="52B577AA">
      <w:pPr>
        <w:pStyle w:val="Plattetekst"/>
        <w:suppressAutoHyphens/>
        <w:spacing w:after="0" w:line="240" w:lineRule="atLeast"/>
        <w:jc w:val="left"/>
        <w:rPr>
          <w:spacing w:val="-2"/>
        </w:rPr>
      </w:pPr>
      <w:r w:rsidRPr="00175174">
        <w:rPr>
          <w:i/>
          <w:iCs/>
          <w:spacing w:val="-2"/>
        </w:rPr>
        <w:t>Marktvraag en productiecapaciteit</w:t>
      </w:r>
    </w:p>
    <w:bookmarkEnd w:id="46"/>
    <w:p w:rsidRPr="00175174" w:rsidR="00EE01A0" w:rsidP="00175174" w:rsidRDefault="00EE01A0" w14:paraId="5632BE18" w14:textId="167CE599">
      <w:pPr>
        <w:suppressAutoHyphens/>
        <w:spacing w:line="240" w:lineRule="atLeast"/>
        <w:jc w:val="left"/>
      </w:pPr>
      <w:r w:rsidRPr="00175174">
        <w:t>Nieuw in de actuele top 10 ten opzichte van de tweede basisrapportage is het risico dat de voorziene productiecapaciteit van NRG PALLAS</w:t>
      </w:r>
      <w:r w:rsidRPr="00175174" w:rsidR="008524F0">
        <w:t xml:space="preserve"> B.V.</w:t>
      </w:r>
      <w:r w:rsidRPr="00175174">
        <w:t xml:space="preserve"> op termijn dient te worden aangepast in het licht van de internationale marktvraag naar medische isotopen. Dit risico hangt samen met ontwikkelingen in producttypen, volumes en internationale concurrentie. Daarmee raakt dit risico niet alleen de toekomstige exploitatie, maar ook de robuustheid van de onderliggende businesscase. NRG PALLAS</w:t>
      </w:r>
      <w:r w:rsidRPr="00175174" w:rsidR="008524F0">
        <w:t xml:space="preserve"> B.V.</w:t>
      </w:r>
      <w:r w:rsidRPr="00175174">
        <w:t xml:space="preserve"> beziet dit risico in samenhang met de verdere strategische positionering van de reactor. Naar aanleiding van dit risico is NRG PALLAS B.V. gestart met de strategische verkenning naar een mogelijke vermogensverhoging van de PALLAS-reactor van 25 naar 30 megawatt. VWS volgt deze ontwikkeling, mede vanuit het belang van een toekomstbestendige inzet van de reactor binnen de bredere publieke doelstelling van leveringszekerheid van medische isotopen.</w:t>
      </w:r>
    </w:p>
    <w:p w:rsidRPr="00175174" w:rsidR="00EE01A0" w:rsidP="00175174" w:rsidRDefault="00EE01A0" w14:paraId="4A079662" w14:textId="22A14558">
      <w:pPr>
        <w:pStyle w:val="Bijschrift"/>
        <w:keepNext/>
        <w:suppressAutoHyphens/>
        <w:spacing w:line="240" w:lineRule="atLeast"/>
        <w:rPr>
          <w:color w:val="auto"/>
        </w:rPr>
      </w:pPr>
      <w:r w:rsidRPr="00175174">
        <w:rPr>
          <w:color w:val="auto"/>
        </w:rPr>
        <w:t xml:space="preserve">Dit is de actuele top 10 risico’s </w:t>
      </w:r>
      <w:r w:rsidRPr="00175174" w:rsidR="00D12B6C">
        <w:rPr>
          <w:color w:val="auto"/>
        </w:rPr>
        <w:t xml:space="preserve">van </w:t>
      </w:r>
      <w:r w:rsidRPr="00175174">
        <w:rPr>
          <w:color w:val="auto"/>
        </w:rPr>
        <w:t xml:space="preserve">het PALLAS-nieuwbouwprogramma zoals </w:t>
      </w:r>
      <w:r w:rsidRPr="00175174" w:rsidR="00861A5F">
        <w:rPr>
          <w:color w:val="auto"/>
        </w:rPr>
        <w:t xml:space="preserve">geïdentificeerd </w:t>
      </w:r>
      <w:r w:rsidRPr="00175174">
        <w:rPr>
          <w:color w:val="auto"/>
        </w:rPr>
        <w:t xml:space="preserve">door NRG PALLAS </w:t>
      </w:r>
      <w:r w:rsidRPr="00175174" w:rsidR="005F4594">
        <w:rPr>
          <w:color w:val="auto"/>
        </w:rPr>
        <w:t>B.V.:</w:t>
      </w:r>
    </w:p>
    <w:p w:rsidRPr="00175174" w:rsidR="005A0F10" w:rsidP="00175174" w:rsidRDefault="00EE01A0" w14:paraId="48977C84" w14:textId="77777777">
      <w:pPr>
        <w:pStyle w:val="Lijstalinea"/>
        <w:numPr>
          <w:ilvl w:val="0"/>
          <w:numId w:val="24"/>
        </w:numPr>
        <w:suppressAutoHyphens/>
        <w:spacing w:line="240" w:lineRule="atLeast"/>
        <w:jc w:val="left"/>
      </w:pPr>
      <w:r w:rsidRPr="00175174">
        <w:t>Onvoldoende volwassenheid van het ontwerp op kritische release mijlpalen.</w:t>
      </w:r>
    </w:p>
    <w:p w:rsidRPr="00175174" w:rsidR="00EE01A0" w:rsidP="00175174" w:rsidRDefault="00EE01A0" w14:paraId="305AB260" w14:textId="14136F0A">
      <w:pPr>
        <w:pStyle w:val="Lijstalinea"/>
        <w:numPr>
          <w:ilvl w:val="0"/>
          <w:numId w:val="24"/>
        </w:numPr>
        <w:suppressAutoHyphens/>
        <w:spacing w:line="240" w:lineRule="atLeast"/>
        <w:jc w:val="left"/>
      </w:pPr>
      <w:r w:rsidRPr="00175174">
        <w:t>Input data niet compleet voor het opstellen van veiligheidsanalyses en een omvangrijk veiligheidsdossier in het kader van de kernenergiewetvergunning.</w:t>
      </w:r>
    </w:p>
    <w:p w:rsidRPr="00175174" w:rsidR="00EE01A0" w:rsidP="00175174" w:rsidRDefault="00EE01A0" w14:paraId="2279E42B" w14:textId="77777777">
      <w:pPr>
        <w:pStyle w:val="Lijstalinea"/>
        <w:numPr>
          <w:ilvl w:val="0"/>
          <w:numId w:val="24"/>
        </w:numPr>
        <w:suppressAutoHyphens/>
        <w:spacing w:line="240" w:lineRule="atLeast"/>
        <w:jc w:val="left"/>
      </w:pPr>
      <w:r w:rsidRPr="00175174">
        <w:t>Gebrek aan beheersing op de integratie van ontwerp.</w:t>
      </w:r>
    </w:p>
    <w:p w:rsidRPr="00175174" w:rsidR="00EE01A0" w:rsidP="00175174" w:rsidRDefault="00EE01A0" w14:paraId="3933108D" w14:textId="77777777">
      <w:pPr>
        <w:pStyle w:val="Lijstalinea"/>
        <w:numPr>
          <w:ilvl w:val="0"/>
          <w:numId w:val="24"/>
        </w:numPr>
        <w:suppressAutoHyphens/>
        <w:spacing w:line="240" w:lineRule="atLeast"/>
        <w:jc w:val="left"/>
      </w:pPr>
      <w:r w:rsidRPr="00175174">
        <w:t>Vertraging op het kritieke pad door technische specificaties van Long Lead Items die van onvoldoende kwaliteit zijn.</w:t>
      </w:r>
    </w:p>
    <w:p w:rsidRPr="00175174" w:rsidR="00EE01A0" w:rsidP="00175174" w:rsidRDefault="00EE01A0" w14:paraId="770EBD46" w14:textId="77777777">
      <w:pPr>
        <w:pStyle w:val="Lijstalinea"/>
        <w:numPr>
          <w:ilvl w:val="0"/>
          <w:numId w:val="24"/>
        </w:numPr>
        <w:suppressAutoHyphens/>
        <w:spacing w:line="240" w:lineRule="atLeast"/>
        <w:jc w:val="left"/>
      </w:pPr>
      <w:r w:rsidRPr="00175174">
        <w:t>Vertraagde werving van voldoende gekwalificeerd personeel, alsmede het verlies van belangrijk personeel.</w:t>
      </w:r>
    </w:p>
    <w:p w:rsidRPr="00175174" w:rsidR="00EE01A0" w:rsidP="00175174" w:rsidRDefault="00EE01A0" w14:paraId="0B800E49" w14:textId="77777777">
      <w:pPr>
        <w:pStyle w:val="Lijstalinea"/>
        <w:numPr>
          <w:ilvl w:val="0"/>
          <w:numId w:val="24"/>
        </w:numPr>
        <w:suppressAutoHyphens/>
        <w:spacing w:line="240" w:lineRule="atLeast"/>
        <w:jc w:val="left"/>
      </w:pPr>
      <w:r w:rsidRPr="00175174">
        <w:t>Verschil van inzicht over invulling eisen met de ANVS.</w:t>
      </w:r>
    </w:p>
    <w:p w:rsidRPr="00175174" w:rsidR="00EE01A0" w:rsidP="00175174" w:rsidRDefault="00EE01A0" w14:paraId="4AB0B0B4" w14:textId="77777777">
      <w:pPr>
        <w:pStyle w:val="Lijstalinea"/>
        <w:numPr>
          <w:ilvl w:val="0"/>
          <w:numId w:val="24"/>
        </w:numPr>
        <w:suppressAutoHyphens/>
        <w:spacing w:line="240" w:lineRule="atLeast"/>
        <w:jc w:val="left"/>
      </w:pPr>
      <w:r w:rsidRPr="00175174">
        <w:t>Een gebrek aan geïntegreerde data beperkt het geïntegreerde ontwerp en voortgang op constructie en kan leiden tot kosten voor herzien werk</w:t>
      </w:r>
    </w:p>
    <w:p w:rsidRPr="00175174" w:rsidR="00EE01A0" w:rsidP="00175174" w:rsidRDefault="00EE01A0" w14:paraId="7777CD58" w14:textId="53C71F89">
      <w:pPr>
        <w:pStyle w:val="Lijstalinea"/>
        <w:numPr>
          <w:ilvl w:val="0"/>
          <w:numId w:val="24"/>
        </w:numPr>
        <w:suppressAutoHyphens/>
        <w:spacing w:line="240" w:lineRule="atLeast"/>
        <w:jc w:val="left"/>
      </w:pPr>
      <w:proofErr w:type="spellStart"/>
      <w:r w:rsidRPr="00175174">
        <w:t>Holdpoints</w:t>
      </w:r>
      <w:proofErr w:type="spellEnd"/>
      <w:r w:rsidRPr="00175174">
        <w:t xml:space="preserve"> van de ANVS en/of NRG PALLAS</w:t>
      </w:r>
      <w:r w:rsidRPr="00175174" w:rsidR="008524F0">
        <w:t xml:space="preserve"> B.V.</w:t>
      </w:r>
      <w:r w:rsidRPr="00175174">
        <w:t xml:space="preserve"> hebben invloed op de voortgang van constructie werkzaamheden.</w:t>
      </w:r>
    </w:p>
    <w:p w:rsidRPr="00175174" w:rsidR="00EE01A0" w:rsidP="00175174" w:rsidRDefault="00EE01A0" w14:paraId="4A0D8EA5" w14:textId="47F834C0">
      <w:pPr>
        <w:pStyle w:val="Lijstalinea"/>
        <w:numPr>
          <w:ilvl w:val="0"/>
          <w:numId w:val="24"/>
        </w:numPr>
        <w:suppressAutoHyphens/>
        <w:spacing w:line="240" w:lineRule="atLeast"/>
        <w:jc w:val="left"/>
      </w:pPr>
      <w:r w:rsidRPr="00175174">
        <w:t xml:space="preserve">Voorziene productiecapaciteit van NRG PALLAS </w:t>
      </w:r>
      <w:r w:rsidRPr="00175174" w:rsidR="008524F0">
        <w:t xml:space="preserve">B.V. </w:t>
      </w:r>
      <w:r w:rsidRPr="00175174">
        <w:t>sluit op termijn niet (volledig) aan bij de internationale marktvraag naar medische isotopen.</w:t>
      </w:r>
    </w:p>
    <w:p w:rsidRPr="00175174" w:rsidR="00EE01A0" w:rsidP="00175174" w:rsidRDefault="00EE01A0" w14:paraId="05263C84" w14:textId="77777777">
      <w:pPr>
        <w:pStyle w:val="Lijstalinea"/>
        <w:numPr>
          <w:ilvl w:val="0"/>
          <w:numId w:val="24"/>
        </w:numPr>
        <w:suppressAutoHyphens/>
        <w:spacing w:line="240" w:lineRule="atLeast"/>
        <w:jc w:val="left"/>
      </w:pPr>
      <w:r w:rsidRPr="00175174">
        <w:t xml:space="preserve">Vertraagde onherroepelijke Kernenergiewetvergunning. </w:t>
      </w:r>
    </w:p>
    <w:p w:rsidRPr="00175174" w:rsidR="00EE01A0" w:rsidP="00175174" w:rsidRDefault="00EE01A0" w14:paraId="529F6B92" w14:textId="77777777">
      <w:pPr>
        <w:suppressAutoHyphens/>
        <w:spacing w:line="240" w:lineRule="atLeast"/>
        <w:jc w:val="left"/>
      </w:pPr>
      <w:r w:rsidRPr="00175174">
        <w:t xml:space="preserve">De hierboven beschreven risicoclusters zijn als volgt opgebouwd: voortgang </w:t>
      </w:r>
      <w:proofErr w:type="spellStart"/>
      <w:r w:rsidRPr="00175174">
        <w:t>detailed</w:t>
      </w:r>
      <w:proofErr w:type="spellEnd"/>
      <w:r w:rsidRPr="00175174">
        <w:t xml:space="preserve"> design (1, 2, 3, 4 en 7), veiligheidsdocumentatie en vergunningen (6, 8 en 10), personele capaciteit en expertise (5) en marktvraag en toekomstige productiecapaciteit (9).</w:t>
      </w:r>
    </w:p>
    <w:p w:rsidRPr="00175174" w:rsidR="00EE01A0" w:rsidP="00175174" w:rsidRDefault="00EE01A0" w14:paraId="055E353B" w14:textId="180C925A">
      <w:pPr>
        <w:pStyle w:val="Plattetekst"/>
        <w:suppressAutoHyphens/>
        <w:spacing w:line="240" w:lineRule="atLeast"/>
        <w:jc w:val="left"/>
        <w:rPr>
          <w:spacing w:val="-10"/>
        </w:rPr>
      </w:pPr>
      <w:r w:rsidRPr="00175174">
        <w:t xml:space="preserve">In de bijlage 5 is bovengenoemde top 10 risico’s van het PALLAS- nieuwbouwprogramma door NRG PALLAS B.V. aangevuld met een nadere omschrijving, de beheersmaatregelen ervan en actuele ontwikkelingen. </w:t>
      </w:r>
    </w:p>
    <w:p w:rsidRPr="00175174" w:rsidR="00F452D1" w:rsidP="00175174" w:rsidRDefault="00F452D1" w14:paraId="031C1BFC" w14:textId="49F8F4F2">
      <w:pPr>
        <w:pStyle w:val="Kop2"/>
        <w:suppressAutoHyphens/>
        <w:jc w:val="left"/>
      </w:pPr>
      <w:bookmarkStart w:name="_Toc227050521" w:id="48"/>
      <w:r w:rsidRPr="00175174">
        <w:t>Bevindingen Technisch Adviseur</w:t>
      </w:r>
      <w:bookmarkEnd w:id="48"/>
    </w:p>
    <w:p w:rsidRPr="00175174" w:rsidR="00DD43FD" w:rsidP="00175174" w:rsidRDefault="00973386" w14:paraId="46F5296D" w14:textId="117CD8EC">
      <w:pPr>
        <w:suppressAutoHyphens/>
        <w:jc w:val="left"/>
      </w:pPr>
      <w:proofErr w:type="spellStart"/>
      <w:r w:rsidRPr="00175174">
        <w:t>Mott</w:t>
      </w:r>
      <w:proofErr w:type="spellEnd"/>
      <w:r w:rsidRPr="00175174">
        <w:t xml:space="preserve"> </w:t>
      </w:r>
      <w:proofErr w:type="spellStart"/>
      <w:r w:rsidRPr="00175174">
        <w:t>MacDonald</w:t>
      </w:r>
      <w:proofErr w:type="spellEnd"/>
      <w:r w:rsidRPr="00175174">
        <w:t xml:space="preserve"> is sinds 2022 de Technisch Adviseur (TA) van</w:t>
      </w:r>
      <w:r w:rsidRPr="00175174" w:rsidR="00950E1A">
        <w:t xml:space="preserve"> </w:t>
      </w:r>
      <w:r w:rsidRPr="00175174">
        <w:t xml:space="preserve">VWS </w:t>
      </w:r>
      <w:r w:rsidRPr="00175174" w:rsidR="00AD044C">
        <w:t>voor</w:t>
      </w:r>
      <w:r w:rsidRPr="00175174">
        <w:t xml:space="preserve"> het PALLAS-nieuwbouwprogramma.</w:t>
      </w:r>
      <w:r w:rsidRPr="00175174" w:rsidR="00EF4B59">
        <w:t xml:space="preserve"> In de tweede basisrapportage</w:t>
      </w:r>
      <w:r w:rsidRPr="00175174" w:rsidR="00EF4B59">
        <w:rPr>
          <w:rStyle w:val="Voetnootmarkering"/>
        </w:rPr>
        <w:footnoteReference w:id="7"/>
      </w:r>
      <w:r w:rsidRPr="00175174" w:rsidR="00EF4B59">
        <w:t xml:space="preserve"> is een beschrijving opgenomen van de governance van NRG PALLAS</w:t>
      </w:r>
      <w:r w:rsidRPr="00175174" w:rsidR="0087580C">
        <w:t xml:space="preserve"> B.V.</w:t>
      </w:r>
      <w:r w:rsidRPr="00175174" w:rsidR="00EF4B59">
        <w:t xml:space="preserve"> en het PALLAS-nieuwbouwprogramma en de rol van </w:t>
      </w:r>
      <w:proofErr w:type="spellStart"/>
      <w:r w:rsidRPr="00175174">
        <w:t>Mott</w:t>
      </w:r>
      <w:proofErr w:type="spellEnd"/>
      <w:r w:rsidRPr="00175174">
        <w:t xml:space="preserve"> </w:t>
      </w:r>
      <w:proofErr w:type="spellStart"/>
      <w:r w:rsidRPr="00175174">
        <w:t>MacDonald</w:t>
      </w:r>
      <w:proofErr w:type="spellEnd"/>
      <w:r w:rsidRPr="00175174" w:rsidR="00EF4B59">
        <w:t xml:space="preserve"> hierin.</w:t>
      </w:r>
      <w:r w:rsidRPr="00175174" w:rsidR="002D6C4D">
        <w:t xml:space="preserve"> VWS betrekt de hieronder beschreven bevindingen bij de voortgangsgesprekken met NRG PALLAS B.V. en bij de beoordeling van verdere besluitvorming binnen het programma.</w:t>
      </w:r>
      <w:r w:rsidRPr="00175174" w:rsidR="00DD43FD">
        <w:br w:type="page"/>
      </w:r>
    </w:p>
    <w:p w:rsidRPr="00175174" w:rsidR="00973386" w:rsidP="00175174" w:rsidRDefault="00973386" w14:paraId="7D9AA169" w14:textId="77777777">
      <w:pPr>
        <w:suppressAutoHyphens/>
        <w:jc w:val="left"/>
      </w:pPr>
    </w:p>
    <w:p w:rsidRPr="00175174" w:rsidR="00973386" w:rsidP="00175174" w:rsidRDefault="00D908AB" w14:paraId="6832E5B3" w14:textId="4E7E59ED">
      <w:pPr>
        <w:pStyle w:val="Kop3"/>
        <w:suppressAutoHyphens/>
      </w:pPr>
      <w:r w:rsidRPr="00175174">
        <w:t>Bevindingen en a</w:t>
      </w:r>
      <w:r w:rsidRPr="00175174" w:rsidR="00973386">
        <w:t xml:space="preserve">dvisering </w:t>
      </w:r>
      <w:r w:rsidRPr="00175174">
        <w:t>Technische Adviseur</w:t>
      </w:r>
    </w:p>
    <w:p w:rsidRPr="00175174" w:rsidR="0044644A" w:rsidP="00175174" w:rsidRDefault="0044644A" w14:paraId="2BE424E6" w14:textId="2724B21E">
      <w:pPr>
        <w:suppressAutoHyphens/>
        <w:jc w:val="left"/>
      </w:pPr>
      <w:proofErr w:type="spellStart"/>
      <w:r w:rsidRPr="00175174">
        <w:t>Mott</w:t>
      </w:r>
      <w:proofErr w:type="spellEnd"/>
      <w:r w:rsidRPr="00175174">
        <w:t xml:space="preserve"> </w:t>
      </w:r>
      <w:proofErr w:type="spellStart"/>
      <w:r w:rsidRPr="00175174">
        <w:t>MacDonald</w:t>
      </w:r>
      <w:proofErr w:type="spellEnd"/>
      <w:r w:rsidRPr="00175174">
        <w:t xml:space="preserve"> is de Technisch Adviseur (TA) en </w:t>
      </w:r>
      <w:proofErr w:type="spellStart"/>
      <w:r w:rsidRPr="00175174">
        <w:t>Lender’s</w:t>
      </w:r>
      <w:proofErr w:type="spellEnd"/>
      <w:r w:rsidRPr="00175174">
        <w:t xml:space="preserve"> Technical Advisor van VWS voor het PALLAS-nieuwbouwprogramma. In deze rol beoordeelt de TA periodiek of ontwikkelingen binnen het programma kunnen leiden tot significante risico’s voor planning, budget en scope, mede in het licht van de verplichtingen uit de financieringsovereenkomsten die VWS heeft gesloten met NRG PALLAS B.V.</w:t>
      </w:r>
    </w:p>
    <w:p w:rsidRPr="00175174" w:rsidR="0044644A" w:rsidP="00175174" w:rsidRDefault="0044644A" w14:paraId="6A686192" w14:textId="561228E2">
      <w:pPr>
        <w:suppressAutoHyphens/>
        <w:jc w:val="left"/>
      </w:pPr>
      <w:r w:rsidRPr="00175174">
        <w:t xml:space="preserve">Op basis van site </w:t>
      </w:r>
      <w:proofErr w:type="spellStart"/>
      <w:r w:rsidRPr="00175174">
        <w:t>visits</w:t>
      </w:r>
      <w:proofErr w:type="spellEnd"/>
      <w:r w:rsidRPr="00175174">
        <w:t xml:space="preserve"> en maand- en kwartaalrapportages over het derde en vierde kwartaal van 2025 concludeert </w:t>
      </w:r>
      <w:r w:rsidRPr="00175174" w:rsidR="00875B5B">
        <w:t xml:space="preserve">de </w:t>
      </w:r>
      <w:r w:rsidRPr="00175174">
        <w:t>TA dat zich meerdere samenhangende risico’s voordoen die, indien niet tijdig en effectief beheerst door NRG PALLAS B.V., kunnen leiden tot vertragingen en budgettaire druk binnen het programma.</w:t>
      </w:r>
    </w:p>
    <w:p w:rsidRPr="00175174" w:rsidR="0044644A" w:rsidP="00175174" w:rsidRDefault="0044644A" w14:paraId="41740BF6" w14:textId="59445E95">
      <w:pPr>
        <w:suppressAutoHyphens/>
        <w:jc w:val="left"/>
      </w:pPr>
      <w:r w:rsidRPr="00175174">
        <w:t>De grootste zorg betreft de voortgang en afronding van het detailontwerp. Op basis van rapportages van NRG PALLAS B.V. constateert de TA dat het detailontwerp achterloopt op de planning uit baseline 9 en dat onderdelen van het ontwerp nog niet het kwaliteitsniveau hebben dat nodig is voor vervolgstappen in het programma. Hoewel NRG PALLAS B.V. maatregelen heeft genomen om het detailontwerp te versnellen en te verbeteren, hebben deze maatregelen vooralsnog niet het beoogde effect</w:t>
      </w:r>
      <w:r w:rsidRPr="00175174" w:rsidR="006704EE">
        <w:t xml:space="preserve"> (zie risico’s; 1, 2, 3, 7 in paragraaf </w:t>
      </w:r>
      <w:r w:rsidRPr="00175174" w:rsidR="006704EE">
        <w:fldChar w:fldCharType="begin"/>
      </w:r>
      <w:r w:rsidRPr="00175174" w:rsidR="006704EE">
        <w:instrText xml:space="preserve"> REF _Ref225781199 \r \h </w:instrText>
      </w:r>
      <w:r w:rsidRPr="00175174" w:rsidR="00175174">
        <w:instrText xml:space="preserve"> \* MERGEFORMAT </w:instrText>
      </w:r>
      <w:r w:rsidRPr="00175174" w:rsidR="006704EE">
        <w:fldChar w:fldCharType="separate"/>
      </w:r>
      <w:r w:rsidR="00175174">
        <w:t>3.5.2</w:t>
      </w:r>
      <w:r w:rsidRPr="00175174" w:rsidR="006704EE">
        <w:fldChar w:fldCharType="end"/>
      </w:r>
      <w:r w:rsidRPr="00175174" w:rsidR="006704EE">
        <w:t xml:space="preserve">) </w:t>
      </w:r>
    </w:p>
    <w:p w:rsidRPr="00175174" w:rsidR="0044644A" w:rsidP="00175174" w:rsidRDefault="0044644A" w14:paraId="1BFBA1C1" w14:textId="77777777">
      <w:pPr>
        <w:suppressAutoHyphens/>
        <w:jc w:val="left"/>
      </w:pPr>
      <w:r w:rsidRPr="00175174">
        <w:t>De TA constateert dat door deze ontwikkelingen binnen het programma sprake is van drie kritieke paden. Dit betekent dat meerdere parallelle trajecten bepalend zijn geworden voor de eindplanning van het project. Vertraging in één van deze trajecten kan daardoor direct gevolgen hebben voor de totale planning en laat minder ruimte om eventuele tegenvallers op te vangen.</w:t>
      </w:r>
    </w:p>
    <w:p w:rsidRPr="00175174" w:rsidR="0044644A" w:rsidP="00175174" w:rsidRDefault="0044644A" w14:paraId="1F79243C" w14:textId="5FD3A521">
      <w:pPr>
        <w:suppressAutoHyphens/>
        <w:jc w:val="left"/>
      </w:pPr>
      <w:r w:rsidRPr="00175174">
        <w:t>Volgens de TA kan de huidige planning voor commerciële ingebruikname van de reactor alleen worden gehandhaafd indien beschikbare buffers in de planning worden benut en aanvullende beheersmaatregelen effectief blijken. De exacte impact op planning en budget zal naar verwachting blijken uit een probabilistische analyse die in het tweede kwartaal van 2026 wordt verwacht.</w:t>
      </w:r>
    </w:p>
    <w:p w:rsidRPr="00175174" w:rsidR="000D6ADE" w:rsidP="00175174" w:rsidRDefault="0044644A" w14:paraId="1098D6E3" w14:textId="696E1FAE">
      <w:pPr>
        <w:suppressAutoHyphens/>
        <w:jc w:val="left"/>
      </w:pPr>
      <w:r w:rsidRPr="00175174">
        <w:t>Daarnaast signaleert de TA dat NRG PALLAS B.V. de mogelijkheid onderzoekt om het reactorvermogen te verhogen van 25 naar 30 megawatt. Hoewel de impact van een dergelijke vermogensverhoging nog in kaart wordt gebracht, wijst de TA erop dat een dergelijk besluit de complexiteit van het programma kan vergroten en daarmee extra onzekerheden kan introduceren voor planning en kosten.</w:t>
      </w:r>
      <w:r w:rsidRPr="00175174" w:rsidR="000D6ADE">
        <w:br w:type="page"/>
      </w:r>
    </w:p>
    <w:p w:rsidRPr="00175174" w:rsidR="00EE1457" w:rsidP="00175174" w:rsidRDefault="00EE1457" w14:paraId="6E46AD4D" w14:textId="749FD455">
      <w:pPr>
        <w:pStyle w:val="Kop1"/>
        <w:suppressAutoHyphens/>
        <w:jc w:val="left"/>
        <w:rPr>
          <w:sz w:val="18"/>
          <w:szCs w:val="18"/>
        </w:rPr>
      </w:pPr>
      <w:bookmarkStart w:name="_Toc227050522" w:id="49"/>
      <w:r w:rsidRPr="00175174">
        <w:rPr>
          <w:sz w:val="18"/>
          <w:szCs w:val="18"/>
        </w:rPr>
        <w:t>Ontwikkelingen in de bredere context van NRG PALLAS B.V. en het PALLAS-nieuwbouwprogramma</w:t>
      </w:r>
      <w:bookmarkEnd w:id="49"/>
    </w:p>
    <w:p w:rsidRPr="00175174" w:rsidR="00EE1457" w:rsidP="00175174" w:rsidRDefault="00EE1457" w14:paraId="5E7764FC" w14:textId="1320B4B5">
      <w:pPr>
        <w:pStyle w:val="Kop2"/>
        <w:suppressAutoHyphens/>
        <w:jc w:val="left"/>
      </w:pPr>
      <w:bookmarkStart w:name="_Toc227050523" w:id="50"/>
      <w:r w:rsidRPr="00175174">
        <w:t>Introductie</w:t>
      </w:r>
      <w:bookmarkEnd w:id="50"/>
    </w:p>
    <w:p w:rsidRPr="00175174" w:rsidR="00EE1457" w:rsidP="00175174" w:rsidRDefault="00EE1457" w14:paraId="5645B18E" w14:textId="44648873">
      <w:pPr>
        <w:suppressAutoHyphens/>
        <w:jc w:val="left"/>
      </w:pPr>
      <w:r w:rsidRPr="00175174">
        <w:t xml:space="preserve">In dit hoofdstuk wordt ingegaan op de ontwikkeling in de bredere context van </w:t>
      </w:r>
      <w:r w:rsidRPr="00175174" w:rsidR="00BC272B">
        <w:t xml:space="preserve">NRG PALLAS B.V. en </w:t>
      </w:r>
      <w:r w:rsidRPr="00175174">
        <w:t xml:space="preserve">het PALLAS-nieuwbouwprogramma. </w:t>
      </w:r>
    </w:p>
    <w:p w:rsidRPr="00175174" w:rsidR="00A372A3" w:rsidP="00175174" w:rsidRDefault="00A372A3" w14:paraId="5C2FDBBD" w14:textId="32F7977E">
      <w:pPr>
        <w:pStyle w:val="Kop2"/>
        <w:suppressAutoHyphens/>
        <w:jc w:val="left"/>
      </w:pPr>
      <w:bookmarkStart w:name="_Toc227050524" w:id="51"/>
      <w:r w:rsidRPr="00175174">
        <w:t>Ontwikkelingen in de brede context van medische isotopen</w:t>
      </w:r>
      <w:bookmarkEnd w:id="51"/>
    </w:p>
    <w:p w:rsidRPr="00175174" w:rsidR="00EC4918" w:rsidP="00175174" w:rsidRDefault="00EC4918" w14:paraId="2C3EF7C4" w14:textId="77777777">
      <w:pPr>
        <w:suppressAutoHyphens/>
        <w:spacing w:after="0"/>
        <w:jc w:val="left"/>
        <w:rPr>
          <w:i/>
          <w:iCs/>
        </w:rPr>
      </w:pPr>
    </w:p>
    <w:p w:rsidRPr="00175174" w:rsidR="00EC4918" w:rsidP="00175174" w:rsidRDefault="00EC4918" w14:paraId="14AAA450" w14:textId="112AA66A">
      <w:pPr>
        <w:suppressAutoHyphens/>
        <w:spacing w:after="0"/>
        <w:jc w:val="left"/>
      </w:pPr>
      <w:proofErr w:type="spellStart"/>
      <w:r w:rsidRPr="00175174">
        <w:rPr>
          <w:i/>
          <w:iCs/>
        </w:rPr>
        <w:t>Roadmap</w:t>
      </w:r>
      <w:proofErr w:type="spellEnd"/>
      <w:r w:rsidRPr="00175174">
        <w:rPr>
          <w:i/>
          <w:iCs/>
        </w:rPr>
        <w:t xml:space="preserve"> Nucleaire Geneesmiddelenontwikkeling</w:t>
      </w:r>
      <w:r w:rsidRPr="00175174">
        <w:t xml:space="preserve"> </w:t>
      </w:r>
    </w:p>
    <w:p w:rsidRPr="00175174" w:rsidR="00EC4918" w:rsidP="00175174" w:rsidRDefault="00EC4918" w14:paraId="7684D071" w14:textId="1DF2CE99">
      <w:pPr>
        <w:suppressAutoHyphens/>
        <w:spacing w:line="240" w:lineRule="atLeast"/>
        <w:jc w:val="left"/>
      </w:pPr>
      <w:r w:rsidRPr="00175174">
        <w:t xml:space="preserve">In 2024 heeft VWS een traject onder leiding van een kwartiermaker geïnitieerd dat heeft geleid tot een </w:t>
      </w:r>
      <w:proofErr w:type="spellStart"/>
      <w:r w:rsidRPr="00175174">
        <w:rPr>
          <w:i/>
          <w:iCs/>
        </w:rPr>
        <w:t>Roadmap</w:t>
      </w:r>
      <w:proofErr w:type="spellEnd"/>
      <w:r w:rsidRPr="00175174">
        <w:rPr>
          <w:i/>
          <w:iCs/>
        </w:rPr>
        <w:t xml:space="preserve"> Nucleaire Geneesmiddelenontwikkeling</w:t>
      </w:r>
      <w:r w:rsidRPr="00175174">
        <w:t xml:space="preserve">. In deze </w:t>
      </w:r>
      <w:proofErr w:type="spellStart"/>
      <w:r w:rsidRPr="00175174">
        <w:t>roadmap</w:t>
      </w:r>
      <w:proofErr w:type="spellEnd"/>
      <w:r w:rsidRPr="00175174">
        <w:t xml:space="preserve"> zijn diverse aanbevelingen gedaan om de ambitie om als Nederland toonaangevend te worden op nucleaire geneesmiddelen. Een van de aanbevelingen betrof de behoefte aan een kennis- en innovatieagenda. Op 8 april </w:t>
      </w:r>
      <w:r w:rsidRPr="00175174" w:rsidR="00137082">
        <w:t>2026</w:t>
      </w:r>
      <w:r w:rsidRPr="00175174">
        <w:t xml:space="preserve"> heeft FAST (Centre </w:t>
      </w:r>
      <w:proofErr w:type="spellStart"/>
      <w:r w:rsidRPr="00175174">
        <w:t>for</w:t>
      </w:r>
      <w:proofErr w:type="spellEnd"/>
      <w:r w:rsidRPr="00175174">
        <w:t xml:space="preserve"> </w:t>
      </w:r>
      <w:proofErr w:type="spellStart"/>
      <w:r w:rsidRPr="00175174">
        <w:t>Future</w:t>
      </w:r>
      <w:proofErr w:type="spellEnd"/>
      <w:r w:rsidRPr="00175174">
        <w:t xml:space="preserve"> </w:t>
      </w:r>
      <w:proofErr w:type="spellStart"/>
      <w:r w:rsidRPr="00175174">
        <w:t>Affordable</w:t>
      </w:r>
      <w:proofErr w:type="spellEnd"/>
      <w:r w:rsidRPr="00175174">
        <w:t xml:space="preserve"> </w:t>
      </w:r>
      <w:proofErr w:type="spellStart"/>
      <w:r w:rsidRPr="00175174">
        <w:t>Sustainable</w:t>
      </w:r>
      <w:proofErr w:type="spellEnd"/>
      <w:r w:rsidRPr="00175174">
        <w:t xml:space="preserve"> </w:t>
      </w:r>
      <w:proofErr w:type="spellStart"/>
      <w:r w:rsidRPr="00175174">
        <w:t>Therapy</w:t>
      </w:r>
      <w:proofErr w:type="spellEnd"/>
      <w:r w:rsidRPr="00175174">
        <w:t xml:space="preserve"> Development) hier invulling aangegeven met het lanceren van de ‘Strategische </w:t>
      </w:r>
      <w:proofErr w:type="spellStart"/>
      <w:r w:rsidRPr="00175174">
        <w:t>onderzoeksagenda</w:t>
      </w:r>
      <w:proofErr w:type="spellEnd"/>
      <w:r w:rsidRPr="00175174">
        <w:t xml:space="preserve"> </w:t>
      </w:r>
      <w:proofErr w:type="spellStart"/>
      <w:r w:rsidRPr="00175174">
        <w:t>targeted</w:t>
      </w:r>
      <w:proofErr w:type="spellEnd"/>
      <w:r w:rsidRPr="00175174">
        <w:t xml:space="preserve"> radionuclide </w:t>
      </w:r>
      <w:proofErr w:type="spellStart"/>
      <w:r w:rsidRPr="00175174">
        <w:t>therapy</w:t>
      </w:r>
      <w:proofErr w:type="spellEnd"/>
      <w:r w:rsidRPr="00175174">
        <w:t xml:space="preserve">’. De </w:t>
      </w:r>
      <w:proofErr w:type="spellStart"/>
      <w:r w:rsidRPr="00175174">
        <w:t>onderzoeksagenda</w:t>
      </w:r>
      <w:proofErr w:type="spellEnd"/>
      <w:r w:rsidRPr="00175174">
        <w:t xml:space="preserve"> biedt een kader voor het Nederlandse veld van radionucliden therapieontwikkeling. Zo zijn in de agenda door de betrokken partijen verschillende kennislacunes en acties opgesteld die kunnen bijdragen aan prioritering en een goede samenwerking in het ecosysteem. </w:t>
      </w:r>
    </w:p>
    <w:p w:rsidRPr="00175174" w:rsidR="00EC4918" w:rsidP="00175174" w:rsidRDefault="00EC4918" w14:paraId="603D73DD" w14:textId="17578D8D">
      <w:pPr>
        <w:suppressAutoHyphens/>
        <w:spacing w:line="240" w:lineRule="atLeast"/>
        <w:jc w:val="left"/>
      </w:pPr>
      <w:r w:rsidRPr="00175174">
        <w:t xml:space="preserve">Met het delen van dit rapport </w:t>
      </w:r>
      <w:r w:rsidRPr="00175174" w:rsidR="008006A8">
        <w:t>wordt tegemoetgekomen</w:t>
      </w:r>
      <w:r w:rsidRPr="00175174">
        <w:t xml:space="preserve"> aan de toezegging van </w:t>
      </w:r>
      <w:r w:rsidRPr="00175174" w:rsidR="00875B5B">
        <w:t>de toenmalige minister van VWS</w:t>
      </w:r>
      <w:r w:rsidRPr="00175174">
        <w:t xml:space="preserve"> die hij tijdens het Commissiedebat Pallas van 11 februari </w:t>
      </w:r>
      <w:r w:rsidRPr="00175174" w:rsidR="00137082">
        <w:t>2026</w:t>
      </w:r>
      <w:r w:rsidRPr="00175174">
        <w:t xml:space="preserve"> heeft gedaan. In dit debat </w:t>
      </w:r>
      <w:r w:rsidRPr="00175174" w:rsidR="00875B5B">
        <w:t>is</w:t>
      </w:r>
      <w:r w:rsidRPr="00175174">
        <w:t xml:space="preserve"> toegezegd de </w:t>
      </w:r>
      <w:proofErr w:type="spellStart"/>
      <w:r w:rsidRPr="00175174">
        <w:t>onderzoeksagenda</w:t>
      </w:r>
      <w:proofErr w:type="spellEnd"/>
      <w:r w:rsidRPr="00175174">
        <w:t xml:space="preserve"> die voortkomt uit de </w:t>
      </w:r>
      <w:proofErr w:type="spellStart"/>
      <w:r w:rsidRPr="00175174">
        <w:t>roadmap</w:t>
      </w:r>
      <w:proofErr w:type="spellEnd"/>
      <w:r w:rsidRPr="00175174">
        <w:t xml:space="preserve"> nucleaire geneeskunde bij voortgangsrapportage met </w:t>
      </w:r>
      <w:r w:rsidRPr="00175174" w:rsidR="00875B5B">
        <w:t>de</w:t>
      </w:r>
      <w:r w:rsidRPr="00175174">
        <w:t xml:space="preserve"> Kamer te delen. De komende periode ga</w:t>
      </w:r>
      <w:r w:rsidRPr="00175174" w:rsidR="00875B5B">
        <w:t>at het kabinet</w:t>
      </w:r>
      <w:r w:rsidRPr="00175174">
        <w:t xml:space="preserve">, waar dat passend is, samen met FAST en de veldpartijen aan de slag met de actiepunten uit de </w:t>
      </w:r>
      <w:proofErr w:type="spellStart"/>
      <w:r w:rsidRPr="00175174">
        <w:t>onderzoeksagenda</w:t>
      </w:r>
      <w:proofErr w:type="spellEnd"/>
      <w:r w:rsidRPr="00175174">
        <w:t>.</w:t>
      </w:r>
    </w:p>
    <w:p w:rsidRPr="00175174" w:rsidR="00EC4918" w:rsidP="00175174" w:rsidRDefault="00EC4918" w14:paraId="60CB22E2" w14:textId="77777777">
      <w:pPr>
        <w:suppressAutoHyphens/>
        <w:spacing w:after="0" w:line="240" w:lineRule="atLeast"/>
        <w:jc w:val="left"/>
        <w:rPr>
          <w:i/>
          <w:iCs/>
        </w:rPr>
      </w:pPr>
      <w:r w:rsidRPr="00175174">
        <w:rPr>
          <w:i/>
          <w:iCs/>
        </w:rPr>
        <w:t>NUCMED-NL</w:t>
      </w:r>
    </w:p>
    <w:p w:rsidRPr="00175174" w:rsidR="00EC4918" w:rsidP="00175174" w:rsidRDefault="00EC4918" w14:paraId="4340D5D0" w14:textId="26DCF0E6">
      <w:pPr>
        <w:suppressAutoHyphens/>
        <w:spacing w:line="240" w:lineRule="atLeast"/>
        <w:jc w:val="left"/>
      </w:pPr>
      <w:r w:rsidRPr="00175174">
        <w:t xml:space="preserve">Een andere aanbeveling uit de </w:t>
      </w:r>
      <w:proofErr w:type="spellStart"/>
      <w:r w:rsidRPr="00175174">
        <w:rPr>
          <w:i/>
          <w:iCs/>
        </w:rPr>
        <w:t>Roadmap</w:t>
      </w:r>
      <w:proofErr w:type="spellEnd"/>
      <w:r w:rsidRPr="00175174">
        <w:rPr>
          <w:i/>
          <w:iCs/>
        </w:rPr>
        <w:t xml:space="preserve"> Nucleaire Geneesmiddelenontwikkeling </w:t>
      </w:r>
      <w:r w:rsidRPr="00175174">
        <w:t xml:space="preserve">betrof het ontwikkelen van een nationaal platform waarin samenwerking van de betrokken partijen tot stand kan komen en dit wordt gecoördineerd. Onder </w:t>
      </w:r>
      <w:r w:rsidRPr="00175174" w:rsidR="00875B5B">
        <w:t>coördinatie</w:t>
      </w:r>
      <w:r w:rsidRPr="00175174">
        <w:t xml:space="preserve"> van FAST wordt op dit moment het platform NUCMED-NL (</w:t>
      </w:r>
      <w:proofErr w:type="spellStart"/>
      <w:r w:rsidRPr="00175174">
        <w:t>Nuclear</w:t>
      </w:r>
      <w:proofErr w:type="spellEnd"/>
      <w:r w:rsidRPr="00175174">
        <w:t xml:space="preserve"> </w:t>
      </w:r>
      <w:proofErr w:type="spellStart"/>
      <w:r w:rsidRPr="00175174">
        <w:t>Medicine</w:t>
      </w:r>
      <w:proofErr w:type="spellEnd"/>
      <w:r w:rsidRPr="00175174">
        <w:t xml:space="preserve"> Development) opgestart en verder vormgegeven. Als onafhankelijk en verbindend nationaal coördinatieplatform gaat NUCMED-NL kennisdeling en coördinatie van gezamenlijke projecten in de keten van onderzoek tot patiëntenzorg faciliteren. NUCMED-NL gaat daarbij ook werken vanuit concrete casuïstiek: actuele vraagstukken en knelpunten uit de praktijk vormen mede het vertrekpunt, zodat praktijkervaring wordt vertaald naar structurele verbeteringen op systeemniveau. De komende periode staat in het teken van het verder uitbouwen van het platform en het omzetten van de </w:t>
      </w:r>
      <w:proofErr w:type="spellStart"/>
      <w:r w:rsidRPr="00175174">
        <w:t>onderzoeksagenda</w:t>
      </w:r>
      <w:proofErr w:type="spellEnd"/>
      <w:r w:rsidRPr="00175174">
        <w:t xml:space="preserve"> in gecoördineerde actie. </w:t>
      </w:r>
    </w:p>
    <w:p w:rsidRPr="00175174" w:rsidR="00A372A3" w:rsidP="00175174" w:rsidRDefault="00A372A3" w14:paraId="6027B782" w14:textId="2BFBFD5F">
      <w:pPr>
        <w:pStyle w:val="Kop2"/>
        <w:suppressAutoHyphens/>
        <w:jc w:val="left"/>
      </w:pPr>
      <w:bookmarkStart w:name="_Toc227050525" w:id="52"/>
      <w:r w:rsidRPr="00175174">
        <w:t xml:space="preserve">Ontwikkelingen in de brede context van </w:t>
      </w:r>
      <w:r w:rsidRPr="00175174" w:rsidR="00B24625">
        <w:t xml:space="preserve">de </w:t>
      </w:r>
      <w:r w:rsidRPr="00175174">
        <w:t>energievoorziening van Nederland</w:t>
      </w:r>
      <w:bookmarkEnd w:id="52"/>
    </w:p>
    <w:p w:rsidRPr="00175174" w:rsidR="00BC281C" w:rsidP="00175174" w:rsidRDefault="00652785" w14:paraId="37AE102D" w14:textId="32640186">
      <w:pPr>
        <w:suppressAutoHyphens/>
        <w:jc w:val="left"/>
      </w:pPr>
      <w:r w:rsidRPr="00175174">
        <w:t>Momenteel zijn hierover geen relevante ontwikkelingen te melden.</w:t>
      </w:r>
    </w:p>
    <w:p w:rsidRPr="00175174" w:rsidR="0075408C" w:rsidP="00175174" w:rsidRDefault="0075408C" w14:paraId="040C9248" w14:textId="5E14F0E0">
      <w:pPr>
        <w:pStyle w:val="Kop2"/>
        <w:suppressAutoHyphens/>
        <w:jc w:val="left"/>
      </w:pPr>
      <w:bookmarkStart w:name="_Toc227050526" w:id="53"/>
      <w:r w:rsidRPr="00175174">
        <w:t>Directe en indirecte publieke doelen</w:t>
      </w:r>
      <w:bookmarkStart w:name="_Hlk210569051" w:id="54"/>
      <w:bookmarkEnd w:id="53"/>
    </w:p>
    <w:p w:rsidRPr="00175174" w:rsidR="002B1213" w:rsidP="00175174" w:rsidRDefault="002B1213" w14:paraId="73E6282D" w14:textId="77777777">
      <w:pPr>
        <w:pStyle w:val="Geenafstand"/>
        <w:suppressAutoHyphens/>
        <w:autoSpaceDN/>
        <w:spacing w:line="240" w:lineRule="atLeast"/>
        <w:jc w:val="left"/>
        <w:textAlignment w:val="auto"/>
      </w:pPr>
    </w:p>
    <w:p w:rsidRPr="00175174" w:rsidR="002B1213" w:rsidP="00175174" w:rsidRDefault="008D66FC" w14:paraId="0F5FE1AB" w14:textId="21F1697B">
      <w:pPr>
        <w:pStyle w:val="Geenafstand"/>
        <w:numPr>
          <w:ilvl w:val="0"/>
          <w:numId w:val="25"/>
        </w:numPr>
        <w:suppressAutoHyphens/>
        <w:autoSpaceDN/>
        <w:spacing w:line="240" w:lineRule="exact"/>
        <w:ind w:left="284" w:hanging="284"/>
        <w:jc w:val="left"/>
        <w:textAlignment w:val="auto"/>
      </w:pPr>
      <w:r w:rsidRPr="00175174">
        <w:rPr>
          <w:i/>
          <w:iCs/>
        </w:rPr>
        <w:t>Voorzieningszekerheid medische isotopen</w:t>
      </w:r>
      <w:r w:rsidRPr="00175174" w:rsidR="002B1213">
        <w:t>: de PALLAS-reactor is specifiek ontworpen voor efficiënte grootschalige productie van isotopen en kan naar verwachting in 30% van de groeiende wereldvraag voorzien. Het gebruik van bestaande en de ontwikkeling van nieuwe nucleaire geneesmiddelen resulte</w:t>
      </w:r>
      <w:r w:rsidRPr="00175174" w:rsidR="00875B5B">
        <w:t>ren</w:t>
      </w:r>
      <w:r w:rsidRPr="00175174" w:rsidR="002B1213">
        <w:t xml:space="preserve"> in meer gezonde levensjaren en een hogere kwaliteit van leven van patiënten. Hierdoor neemt de volksgezondheid toe. </w:t>
      </w:r>
    </w:p>
    <w:p w:rsidRPr="00175174" w:rsidR="002B1213" w:rsidP="00175174" w:rsidRDefault="002B1213" w14:paraId="5A682CD5" w14:textId="15DE2307">
      <w:pPr>
        <w:pStyle w:val="Default"/>
        <w:numPr>
          <w:ilvl w:val="0"/>
          <w:numId w:val="25"/>
        </w:numPr>
        <w:suppressAutoHyphens/>
        <w:spacing w:line="240" w:lineRule="exact"/>
        <w:ind w:left="284" w:hanging="284"/>
        <w:rPr>
          <w:sz w:val="18"/>
          <w:szCs w:val="18"/>
        </w:rPr>
      </w:pPr>
      <w:r w:rsidRPr="00175174">
        <w:rPr>
          <w:i/>
          <w:iCs/>
          <w:sz w:val="18"/>
          <w:szCs w:val="18"/>
        </w:rPr>
        <w:t>Onderzoek, ontwikkeling en innovati</w:t>
      </w:r>
      <w:r w:rsidRPr="00175174" w:rsidR="008D66FC">
        <w:rPr>
          <w:i/>
          <w:iCs/>
          <w:sz w:val="18"/>
          <w:szCs w:val="18"/>
        </w:rPr>
        <w:t>e</w:t>
      </w:r>
      <w:r w:rsidRPr="00175174">
        <w:rPr>
          <w:sz w:val="18"/>
          <w:szCs w:val="18"/>
        </w:rPr>
        <w:t xml:space="preserve">: ongeveer 15% van de reactorcapaciteit zal worden ingezet voor nucleair-technologisch onderzoek en draagt daarmee bij aan (kennis)ontwikkeling en innovatie. Het onderzoek en de innovatie die het PALLAS-programma mogelijk maakt, spitsen zich toe op nucleaire geneeskunde, nucleaire energie, stralingsbescherming en de (veilige) omgang met nucleaire technologie. </w:t>
      </w:r>
    </w:p>
    <w:p w:rsidRPr="00175174" w:rsidR="002B1213" w:rsidP="00175174" w:rsidRDefault="002B1213" w14:paraId="23D200E5" w14:textId="15D46AE1">
      <w:pPr>
        <w:pStyle w:val="Default"/>
        <w:numPr>
          <w:ilvl w:val="0"/>
          <w:numId w:val="25"/>
        </w:numPr>
        <w:suppressAutoHyphens/>
        <w:spacing w:line="240" w:lineRule="exact"/>
        <w:ind w:left="284" w:hanging="284"/>
        <w:rPr>
          <w:sz w:val="18"/>
          <w:szCs w:val="18"/>
        </w:rPr>
      </w:pPr>
      <w:r w:rsidRPr="00175174">
        <w:rPr>
          <w:i/>
          <w:iCs/>
          <w:sz w:val="18"/>
          <w:szCs w:val="18"/>
        </w:rPr>
        <w:t>Hoogwaardige werkgelegenheid</w:t>
      </w:r>
      <w:r w:rsidRPr="00175174">
        <w:rPr>
          <w:sz w:val="18"/>
          <w:szCs w:val="18"/>
        </w:rPr>
        <w:t xml:space="preserve">: de Energy &amp; Health Campus </w:t>
      </w:r>
      <w:r w:rsidRPr="00175174" w:rsidR="00875B5B">
        <w:rPr>
          <w:sz w:val="18"/>
          <w:szCs w:val="18"/>
        </w:rPr>
        <w:t xml:space="preserve">in Petten </w:t>
      </w:r>
      <w:r w:rsidRPr="00175174">
        <w:rPr>
          <w:sz w:val="18"/>
          <w:szCs w:val="18"/>
        </w:rPr>
        <w:t xml:space="preserve">biedt nu direct werkgelegenheid aan circa 1.600 mensen. Continuering van de nucleair-medische faciliteiten zorgt op nationaal niveau voor creatie van hoogwaardige werkgelegenheid en een versterking van de Nederlandse life </w:t>
      </w:r>
      <w:proofErr w:type="spellStart"/>
      <w:r w:rsidRPr="00175174">
        <w:rPr>
          <w:sz w:val="18"/>
          <w:szCs w:val="18"/>
        </w:rPr>
        <w:t>sciences</w:t>
      </w:r>
      <w:proofErr w:type="spellEnd"/>
      <w:r w:rsidRPr="00175174">
        <w:rPr>
          <w:sz w:val="18"/>
          <w:szCs w:val="18"/>
        </w:rPr>
        <w:t xml:space="preserve"> </w:t>
      </w:r>
      <w:proofErr w:type="spellStart"/>
      <w:r w:rsidRPr="00175174">
        <w:rPr>
          <w:sz w:val="18"/>
          <w:szCs w:val="18"/>
        </w:rPr>
        <w:t>and</w:t>
      </w:r>
      <w:proofErr w:type="spellEnd"/>
      <w:r w:rsidRPr="00175174">
        <w:rPr>
          <w:sz w:val="18"/>
          <w:szCs w:val="18"/>
        </w:rPr>
        <w:t xml:space="preserve"> health sector en draagt op regionaal niveau bij aan meer werkgelegenheid en bedrijvigheid. </w:t>
      </w:r>
    </w:p>
    <w:p w:rsidRPr="00175174" w:rsidR="002B1213" w:rsidP="00175174" w:rsidRDefault="00DD3B46" w14:paraId="2C39AFCC" w14:textId="6BDFF7D8">
      <w:pPr>
        <w:pStyle w:val="Default"/>
        <w:numPr>
          <w:ilvl w:val="0"/>
          <w:numId w:val="25"/>
        </w:numPr>
        <w:suppressAutoHyphens/>
        <w:autoSpaceDN/>
        <w:spacing w:line="240" w:lineRule="exact"/>
        <w:ind w:left="284" w:hanging="284"/>
        <w:rPr>
          <w:sz w:val="18"/>
          <w:szCs w:val="18"/>
        </w:rPr>
      </w:pPr>
      <w:r w:rsidRPr="00175174">
        <w:rPr>
          <w:i/>
          <w:iCs/>
          <w:sz w:val="18"/>
          <w:szCs w:val="18"/>
        </w:rPr>
        <w:t>Essentiële</w:t>
      </w:r>
      <w:r w:rsidRPr="00175174" w:rsidR="002B1213">
        <w:rPr>
          <w:i/>
          <w:iCs/>
          <w:sz w:val="18"/>
          <w:szCs w:val="18"/>
        </w:rPr>
        <w:t xml:space="preserve"> nucleaire kennisbasis</w:t>
      </w:r>
      <w:r w:rsidRPr="00175174" w:rsidR="002B1213">
        <w:rPr>
          <w:sz w:val="18"/>
          <w:szCs w:val="18"/>
        </w:rPr>
        <w:t xml:space="preserve">: met het PALLAS-nieuwbouw programma </w:t>
      </w:r>
      <w:r w:rsidRPr="00175174" w:rsidR="00AB442A">
        <w:rPr>
          <w:sz w:val="18"/>
          <w:szCs w:val="18"/>
        </w:rPr>
        <w:t>wordt</w:t>
      </w:r>
      <w:r w:rsidRPr="00175174" w:rsidR="002B1213">
        <w:rPr>
          <w:sz w:val="18"/>
          <w:szCs w:val="18"/>
        </w:rPr>
        <w:t xml:space="preserve"> een essentiële nucleaire kennisbasis in Nederland behouden</w:t>
      </w:r>
      <w:r w:rsidRPr="00175174">
        <w:rPr>
          <w:sz w:val="18"/>
          <w:szCs w:val="18"/>
        </w:rPr>
        <w:t>, zowel op het gebied van medische toepassingen als op kernenergie en materiaalonderzoek.</w:t>
      </w:r>
      <w:r w:rsidRPr="00175174" w:rsidR="002B1213">
        <w:rPr>
          <w:sz w:val="18"/>
          <w:szCs w:val="18"/>
        </w:rPr>
        <w:t xml:space="preserve"> Onder andere met het PIONEER-onderzoeksprogramma </w:t>
      </w:r>
      <w:r w:rsidRPr="00175174" w:rsidR="00AB442A">
        <w:rPr>
          <w:sz w:val="18"/>
          <w:szCs w:val="18"/>
        </w:rPr>
        <w:t>d</w:t>
      </w:r>
      <w:r w:rsidRPr="00175174" w:rsidR="002B1213">
        <w:rPr>
          <w:sz w:val="18"/>
          <w:szCs w:val="18"/>
        </w:rPr>
        <w:t>at NRG PALLAS</w:t>
      </w:r>
      <w:r w:rsidRPr="00175174" w:rsidR="00DE3103">
        <w:rPr>
          <w:sz w:val="18"/>
          <w:szCs w:val="18"/>
        </w:rPr>
        <w:t xml:space="preserve"> B.V.</w:t>
      </w:r>
      <w:r w:rsidRPr="00175174" w:rsidR="002B1213">
        <w:rPr>
          <w:sz w:val="18"/>
          <w:szCs w:val="18"/>
        </w:rPr>
        <w:t xml:space="preserve"> in opdracht van </w:t>
      </w:r>
      <w:r w:rsidRPr="00175174" w:rsidR="00875B5B">
        <w:rPr>
          <w:sz w:val="18"/>
          <w:szCs w:val="18"/>
        </w:rPr>
        <w:t xml:space="preserve">de minister van </w:t>
      </w:r>
      <w:r w:rsidRPr="00175174" w:rsidR="002B1213">
        <w:rPr>
          <w:sz w:val="18"/>
          <w:szCs w:val="18"/>
        </w:rPr>
        <w:t xml:space="preserve">KGG uitvoert. Die kennisbasis is cruciaal voor andere nucleaire ambities van het kabinet, zoals de ontwikkeling en realisatie van kerncentrales voor CO₂-vrije energieopwekking. De minister van KGG heeft hierin het voortouw, en de minister van VWS kan als aandeelhouder van NRG PALLAS </w:t>
      </w:r>
      <w:r w:rsidRPr="00175174" w:rsidR="008524F0">
        <w:rPr>
          <w:sz w:val="18"/>
          <w:szCs w:val="18"/>
        </w:rPr>
        <w:t xml:space="preserve">B.V. </w:t>
      </w:r>
      <w:r w:rsidRPr="00175174" w:rsidR="002B1213">
        <w:rPr>
          <w:sz w:val="18"/>
          <w:szCs w:val="18"/>
        </w:rPr>
        <w:t>helpen om deze ambities waar mogelijk te ondersteunen.</w:t>
      </w:r>
      <w:r w:rsidRPr="00175174" w:rsidR="00AB442A">
        <w:rPr>
          <w:sz w:val="18"/>
          <w:szCs w:val="18"/>
        </w:rPr>
        <w:t xml:space="preserve"> </w:t>
      </w:r>
      <w:r w:rsidRPr="00175174" w:rsidR="002B1213">
        <w:rPr>
          <w:sz w:val="18"/>
          <w:szCs w:val="18"/>
        </w:rPr>
        <w:t xml:space="preserve">NRG PALLAS </w:t>
      </w:r>
      <w:r w:rsidRPr="00175174" w:rsidR="008524F0">
        <w:rPr>
          <w:sz w:val="18"/>
          <w:szCs w:val="18"/>
        </w:rPr>
        <w:t xml:space="preserve">B.V. </w:t>
      </w:r>
      <w:r w:rsidRPr="00175174" w:rsidR="002B1213">
        <w:rPr>
          <w:sz w:val="18"/>
          <w:szCs w:val="18"/>
        </w:rPr>
        <w:t>ondersteunt deze ambities nu al concreet door haar betrokkenheid bij alle grote nucleaire projecten in Nederland. NRG PALLAS</w:t>
      </w:r>
      <w:r w:rsidRPr="00175174" w:rsidR="008524F0">
        <w:rPr>
          <w:sz w:val="18"/>
          <w:szCs w:val="18"/>
        </w:rPr>
        <w:t xml:space="preserve"> B.V.</w:t>
      </w:r>
      <w:r w:rsidRPr="00175174" w:rsidR="002B1213">
        <w:rPr>
          <w:sz w:val="18"/>
          <w:szCs w:val="18"/>
        </w:rPr>
        <w:t xml:space="preserve"> heeft een leidende rol bij de levensduurverlenging van Borsele en is onderdeel van het consortium voor het nieuwe nucleaire programma van de Nederlandse overheid, voor de bouw van nieuwe kerncentrales. Verder is NRG PALLAS</w:t>
      </w:r>
      <w:r w:rsidRPr="00175174" w:rsidR="008524F0">
        <w:rPr>
          <w:sz w:val="18"/>
          <w:szCs w:val="18"/>
        </w:rPr>
        <w:t xml:space="preserve"> B.V.</w:t>
      </w:r>
      <w:r w:rsidRPr="00175174" w:rsidR="002B1213">
        <w:rPr>
          <w:sz w:val="18"/>
          <w:szCs w:val="18"/>
        </w:rPr>
        <w:t xml:space="preserve"> partner van </w:t>
      </w:r>
      <w:proofErr w:type="spellStart"/>
      <w:r w:rsidRPr="00175174" w:rsidR="002B1213">
        <w:rPr>
          <w:sz w:val="18"/>
          <w:szCs w:val="18"/>
        </w:rPr>
        <w:t>Thorizon</w:t>
      </w:r>
      <w:proofErr w:type="spellEnd"/>
      <w:r w:rsidRPr="00175174" w:rsidR="002B1213">
        <w:rPr>
          <w:sz w:val="18"/>
          <w:szCs w:val="18"/>
        </w:rPr>
        <w:t xml:space="preserve"> (een spin-off van NRG PALLAS</w:t>
      </w:r>
      <w:r w:rsidRPr="00175174" w:rsidR="008524F0">
        <w:rPr>
          <w:sz w:val="18"/>
          <w:szCs w:val="18"/>
        </w:rPr>
        <w:t xml:space="preserve"> B.V.</w:t>
      </w:r>
      <w:r w:rsidRPr="00175174" w:rsidR="002B1213">
        <w:rPr>
          <w:sz w:val="18"/>
          <w:szCs w:val="18"/>
        </w:rPr>
        <w:t xml:space="preserve">) en </w:t>
      </w:r>
      <w:proofErr w:type="spellStart"/>
      <w:r w:rsidRPr="00175174" w:rsidR="002B1213">
        <w:rPr>
          <w:sz w:val="18"/>
          <w:szCs w:val="18"/>
        </w:rPr>
        <w:t>Allseas</w:t>
      </w:r>
      <w:proofErr w:type="spellEnd"/>
      <w:r w:rsidRPr="00175174" w:rsidR="002B1213">
        <w:rPr>
          <w:sz w:val="18"/>
          <w:szCs w:val="18"/>
        </w:rPr>
        <w:t xml:space="preserve"> bij de ontwikkeling van Small Modular Reactors (</w:t>
      </w:r>
      <w:proofErr w:type="spellStart"/>
      <w:r w:rsidRPr="00175174" w:rsidR="002B1213">
        <w:rPr>
          <w:sz w:val="18"/>
          <w:szCs w:val="18"/>
        </w:rPr>
        <w:t>SMR’s</w:t>
      </w:r>
      <w:proofErr w:type="spellEnd"/>
      <w:r w:rsidRPr="00175174" w:rsidR="002B1213">
        <w:rPr>
          <w:sz w:val="18"/>
          <w:szCs w:val="18"/>
        </w:rPr>
        <w:t xml:space="preserve">). De unieke infrastructuur en aanwezige vergunningen bij NRG PALLAS </w:t>
      </w:r>
      <w:r w:rsidRPr="00175174" w:rsidR="008524F0">
        <w:rPr>
          <w:sz w:val="18"/>
          <w:szCs w:val="18"/>
        </w:rPr>
        <w:t xml:space="preserve">B.V. </w:t>
      </w:r>
      <w:r w:rsidRPr="00175174" w:rsidR="002B1213">
        <w:rPr>
          <w:sz w:val="18"/>
          <w:szCs w:val="18"/>
        </w:rPr>
        <w:t xml:space="preserve">zijn onmisbaar voor deze innovatieve partijen. </w:t>
      </w:r>
    </w:p>
    <w:bookmarkEnd w:id="54"/>
    <w:p w:rsidRPr="00175174" w:rsidR="002B1213" w:rsidP="00175174" w:rsidRDefault="00DD3B46" w14:paraId="4A61FC7A" w14:textId="72E00A07">
      <w:pPr>
        <w:pStyle w:val="Default"/>
        <w:numPr>
          <w:ilvl w:val="0"/>
          <w:numId w:val="25"/>
        </w:numPr>
        <w:suppressAutoHyphens/>
        <w:autoSpaceDN/>
        <w:spacing w:after="240" w:line="240" w:lineRule="exact"/>
        <w:ind w:left="284" w:hanging="284"/>
        <w:rPr>
          <w:sz w:val="18"/>
          <w:szCs w:val="18"/>
        </w:rPr>
      </w:pPr>
      <w:r w:rsidRPr="00175174">
        <w:rPr>
          <w:i/>
          <w:iCs/>
          <w:sz w:val="18"/>
          <w:szCs w:val="18"/>
        </w:rPr>
        <w:t>Meerwaarde voor bouw andere kerncentrales</w:t>
      </w:r>
      <w:r w:rsidRPr="00175174">
        <w:rPr>
          <w:sz w:val="18"/>
          <w:szCs w:val="18"/>
        </w:rPr>
        <w:t xml:space="preserve">: </w:t>
      </w:r>
      <w:r w:rsidRPr="00175174" w:rsidR="002B1213">
        <w:rPr>
          <w:sz w:val="18"/>
          <w:szCs w:val="18"/>
        </w:rPr>
        <w:t>NRG PALLAS</w:t>
      </w:r>
      <w:r w:rsidRPr="00175174" w:rsidR="00DE3103">
        <w:rPr>
          <w:sz w:val="18"/>
          <w:szCs w:val="18"/>
        </w:rPr>
        <w:t xml:space="preserve"> B.V.</w:t>
      </w:r>
      <w:r w:rsidRPr="00175174" w:rsidR="002B1213">
        <w:rPr>
          <w:sz w:val="18"/>
          <w:szCs w:val="18"/>
        </w:rPr>
        <w:t xml:space="preserve"> zelf </w:t>
      </w:r>
      <w:r w:rsidRPr="00175174">
        <w:rPr>
          <w:sz w:val="18"/>
          <w:szCs w:val="18"/>
        </w:rPr>
        <w:t xml:space="preserve">is </w:t>
      </w:r>
      <w:r w:rsidRPr="00175174" w:rsidR="002B1213">
        <w:rPr>
          <w:sz w:val="18"/>
          <w:szCs w:val="18"/>
        </w:rPr>
        <w:t>opdrachtgever voor de bouw van de PALLAS-reactor.</w:t>
      </w:r>
      <w:r w:rsidRPr="00175174">
        <w:rPr>
          <w:sz w:val="18"/>
          <w:szCs w:val="18"/>
        </w:rPr>
        <w:t xml:space="preserve"> </w:t>
      </w:r>
      <w:r w:rsidRPr="00175174" w:rsidR="002B1213">
        <w:rPr>
          <w:sz w:val="18"/>
          <w:szCs w:val="18"/>
        </w:rPr>
        <w:t>In dit kader is recent het rapport Bouwen op Ervaring van onderzoeksbureau SEO uitgekomen. Dit rapport toont aan dat de ervaringen die opgedaan zijn met het PALLAS-programma van grote meerwaarde kunnen zijn voor de bouw van nieuwe kerncentrales in Nederland. Conform de motie Krul (</w:t>
      </w:r>
      <w:r w:rsidRPr="00175174" w:rsidR="008D66FC">
        <w:rPr>
          <w:sz w:val="18"/>
          <w:szCs w:val="18"/>
        </w:rPr>
        <w:t>K</w:t>
      </w:r>
      <w:r w:rsidRPr="00175174" w:rsidR="002B1213">
        <w:rPr>
          <w:sz w:val="18"/>
          <w:szCs w:val="18"/>
        </w:rPr>
        <w:t xml:space="preserve">amerstuk 33 626, </w:t>
      </w:r>
      <w:r w:rsidRPr="00175174" w:rsidR="008D66FC">
        <w:rPr>
          <w:sz w:val="18"/>
          <w:szCs w:val="18"/>
        </w:rPr>
        <w:t>n</w:t>
      </w:r>
      <w:r w:rsidRPr="00175174" w:rsidR="002B1213">
        <w:rPr>
          <w:sz w:val="18"/>
          <w:szCs w:val="18"/>
        </w:rPr>
        <w:t>r</w:t>
      </w:r>
      <w:r w:rsidRPr="00175174" w:rsidR="008D66FC">
        <w:rPr>
          <w:sz w:val="18"/>
          <w:szCs w:val="18"/>
        </w:rPr>
        <w:t>.</w:t>
      </w:r>
      <w:r w:rsidRPr="00175174" w:rsidR="002B1213">
        <w:rPr>
          <w:sz w:val="18"/>
          <w:szCs w:val="18"/>
        </w:rPr>
        <w:t xml:space="preserve"> 39) zal de minister van VWS samen met de bewindspersonen van KGG en EZK voor de zomer van 2026 een reactie op dit rapport te geven waarin wordt aangegeven hoe de opgedane ervaring met de bouw van de PALLAS-reactor zal worden behouden en ingezet. </w:t>
      </w:r>
    </w:p>
    <w:p w:rsidRPr="00175174" w:rsidR="008773D1" w:rsidP="00175174" w:rsidRDefault="008773D1" w14:paraId="6ADD8294" w14:textId="4D52FE03">
      <w:pPr>
        <w:pStyle w:val="Default"/>
        <w:suppressAutoHyphens/>
        <w:autoSpaceDN/>
        <w:spacing w:after="240" w:line="240" w:lineRule="exact"/>
        <w:rPr>
          <w:sz w:val="18"/>
          <w:szCs w:val="18"/>
        </w:rPr>
      </w:pPr>
      <w:r w:rsidRPr="00175174">
        <w:rPr>
          <w:sz w:val="18"/>
          <w:szCs w:val="18"/>
        </w:rPr>
        <w:t xml:space="preserve">De </w:t>
      </w:r>
      <w:r w:rsidRPr="00175174" w:rsidR="008D66FC">
        <w:rPr>
          <w:sz w:val="18"/>
          <w:szCs w:val="18"/>
        </w:rPr>
        <w:t xml:space="preserve">op de VWS-begroting </w:t>
      </w:r>
      <w:r w:rsidRPr="00175174">
        <w:rPr>
          <w:sz w:val="18"/>
          <w:szCs w:val="18"/>
        </w:rPr>
        <w:t xml:space="preserve">gereserveerde middelen </w:t>
      </w:r>
      <w:r w:rsidRPr="00175174" w:rsidR="008D66FC">
        <w:rPr>
          <w:sz w:val="18"/>
          <w:szCs w:val="18"/>
        </w:rPr>
        <w:t xml:space="preserve">voor het PALLAS-nieuwbouwprogramma </w:t>
      </w:r>
      <w:r w:rsidRPr="00175174">
        <w:rPr>
          <w:sz w:val="18"/>
          <w:szCs w:val="18"/>
        </w:rPr>
        <w:t xml:space="preserve">zijn gerelateerd aan het eerste </w:t>
      </w:r>
      <w:r w:rsidRPr="00175174" w:rsidR="008D66FC">
        <w:rPr>
          <w:sz w:val="18"/>
          <w:szCs w:val="18"/>
        </w:rPr>
        <w:t>en tweede doel</w:t>
      </w:r>
      <w:r w:rsidRPr="00175174">
        <w:rPr>
          <w:sz w:val="18"/>
          <w:szCs w:val="18"/>
        </w:rPr>
        <w:t>.</w:t>
      </w:r>
    </w:p>
    <w:p w:rsidRPr="00175174" w:rsidR="00875B5B" w:rsidP="00175174" w:rsidRDefault="00875B5B" w14:paraId="0865944B" w14:textId="77777777">
      <w:pPr>
        <w:suppressAutoHyphens/>
        <w:spacing w:after="0" w:line="240" w:lineRule="auto"/>
        <w:jc w:val="left"/>
        <w:rPr>
          <w:color w:val="00305B"/>
        </w:rPr>
      </w:pPr>
      <w:bookmarkStart w:name="_Toc227050527" w:id="55"/>
      <w:r w:rsidRPr="00175174">
        <w:br w:type="page"/>
      </w:r>
    </w:p>
    <w:p w:rsidRPr="00175174" w:rsidR="007D7BC0" w:rsidP="00175174" w:rsidRDefault="007D7BC0" w14:paraId="0A1CB581" w14:textId="0A34030C">
      <w:pPr>
        <w:pStyle w:val="Kop2"/>
        <w:suppressAutoHyphens/>
        <w:jc w:val="left"/>
      </w:pPr>
      <w:r w:rsidRPr="00175174">
        <w:t xml:space="preserve">Ontmanteling bestaande </w:t>
      </w:r>
      <w:r w:rsidRPr="00175174" w:rsidR="0057624F">
        <w:t>HFR</w:t>
      </w:r>
      <w:bookmarkEnd w:id="55"/>
    </w:p>
    <w:p w:rsidRPr="00175174" w:rsidR="007D7BC0" w:rsidP="00175174" w:rsidRDefault="003C6BE6" w14:paraId="5C9508F9" w14:textId="395BF522">
      <w:pPr>
        <w:pStyle w:val="Geenafstand"/>
        <w:suppressAutoHyphens/>
        <w:spacing w:after="240" w:line="240" w:lineRule="atLeast"/>
        <w:jc w:val="left"/>
      </w:pPr>
      <w:r w:rsidRPr="00175174">
        <w:t xml:space="preserve">Het eigenaarschap van de </w:t>
      </w:r>
      <w:r w:rsidRPr="00175174" w:rsidR="0057624F">
        <w:t>HFR</w:t>
      </w:r>
      <w:r w:rsidRPr="00175174">
        <w:t xml:space="preserve"> ligt bij het Joint Research Centre </w:t>
      </w:r>
      <w:r w:rsidRPr="00175174" w:rsidR="00DC5271">
        <w:t xml:space="preserve">(JRC) </w:t>
      </w:r>
      <w:r w:rsidRPr="00175174">
        <w:t>van de Europese Commissie. Conform het Verdrag van Petten</w:t>
      </w:r>
      <w:r w:rsidRPr="00175174" w:rsidR="0081145E">
        <w:t xml:space="preserve"> van 1961</w:t>
      </w:r>
      <w:r w:rsidRPr="00175174" w:rsidR="0081145E">
        <w:rPr>
          <w:rStyle w:val="Voetnootmarkering"/>
        </w:rPr>
        <w:footnoteReference w:id="8"/>
      </w:r>
      <w:r w:rsidRPr="00175174" w:rsidR="007D7BC0">
        <w:t xml:space="preserve"> </w:t>
      </w:r>
      <w:r w:rsidRPr="00175174">
        <w:t>en</w:t>
      </w:r>
      <w:r w:rsidRPr="00175174" w:rsidR="003F691C">
        <w:t xml:space="preserve"> een</w:t>
      </w:r>
      <w:r w:rsidRPr="00175174" w:rsidR="009633B7">
        <w:t xml:space="preserve"> </w:t>
      </w:r>
      <w:r w:rsidRPr="00175174" w:rsidR="003F691C">
        <w:t>Verordening van de Raad van de Europese Unie</w:t>
      </w:r>
      <w:r w:rsidRPr="00175174" w:rsidR="0081145E">
        <w:rPr>
          <w:rStyle w:val="Voetnootmarkering"/>
        </w:rPr>
        <w:footnoteReference w:id="9"/>
      </w:r>
      <w:r w:rsidRPr="00175174" w:rsidR="0081145E">
        <w:t xml:space="preserve"> </w:t>
      </w:r>
      <w:r w:rsidRPr="00175174">
        <w:t xml:space="preserve">is het </w:t>
      </w:r>
      <w:r w:rsidRPr="00175174" w:rsidR="00DC5271">
        <w:t>JRC</w:t>
      </w:r>
      <w:r w:rsidRPr="00175174">
        <w:t xml:space="preserve"> verantwoordelijk voor de ontmanteling van de </w:t>
      </w:r>
      <w:r w:rsidRPr="00175174" w:rsidR="0057624F">
        <w:t>HFR</w:t>
      </w:r>
      <w:r w:rsidRPr="00175174">
        <w:t xml:space="preserve">. </w:t>
      </w:r>
      <w:r w:rsidRPr="00175174" w:rsidR="003F691C">
        <w:t>De ontmanteling zal pas aanvangen nadat alle (productie-) activiteiten van de HFR zijn overgedaan naar de nieuw PALLAS-reactor of andere nucleaire installaties van NRG PALLAS</w:t>
      </w:r>
      <w:r w:rsidRPr="00175174" w:rsidR="000B473C">
        <w:t xml:space="preserve"> B.V.</w:t>
      </w:r>
    </w:p>
    <w:p w:rsidRPr="00175174" w:rsidR="009B1351" w:rsidP="00175174" w:rsidRDefault="008C6645" w14:paraId="26A778C1" w14:textId="76C39039">
      <w:pPr>
        <w:pStyle w:val="Geenafstand"/>
        <w:suppressAutoHyphens/>
        <w:jc w:val="left"/>
        <w:rPr>
          <w:i/>
          <w:iCs/>
        </w:rPr>
      </w:pPr>
      <w:r w:rsidRPr="00175174">
        <w:rPr>
          <w:i/>
          <w:iCs/>
        </w:rPr>
        <w:t>Ontwikkelingen</w:t>
      </w:r>
      <w:r w:rsidRPr="00175174" w:rsidR="00462575">
        <w:rPr>
          <w:i/>
          <w:iCs/>
        </w:rPr>
        <w:t xml:space="preserve"> in Europa</w:t>
      </w:r>
      <w:r w:rsidRPr="00175174" w:rsidR="007D338C">
        <w:rPr>
          <w:i/>
          <w:iCs/>
        </w:rPr>
        <w:t xml:space="preserve"> </w:t>
      </w:r>
      <w:r w:rsidRPr="00175174">
        <w:rPr>
          <w:i/>
          <w:iCs/>
        </w:rPr>
        <w:t>ten aanzien van het</w:t>
      </w:r>
      <w:r w:rsidRPr="00175174" w:rsidR="007D338C">
        <w:rPr>
          <w:i/>
          <w:iCs/>
        </w:rPr>
        <w:t xml:space="preserve"> wetsvoorstel nucleaire veiligheid en ontmanteling</w:t>
      </w:r>
    </w:p>
    <w:p w:rsidRPr="00175174" w:rsidR="007D338C" w:rsidP="00175174" w:rsidRDefault="007D338C" w14:paraId="1241519A" w14:textId="7199C09C">
      <w:pPr>
        <w:pStyle w:val="Geenafstand"/>
        <w:suppressAutoHyphens/>
        <w:spacing w:after="240" w:line="240" w:lineRule="exact"/>
        <w:jc w:val="left"/>
      </w:pPr>
      <w:r w:rsidRPr="00175174">
        <w:t>De Nederlandse inbreng in de Raadswerkgroep Atoomzaken verloopt volgens het</w:t>
      </w:r>
      <w:r w:rsidRPr="00175174" w:rsidR="002C2344">
        <w:t xml:space="preserve"> </w:t>
      </w:r>
      <w:r w:rsidRPr="00175174">
        <w:t>BNC-fiche</w:t>
      </w:r>
      <w:r w:rsidRPr="00175174" w:rsidR="00462575">
        <w:t xml:space="preserve"> (Kamerstuk 22 112, nr. 4203</w:t>
      </w:r>
      <w:r w:rsidRPr="00175174" w:rsidR="005754FE">
        <w:t>).</w:t>
      </w:r>
      <w:r w:rsidRPr="00175174" w:rsidR="002C2344">
        <w:t xml:space="preserve"> </w:t>
      </w:r>
      <w:r w:rsidRPr="00175174">
        <w:t>Nederland zet in op het behoud van de tekst in de huidige wetgeving</w:t>
      </w:r>
      <w:r w:rsidRPr="00175174" w:rsidR="002C2344">
        <w:t xml:space="preserve"> </w:t>
      </w:r>
      <w:r w:rsidRPr="00175174">
        <w:t>(met betrekking tot het interne onderdeel van het wetsvoorstel INSC-D) en houdt</w:t>
      </w:r>
      <w:r w:rsidRPr="00175174" w:rsidR="002C2344">
        <w:t xml:space="preserve"> </w:t>
      </w:r>
      <w:r w:rsidRPr="00175174">
        <w:t>vast aan een vrijwillige discussie tussen gastland en de Commissie en het JRC</w:t>
      </w:r>
      <w:r w:rsidRPr="00175174" w:rsidR="002C2344">
        <w:t xml:space="preserve"> </w:t>
      </w:r>
      <w:r w:rsidRPr="00175174">
        <w:t xml:space="preserve">over een optionele overdracht. Nederland heeft in de Raad </w:t>
      </w:r>
      <w:r w:rsidRPr="00175174" w:rsidR="009E65DF">
        <w:t xml:space="preserve">nogmaals </w:t>
      </w:r>
      <w:r w:rsidRPr="00175174">
        <w:t>aangegeven al besloten</w:t>
      </w:r>
      <w:r w:rsidRPr="00175174" w:rsidR="009E65DF">
        <w:t xml:space="preserve"> </w:t>
      </w:r>
      <w:r w:rsidRPr="00175174">
        <w:t xml:space="preserve">te hebben geen overdracht te willen. </w:t>
      </w:r>
    </w:p>
    <w:p w:rsidRPr="00175174" w:rsidR="00EE1457" w:rsidP="00175174" w:rsidRDefault="007D7BC0" w14:paraId="57FCF8E8" w14:textId="75A029A7">
      <w:pPr>
        <w:pStyle w:val="Kop2"/>
        <w:suppressAutoHyphens/>
        <w:jc w:val="left"/>
      </w:pPr>
      <w:bookmarkStart w:name="_Toc227050528" w:id="56"/>
      <w:r w:rsidRPr="00175174">
        <w:t>Risico’s</w:t>
      </w:r>
      <w:bookmarkStart w:name="_Ref208998807" w:id="57"/>
      <w:bookmarkEnd w:id="56"/>
    </w:p>
    <w:p w:rsidRPr="00175174" w:rsidR="00A30D58" w:rsidP="00175174" w:rsidRDefault="00A30D58" w14:paraId="102D4C53" w14:textId="713A89D0">
      <w:pPr>
        <w:suppressAutoHyphens/>
        <w:spacing w:after="0"/>
        <w:jc w:val="left"/>
      </w:pPr>
      <w:r w:rsidRPr="00175174">
        <w:t xml:space="preserve">De businesscase van elke onderneming kent risico’s, zo ook de </w:t>
      </w:r>
      <w:r w:rsidRPr="00175174" w:rsidR="006F7471">
        <w:t xml:space="preserve">huidige </w:t>
      </w:r>
      <w:r w:rsidRPr="00175174">
        <w:t xml:space="preserve">businesscase van NRG PALLAS B.V. </w:t>
      </w:r>
      <w:r w:rsidRPr="00175174" w:rsidR="006F7471">
        <w:t>uit 2025.</w:t>
      </w:r>
      <w:r w:rsidRPr="00175174">
        <w:t xml:space="preserve"> In de achtergrondanalyse bij het kabinetsbesluit van september 2022 is daar </w:t>
      </w:r>
      <w:r w:rsidRPr="00175174" w:rsidR="00BB6E7E">
        <w:t xml:space="preserve">al </w:t>
      </w:r>
      <w:r w:rsidRPr="00175174">
        <w:t>op ingegaan. Daarin is beschreven dat het met name gaat om:</w:t>
      </w:r>
    </w:p>
    <w:p w:rsidRPr="00175174" w:rsidR="00A30D58" w:rsidP="00175174" w:rsidRDefault="00167A77" w14:paraId="34D5C52C" w14:textId="60AD6D99">
      <w:pPr>
        <w:pStyle w:val="Lijstalinea"/>
        <w:numPr>
          <w:ilvl w:val="0"/>
          <w:numId w:val="20"/>
        </w:numPr>
        <w:suppressAutoHyphens/>
        <w:jc w:val="left"/>
      </w:pPr>
      <w:r w:rsidRPr="00175174">
        <w:t>Risico’s op</w:t>
      </w:r>
      <w:r w:rsidRPr="00175174" w:rsidR="00BB6E7E">
        <w:t xml:space="preserve"> </w:t>
      </w:r>
      <w:r w:rsidRPr="00175174" w:rsidR="00A30D58">
        <w:t>hogere kosten voor het nieuwbouwprogramma;</w:t>
      </w:r>
      <w:r w:rsidRPr="00175174">
        <w:t xml:space="preserve"> </w:t>
      </w:r>
    </w:p>
    <w:p w:rsidRPr="00175174" w:rsidR="00A30D58" w:rsidP="00175174" w:rsidRDefault="0044644A" w14:paraId="07FA0B98" w14:textId="54F95251">
      <w:pPr>
        <w:pStyle w:val="Lijstalinea"/>
        <w:numPr>
          <w:ilvl w:val="0"/>
          <w:numId w:val="20"/>
        </w:numPr>
        <w:suppressAutoHyphens/>
        <w:jc w:val="left"/>
      </w:pPr>
      <w:r w:rsidRPr="00175174">
        <w:t>Risico’s</w:t>
      </w:r>
      <w:r w:rsidRPr="00175174" w:rsidR="00A30D58">
        <w:t xml:space="preserve"> die samenhangen met de huidige activiteiten van NRG en de (leeftijd van) de HFR; </w:t>
      </w:r>
    </w:p>
    <w:p w:rsidRPr="00175174" w:rsidR="00A30D58" w:rsidP="00175174" w:rsidRDefault="0044644A" w14:paraId="1E9B7B32" w14:textId="2296341E">
      <w:pPr>
        <w:pStyle w:val="Lijstalinea"/>
        <w:numPr>
          <w:ilvl w:val="0"/>
          <w:numId w:val="20"/>
        </w:numPr>
        <w:suppressAutoHyphens/>
        <w:jc w:val="left"/>
      </w:pPr>
      <w:r w:rsidRPr="00175174">
        <w:t>Marktrisico’s</w:t>
      </w:r>
      <w:r w:rsidRPr="00175174" w:rsidR="00940BE9">
        <w:t>.</w:t>
      </w:r>
      <w:r w:rsidRPr="00175174" w:rsidR="00A30D58">
        <w:t xml:space="preserve"> </w:t>
      </w:r>
    </w:p>
    <w:p w:rsidRPr="00175174" w:rsidR="00BD08AF" w:rsidP="00175174" w:rsidRDefault="00A30D58" w14:paraId="72AC96B2" w14:textId="613CA874">
      <w:pPr>
        <w:suppressAutoHyphens/>
        <w:jc w:val="left"/>
      </w:pPr>
      <w:r w:rsidRPr="00175174">
        <w:t xml:space="preserve">In paragraaf </w:t>
      </w:r>
      <w:r w:rsidRPr="00175174" w:rsidR="00DC2B47">
        <w:fldChar w:fldCharType="begin"/>
      </w:r>
      <w:r w:rsidRPr="00175174" w:rsidR="00DC2B47">
        <w:instrText xml:space="preserve"> REF _Ref224037130 \r \h </w:instrText>
      </w:r>
      <w:r w:rsidRPr="00175174" w:rsidR="00175174">
        <w:instrText xml:space="preserve"> \* MERGEFORMAT </w:instrText>
      </w:r>
      <w:r w:rsidRPr="00175174" w:rsidR="00DC2B47">
        <w:fldChar w:fldCharType="separate"/>
      </w:r>
      <w:r w:rsidR="00175174">
        <w:t>3.5</w:t>
      </w:r>
      <w:r w:rsidRPr="00175174" w:rsidR="00DC2B47">
        <w:fldChar w:fldCharType="end"/>
      </w:r>
      <w:r w:rsidRPr="00175174" w:rsidR="00DC2B47">
        <w:t xml:space="preserve"> </w:t>
      </w:r>
      <w:r w:rsidRPr="00175174">
        <w:t xml:space="preserve">zijn de risico’s van het PALLAS- nieuwbouwprogramma aan de orde geweest. Hieronder wordt ingegaan op de andere risico’s van de businesscase van NRG PALLAS B.V. Daarnaast wordt aangegeven welke politiek-bestuurlijke risico’s, exogene risico’s en risico’s en kansen ten aanzien van de samenwerking binnen het Rijk </w:t>
      </w:r>
      <w:r w:rsidRPr="00175174" w:rsidR="003358B9">
        <w:t>bestaan.</w:t>
      </w:r>
    </w:p>
    <w:p w:rsidRPr="00175174" w:rsidR="007D7BC0" w:rsidP="00175174" w:rsidRDefault="007D7BC0" w14:paraId="1C8E0D82" w14:textId="517445D3">
      <w:pPr>
        <w:pStyle w:val="Kop3"/>
        <w:suppressAutoHyphens/>
        <w:rPr>
          <w:lang w:val="en-US"/>
        </w:rPr>
      </w:pPr>
      <w:r w:rsidRPr="00175174">
        <w:rPr>
          <w:lang w:val="en-US"/>
        </w:rPr>
        <w:t xml:space="preserve">Risico’s </w:t>
      </w:r>
      <w:proofErr w:type="spellStart"/>
      <w:r w:rsidRPr="00175174">
        <w:rPr>
          <w:lang w:val="en-US"/>
        </w:rPr>
        <w:t>businesscase</w:t>
      </w:r>
      <w:proofErr w:type="spellEnd"/>
      <w:r w:rsidRPr="00175174">
        <w:rPr>
          <w:lang w:val="en-US"/>
        </w:rPr>
        <w:t xml:space="preserve"> NRG PALLAS B.V.</w:t>
      </w:r>
    </w:p>
    <w:p w:rsidRPr="00175174" w:rsidR="006037DB" w:rsidP="00175174" w:rsidRDefault="00A30D58" w14:paraId="3B322B5A" w14:textId="45D1FFAA">
      <w:pPr>
        <w:pStyle w:val="Plattetekst"/>
        <w:suppressAutoHyphens/>
        <w:spacing w:line="240" w:lineRule="exact"/>
        <w:jc w:val="left"/>
      </w:pPr>
      <w:r w:rsidRPr="00175174">
        <w:t xml:space="preserve">Op dit moment produceert NRG PALLAS B.V. medische isotopen met de meer dan 60 jaar oude HFR. Gezien de leeftijd van de HFR is er een reële kans dat deze ongepland stil staat wat kan leiden tot omzetverlies en contractuele boetes. Ook is er een reële kans dat de ongeplande stilstand kan leiden tot extra (onverwachte) onderhoudskosten. De afgelopen jaren heeft de HFR al een paar keer ongepland stil gestaan. Op verzoek van VWS heeft de technisch adviseur </w:t>
      </w:r>
      <w:proofErr w:type="spellStart"/>
      <w:r w:rsidRPr="00175174">
        <w:t>Mott</w:t>
      </w:r>
      <w:proofErr w:type="spellEnd"/>
      <w:r w:rsidRPr="00175174">
        <w:t xml:space="preserve"> </w:t>
      </w:r>
      <w:proofErr w:type="spellStart"/>
      <w:r w:rsidRPr="00175174">
        <w:t>MacDonald</w:t>
      </w:r>
      <w:proofErr w:type="spellEnd"/>
      <w:r w:rsidRPr="00175174">
        <w:t xml:space="preserve"> in 2025 bekeken of het onderhoudsprogramma bijdraagt om dit risico te beperken. </w:t>
      </w:r>
      <w:proofErr w:type="spellStart"/>
      <w:r w:rsidRPr="00175174">
        <w:t>Mott</w:t>
      </w:r>
      <w:proofErr w:type="spellEnd"/>
      <w:r w:rsidRPr="00175174">
        <w:t xml:space="preserve"> </w:t>
      </w:r>
      <w:proofErr w:type="spellStart"/>
      <w:r w:rsidRPr="00175174">
        <w:t>MacDonald</w:t>
      </w:r>
      <w:proofErr w:type="spellEnd"/>
      <w:r w:rsidRPr="00175174">
        <w:t xml:space="preserve"> concludeert dat de Hoge Flux Reactor (HFR) in Petten naar verwachting veilig en betrouwbaar kan blijven functioneren tot 2030, mits het huidige onderhouds- en beheersregime wordt voortgezet.</w:t>
      </w:r>
    </w:p>
    <w:p w:rsidRPr="00175174" w:rsidR="00DC5271" w:rsidP="00175174" w:rsidRDefault="00DC5271" w14:paraId="5120E16A" w14:textId="77777777">
      <w:pPr>
        <w:pStyle w:val="Plattetekst"/>
        <w:suppressAutoHyphens/>
        <w:spacing w:after="0" w:line="240" w:lineRule="exact"/>
        <w:jc w:val="left"/>
        <w:rPr>
          <w:i/>
          <w:iCs/>
        </w:rPr>
      </w:pPr>
    </w:p>
    <w:p w:rsidRPr="00175174" w:rsidR="008F227E" w:rsidP="00175174" w:rsidRDefault="00A30D58" w14:paraId="26E5A5BD" w14:textId="17D7E961">
      <w:pPr>
        <w:pStyle w:val="Plattetekst"/>
        <w:suppressAutoHyphens/>
        <w:spacing w:after="0" w:line="240" w:lineRule="exact"/>
        <w:jc w:val="left"/>
        <w:rPr>
          <w:i/>
          <w:iCs/>
        </w:rPr>
      </w:pPr>
      <w:r w:rsidRPr="00175174">
        <w:rPr>
          <w:i/>
          <w:iCs/>
        </w:rPr>
        <w:t>Marktrisico’s</w:t>
      </w:r>
    </w:p>
    <w:p w:rsidRPr="00175174" w:rsidR="00A30D58" w:rsidP="00175174" w:rsidRDefault="00A30D58" w14:paraId="68267B9E" w14:textId="455E4F34">
      <w:pPr>
        <w:pStyle w:val="Plattetekst"/>
        <w:suppressAutoHyphens/>
        <w:spacing w:line="240" w:lineRule="exact"/>
        <w:jc w:val="left"/>
      </w:pPr>
      <w:r w:rsidRPr="00175174">
        <w:t>De businesscase van NRG PALLAS</w:t>
      </w:r>
      <w:r w:rsidRPr="00175174" w:rsidR="008524F0">
        <w:t xml:space="preserve"> B.V.</w:t>
      </w:r>
      <w:r w:rsidRPr="00175174">
        <w:t xml:space="preserve"> is in belangrijke mate gebaseerd op de groeiende vraag naar therapeutische isotopen en verkoop van het diagnostische isotoop Molybdeen-99. Hiervoor dient ver in de toekomst gekeken te worden. Indien de vraag niet groeit zoals verwacht</w:t>
      </w:r>
      <w:r w:rsidRPr="00175174" w:rsidR="00940BE9">
        <w:t>,</w:t>
      </w:r>
      <w:r w:rsidRPr="00175174">
        <w:t xml:space="preserve"> gaat dit ten koste van de businesscase. Indien alternatieven/concurrenten (eerder) succesvoller worden dan nu geprognosticeerd, verliest NRG PALLAS B.V. marktaandeel. </w:t>
      </w:r>
    </w:p>
    <w:p w:rsidRPr="00175174" w:rsidR="00A30D58" w:rsidP="00175174" w:rsidRDefault="00A30D58" w14:paraId="5916E090" w14:textId="5F28611D">
      <w:pPr>
        <w:pStyle w:val="Plattetekst"/>
        <w:suppressAutoHyphens/>
        <w:spacing w:line="240" w:lineRule="exact"/>
        <w:jc w:val="left"/>
      </w:pPr>
      <w:r w:rsidRPr="00175174">
        <w:t xml:space="preserve">Daarnaast zijn er op de korte termijn onzekerheden over </w:t>
      </w:r>
      <w:r w:rsidRPr="00175174" w:rsidR="00D6317B">
        <w:t>het gedrag</w:t>
      </w:r>
      <w:r w:rsidRPr="00175174">
        <w:t xml:space="preserve"> van de andere onderzoeksreactoren. De productie van isotopen voor medische toepassing is</w:t>
      </w:r>
      <w:r w:rsidRPr="00175174" w:rsidR="00D6317B">
        <w:t xml:space="preserve"> in het verleden</w:t>
      </w:r>
      <w:r w:rsidRPr="00175174">
        <w:t xml:space="preserve"> ontstaan als een ‘bijproduct’</w:t>
      </w:r>
      <w:r w:rsidRPr="00175174" w:rsidR="00D6317B">
        <w:t xml:space="preserve"> </w:t>
      </w:r>
      <w:r w:rsidRPr="00175174">
        <w:t>van door overheden gesubsidieerde onderzoeksreactoren</w:t>
      </w:r>
      <w:r w:rsidRPr="00175174" w:rsidR="00D6317B">
        <w:t>. Die voerden</w:t>
      </w:r>
      <w:r w:rsidRPr="00175174">
        <w:t xml:space="preserve"> met name energie- en materiaalonderzoek uit, waardoor de werkelijke kostprijs van medische isotopen niet in rekening werd gebracht bij de klant, de farmaceuten. De overheden hebben zich de afgelopen jaren ingezet voor een betere werking van de markt voor medische isotopen met als doel om te komen tot een prijs voor het bestralen van isotopen die kostendekkend is voor de reactor (full </w:t>
      </w:r>
      <w:proofErr w:type="spellStart"/>
      <w:r w:rsidRPr="00175174">
        <w:t>cost</w:t>
      </w:r>
      <w:proofErr w:type="spellEnd"/>
      <w:r w:rsidRPr="00175174">
        <w:t xml:space="preserve"> recovery). Deze inzet heeft tot hogere prijzen geleid. Echter, zolang de </w:t>
      </w:r>
      <w:r w:rsidRPr="00175174" w:rsidR="00D6317B">
        <w:t>‘</w:t>
      </w:r>
      <w:r w:rsidRPr="00175174">
        <w:t>oude</w:t>
      </w:r>
      <w:r w:rsidRPr="00175174" w:rsidR="00D6317B">
        <w:t>’</w:t>
      </w:r>
      <w:r w:rsidRPr="00175174">
        <w:t xml:space="preserve"> onderzoeksreactoren operationeel zijn blijft het risico op prijsdruk bestaan. </w:t>
      </w:r>
    </w:p>
    <w:p w:rsidRPr="00175174" w:rsidR="00A30D58" w:rsidP="00175174" w:rsidRDefault="00A30D58" w14:paraId="604D1250" w14:textId="2252B96A">
      <w:pPr>
        <w:pStyle w:val="Plattetekst"/>
        <w:suppressAutoHyphens/>
        <w:spacing w:line="240" w:lineRule="exact"/>
        <w:jc w:val="left"/>
      </w:pPr>
      <w:r w:rsidRPr="00175174">
        <w:t>Een nieuwe ontwikkeling is dat er nieuwe partijen zijn toegetreden voor het op dit moment belangrijkste therapeutische isotoop Lutetium-177</w:t>
      </w:r>
      <w:r w:rsidRPr="00175174" w:rsidR="00D6317B">
        <w:t xml:space="preserve">, te weten de </w:t>
      </w:r>
      <w:r w:rsidRPr="00175174">
        <w:t>CANDU-reactoren. Deze energie-reactoren kunnen na relatief kleine investering het isotoop Lutetium-177 produceren,</w:t>
      </w:r>
      <w:r w:rsidRPr="00175174" w:rsidR="00D6317B">
        <w:t xml:space="preserve"> dat</w:t>
      </w:r>
      <w:r w:rsidRPr="00175174">
        <w:t xml:space="preserve"> door een farmaceut gebruikt kan worden voor de productie van een nucleair geneesmiddel. Hun schaal en beschikbaarheid bieden de mogelijkheid om grote volumes van deze isotopen te produceren</w:t>
      </w:r>
      <w:r w:rsidRPr="00175174" w:rsidR="00167A77">
        <w:t xml:space="preserve"> tegen relatief lage marginale kosten</w:t>
      </w:r>
      <w:r w:rsidRPr="00175174">
        <w:t xml:space="preserve">. Deze ontwikkeling heeft twee mogelijke gevolgen voor de businesscase van NRG PALLAS B.V., namelijk prijsdruk en verlies van marktaandeel op de markt voor Lutetium-177. </w:t>
      </w:r>
    </w:p>
    <w:p w:rsidRPr="00175174" w:rsidR="007D7BC0" w:rsidP="00175174" w:rsidRDefault="00F13D4A" w14:paraId="221F883B" w14:textId="1CFDBA25">
      <w:pPr>
        <w:pStyle w:val="Plattetekst"/>
        <w:suppressAutoHyphens/>
        <w:spacing w:line="240" w:lineRule="exact"/>
        <w:jc w:val="left"/>
      </w:pPr>
      <w:r w:rsidRPr="00175174">
        <w:t xml:space="preserve">Momenteel analyseert </w:t>
      </w:r>
      <w:r w:rsidRPr="00175174" w:rsidR="007D7BC0">
        <w:t>NRG PALLAS</w:t>
      </w:r>
      <w:r w:rsidRPr="00175174" w:rsidR="00885AC0">
        <w:t xml:space="preserve"> B.V.</w:t>
      </w:r>
      <w:r w:rsidRPr="00175174">
        <w:t xml:space="preserve"> de effecten van deze marktontwikkelingen en de gevolgen hiervan voor </w:t>
      </w:r>
      <w:r w:rsidRPr="00175174" w:rsidR="00A957CF">
        <w:t xml:space="preserve">de huidige </w:t>
      </w:r>
      <w:r w:rsidRPr="00175174">
        <w:t xml:space="preserve">businesscase. NRG PALLAS B.V. </w:t>
      </w:r>
      <w:r w:rsidRPr="00175174" w:rsidR="00FC36D8">
        <w:t>heeft aangegeven</w:t>
      </w:r>
      <w:r w:rsidRPr="00175174">
        <w:t xml:space="preserve"> om op basis </w:t>
      </w:r>
      <w:r w:rsidRPr="00175174" w:rsidR="00C91608">
        <w:t xml:space="preserve">van de uitkomsten </w:t>
      </w:r>
      <w:r w:rsidRPr="00175174" w:rsidR="007D7BC0">
        <w:t>maatregelen</w:t>
      </w:r>
      <w:r w:rsidRPr="00175174" w:rsidR="00FC36D8">
        <w:t xml:space="preserve"> te</w:t>
      </w:r>
      <w:r w:rsidRPr="00175174">
        <w:t xml:space="preserve"> treffen</w:t>
      </w:r>
      <w:r w:rsidRPr="00175174" w:rsidR="007D7BC0">
        <w:t>. Er wordt gewerkt aan strategische partnerschappen met farmaceutische bedrijven en industriële spelers. Daarnaast wordt geïnvesteerd in verwerking en productie van een breder portfolio van isotopen (o</w:t>
      </w:r>
      <w:r w:rsidRPr="00175174" w:rsidR="00D6317B">
        <w:t>nder andere</w:t>
      </w:r>
      <w:r w:rsidRPr="00175174" w:rsidR="007D7BC0">
        <w:t xml:space="preserve"> alfa-therapieën) om minder afhankelijk te zijn van één marktsegment.</w:t>
      </w:r>
    </w:p>
    <w:p w:rsidRPr="00175174" w:rsidR="007D7BC0" w:rsidP="00175174" w:rsidRDefault="007D7BC0" w14:paraId="5D02509A" w14:textId="29A8C824">
      <w:pPr>
        <w:pStyle w:val="Kop3"/>
        <w:suppressAutoHyphens/>
      </w:pPr>
      <w:r w:rsidRPr="00175174">
        <w:t>Politiek-bestuurlijke risico’s</w:t>
      </w:r>
      <w:r w:rsidRPr="00175174">
        <w:br/>
      </w:r>
      <w:r w:rsidRPr="00175174">
        <w:rPr>
          <w:rStyle w:val="PlattetekstChar"/>
          <w:i w:val="0"/>
          <w:iCs w:val="0"/>
          <w:color w:val="auto"/>
        </w:rPr>
        <w:t xml:space="preserve">De politiek-bestuurlijke besluitvorming rond </w:t>
      </w:r>
      <w:r w:rsidRPr="00175174" w:rsidR="00B8107A">
        <w:rPr>
          <w:rStyle w:val="PlattetekstChar"/>
          <w:i w:val="0"/>
          <w:iCs w:val="0"/>
          <w:color w:val="auto"/>
        </w:rPr>
        <w:t xml:space="preserve">het </w:t>
      </w:r>
      <w:r w:rsidRPr="00175174">
        <w:rPr>
          <w:rStyle w:val="PlattetekstChar"/>
          <w:i w:val="0"/>
          <w:iCs w:val="0"/>
          <w:color w:val="auto"/>
        </w:rPr>
        <w:t>PALLAS-nieuwbouwprogramma is afgerond. Verdere risico’s op dat vlak zijn niet voorzien.</w:t>
      </w:r>
      <w:r w:rsidRPr="00175174">
        <w:rPr>
          <w:color w:val="auto"/>
          <w:lang w:eastAsia="en-US"/>
        </w:rPr>
        <w:t xml:space="preserve"> </w:t>
      </w:r>
    </w:p>
    <w:p w:rsidRPr="00175174" w:rsidR="007D7BC0" w:rsidP="00175174" w:rsidRDefault="007D7BC0" w14:paraId="5566EAA4" w14:textId="77777777">
      <w:pPr>
        <w:pStyle w:val="Kop3"/>
        <w:suppressAutoHyphens/>
      </w:pPr>
      <w:r w:rsidRPr="00175174">
        <w:t>Exogene risico’s</w:t>
      </w:r>
    </w:p>
    <w:p w:rsidRPr="00175174" w:rsidR="007D7BC0" w:rsidP="00175174" w:rsidRDefault="007D7BC0" w14:paraId="684484FF" w14:textId="77777777">
      <w:pPr>
        <w:pStyle w:val="Plattetekst"/>
        <w:suppressAutoHyphens/>
        <w:spacing w:after="0" w:line="240" w:lineRule="atLeast"/>
        <w:jc w:val="left"/>
      </w:pPr>
      <w:r w:rsidRPr="00175174">
        <w:t xml:space="preserve">Exogene risico’s zijn risico’s waarbij de oorzaak extern is en waarvan NRG PALLAS B.V. de oorzaak niet kan beïnvloeden. </w:t>
      </w:r>
    </w:p>
    <w:p w:rsidRPr="00175174" w:rsidR="007D7BC0" w:rsidP="00175174" w:rsidRDefault="007D7BC0" w14:paraId="00DE2767" w14:textId="77777777">
      <w:pPr>
        <w:pStyle w:val="Plattetekst"/>
        <w:suppressAutoHyphens/>
        <w:spacing w:after="0" w:line="240" w:lineRule="atLeast"/>
        <w:jc w:val="left"/>
      </w:pPr>
      <w:r w:rsidRPr="00175174">
        <w:t>Belangrijke exogene risico’s zijn:</w:t>
      </w:r>
    </w:p>
    <w:p w:rsidRPr="00175174" w:rsidR="00A1720A" w:rsidP="00175174" w:rsidRDefault="002F5112" w14:paraId="1360DC8E" w14:textId="77777777">
      <w:pPr>
        <w:pStyle w:val="Plattetekst"/>
        <w:numPr>
          <w:ilvl w:val="0"/>
          <w:numId w:val="18"/>
        </w:numPr>
        <w:suppressAutoHyphens/>
        <w:spacing w:after="0" w:line="240" w:lineRule="atLeast"/>
        <w:jc w:val="left"/>
      </w:pPr>
      <w:r w:rsidRPr="00175174">
        <w:t>T</w:t>
      </w:r>
      <w:r w:rsidRPr="00175174" w:rsidR="007D7BC0">
        <w:t xml:space="preserve">oekomstige </w:t>
      </w:r>
      <w:r w:rsidRPr="00175174">
        <w:t>prijsstijgingen van grondstoffen, materialen en werkzaamheden (arbeid), die nodig zijn voor het ontwerp, de bouw en ingebruikstelling van nucleaire reactoren wereldwijd, zijn</w:t>
      </w:r>
      <w:r w:rsidRPr="00175174" w:rsidR="007D7BC0">
        <w:t xml:space="preserve"> groter zijn dan de door </w:t>
      </w:r>
      <w:r w:rsidRPr="00175174">
        <w:t xml:space="preserve">het ministerie van Financiën </w:t>
      </w:r>
      <w:r w:rsidRPr="00175174" w:rsidR="007D7BC0">
        <w:t>toegekende indexatie.</w:t>
      </w:r>
      <w:bookmarkStart w:name="_Hlk211875169" w:id="58"/>
    </w:p>
    <w:p w:rsidRPr="00175174" w:rsidR="00A47916" w:rsidP="00175174" w:rsidRDefault="00A47916" w14:paraId="50878AFC" w14:textId="66DBA549">
      <w:pPr>
        <w:pStyle w:val="Plattetekst"/>
        <w:numPr>
          <w:ilvl w:val="0"/>
          <w:numId w:val="18"/>
        </w:numPr>
        <w:suppressAutoHyphens/>
        <w:spacing w:after="0" w:line="240" w:lineRule="atLeast"/>
        <w:jc w:val="left"/>
      </w:pPr>
      <w:r w:rsidRPr="00175174">
        <w:t xml:space="preserve">Staatssteunrisico: </w:t>
      </w:r>
      <w:r w:rsidRPr="00175174" w:rsidR="004717FC">
        <w:t>m</w:t>
      </w:r>
      <w:r w:rsidRPr="00175174">
        <w:t>omenteel wordt bekeken of</w:t>
      </w:r>
      <w:r w:rsidRPr="00175174" w:rsidR="004717FC">
        <w:t xml:space="preserve"> voor de</w:t>
      </w:r>
      <w:r w:rsidRPr="00175174">
        <w:t xml:space="preserve"> meerkosten voor de realisatie van het PALLAS-nieuwbouwprogramma</w:t>
      </w:r>
      <w:r w:rsidRPr="00175174" w:rsidR="009247A7">
        <w:t xml:space="preserve"> (€ 42</w:t>
      </w:r>
      <w:r w:rsidRPr="00175174" w:rsidR="004717FC">
        <w:t>1</w:t>
      </w:r>
      <w:r w:rsidRPr="00175174" w:rsidR="009247A7">
        <w:t xml:space="preserve"> mln.)</w:t>
      </w:r>
      <w:r w:rsidRPr="00175174">
        <w:t xml:space="preserve"> en </w:t>
      </w:r>
      <w:r w:rsidRPr="00175174" w:rsidR="00D948DA">
        <w:t xml:space="preserve">een deel van </w:t>
      </w:r>
      <w:r w:rsidRPr="00175174">
        <w:t>de instandhouding van de liquiditeitspositie van NRG PALLAS B.V.</w:t>
      </w:r>
      <w:r w:rsidRPr="00175174" w:rsidR="009247A7">
        <w:t xml:space="preserve"> (</w:t>
      </w:r>
      <w:r w:rsidRPr="00175174" w:rsidR="00D948DA">
        <w:t xml:space="preserve">in totaal </w:t>
      </w:r>
      <w:r w:rsidRPr="00175174" w:rsidR="009247A7">
        <w:t>€ 76 mln.)</w:t>
      </w:r>
      <w:r w:rsidRPr="00175174">
        <w:t xml:space="preserve">, aanvullende staatssteungoedkeuring </w:t>
      </w:r>
      <w:r w:rsidRPr="00175174" w:rsidR="008764D6">
        <w:t>vereist</w:t>
      </w:r>
      <w:r w:rsidRPr="00175174">
        <w:t xml:space="preserve"> is</w:t>
      </w:r>
      <w:r w:rsidRPr="00175174" w:rsidR="008764D6">
        <w:t xml:space="preserve"> en verkregen kan worden.</w:t>
      </w:r>
    </w:p>
    <w:bookmarkEnd w:id="58"/>
    <w:p w:rsidRPr="00175174" w:rsidR="007D7BC0" w:rsidP="00175174" w:rsidRDefault="002F5112" w14:paraId="68D99C53" w14:textId="0D1DEFDC">
      <w:pPr>
        <w:pStyle w:val="Plattetekst"/>
        <w:numPr>
          <w:ilvl w:val="0"/>
          <w:numId w:val="18"/>
        </w:numPr>
        <w:suppressAutoHyphens/>
        <w:spacing w:after="0" w:line="240" w:lineRule="atLeast"/>
        <w:jc w:val="left"/>
      </w:pPr>
      <w:r w:rsidRPr="00175174">
        <w:t>Toekomstige</w:t>
      </w:r>
      <w:r w:rsidRPr="00175174" w:rsidR="007D7BC0">
        <w:t xml:space="preserve"> wijzigingen van omgevingsvergunningen.</w:t>
      </w:r>
    </w:p>
    <w:p w:rsidRPr="00175174" w:rsidR="00C76457" w:rsidP="00175174" w:rsidRDefault="00C76457" w14:paraId="4D400C31" w14:textId="779D7C1B">
      <w:pPr>
        <w:pStyle w:val="Plattetekst"/>
        <w:numPr>
          <w:ilvl w:val="0"/>
          <w:numId w:val="18"/>
        </w:numPr>
        <w:suppressAutoHyphens/>
        <w:spacing w:after="0" w:line="240" w:lineRule="atLeast"/>
        <w:jc w:val="left"/>
      </w:pPr>
      <w:r w:rsidRPr="00175174">
        <w:t>Geopolitieke ontwikkelingen</w:t>
      </w:r>
      <w:r w:rsidRPr="00175174" w:rsidR="00485E11">
        <w:t>.</w:t>
      </w:r>
    </w:p>
    <w:p w:rsidRPr="00175174" w:rsidR="00E34940" w:rsidP="00175174" w:rsidRDefault="00E34940" w14:paraId="4ECA9EA4" w14:textId="03FC5E60">
      <w:pPr>
        <w:pStyle w:val="Plattetekst"/>
        <w:numPr>
          <w:ilvl w:val="0"/>
          <w:numId w:val="18"/>
        </w:numPr>
        <w:suppressAutoHyphens/>
        <w:spacing w:after="0" w:line="240" w:lineRule="atLeast"/>
        <w:jc w:val="left"/>
      </w:pPr>
      <w:r w:rsidRPr="00175174">
        <w:t>Extreem weer.</w:t>
      </w:r>
    </w:p>
    <w:p w:rsidRPr="00175174" w:rsidR="00E34940" w:rsidP="00175174" w:rsidRDefault="00E34940" w14:paraId="6CCBD7E4" w14:textId="55673380">
      <w:pPr>
        <w:pStyle w:val="Plattetekst"/>
        <w:numPr>
          <w:ilvl w:val="0"/>
          <w:numId w:val="18"/>
        </w:numPr>
        <w:suppressAutoHyphens/>
        <w:spacing w:after="0" w:line="240" w:lineRule="atLeast"/>
        <w:jc w:val="left"/>
      </w:pPr>
      <w:r w:rsidRPr="00175174">
        <w:t>Pandemie.</w:t>
      </w:r>
    </w:p>
    <w:p w:rsidRPr="00175174" w:rsidR="00E34940" w:rsidP="00175174" w:rsidRDefault="00E34940" w14:paraId="0C79691D" w14:textId="447C44CB">
      <w:pPr>
        <w:pStyle w:val="Plattetekst"/>
        <w:numPr>
          <w:ilvl w:val="0"/>
          <w:numId w:val="18"/>
        </w:numPr>
        <w:suppressAutoHyphens/>
        <w:spacing w:after="0" w:line="240" w:lineRule="atLeast"/>
        <w:jc w:val="left"/>
      </w:pPr>
      <w:r w:rsidRPr="00175174">
        <w:t>Terroristische aanslagen.</w:t>
      </w:r>
    </w:p>
    <w:p w:rsidRPr="00175174" w:rsidR="00B04575" w:rsidP="00175174" w:rsidRDefault="00B04575" w14:paraId="0558942F" w14:textId="06972CBB">
      <w:pPr>
        <w:pStyle w:val="Kop3"/>
        <w:suppressAutoHyphens/>
      </w:pPr>
      <w:bookmarkStart w:name="_Hlk224292686" w:id="59"/>
      <w:bookmarkStart w:name="_Hlk210570688" w:id="60"/>
      <w:r w:rsidRPr="00175174">
        <w:t xml:space="preserve">Risico’s </w:t>
      </w:r>
      <w:r w:rsidRPr="00175174" w:rsidR="00D6317B">
        <w:t>e</w:t>
      </w:r>
      <w:r w:rsidRPr="00175174">
        <w:t>n kansen ten aanzien van de samenwerking binnen het Rijk</w:t>
      </w:r>
    </w:p>
    <w:bookmarkEnd w:id="59"/>
    <w:p w:rsidRPr="00175174" w:rsidR="00E22A25" w:rsidP="00175174" w:rsidRDefault="00E22A25" w14:paraId="3705C71E" w14:textId="4C356F2A">
      <w:pPr>
        <w:pStyle w:val="Geenafstand"/>
        <w:suppressAutoHyphens/>
        <w:spacing w:line="240" w:lineRule="atLeast"/>
        <w:jc w:val="left"/>
        <w:rPr>
          <w:i/>
          <w:iCs/>
        </w:rPr>
      </w:pPr>
      <w:r w:rsidRPr="00175174">
        <w:rPr>
          <w:i/>
          <w:iCs/>
        </w:rPr>
        <w:t>Overlegstructuur Rijk</w:t>
      </w:r>
    </w:p>
    <w:p w:rsidRPr="00175174" w:rsidR="00E14DA2" w:rsidP="00175174" w:rsidRDefault="00E14DA2" w14:paraId="4CC98DCA" w14:textId="6724BBD1">
      <w:pPr>
        <w:pStyle w:val="Geenafstand"/>
        <w:suppressAutoHyphens/>
        <w:spacing w:line="240" w:lineRule="atLeast"/>
        <w:jc w:val="left"/>
      </w:pPr>
      <w:bookmarkStart w:name="_Hlk210834538" w:id="61"/>
      <w:bookmarkEnd w:id="60"/>
      <w:r w:rsidRPr="00175174">
        <w:t>In 2023 is besloten om een interdepartementa</w:t>
      </w:r>
      <w:r w:rsidRPr="00175174" w:rsidR="002F5112">
        <w:t>le</w:t>
      </w:r>
      <w:r w:rsidRPr="00175174">
        <w:t xml:space="preserve"> nucleair</w:t>
      </w:r>
      <w:r w:rsidRPr="00175174" w:rsidR="002F5112">
        <w:t>e</w:t>
      </w:r>
      <w:r w:rsidRPr="00175174">
        <w:t xml:space="preserve"> overlegstructuur in te stellen. Met deze nieuwe overlegstructuur kan beter invulling gegeven worden aan de ambities van de Rijksoverheid op de diverse nucleaire dossiers.</w:t>
      </w:r>
      <w:r w:rsidRPr="00175174" w:rsidR="00F102C3">
        <w:t xml:space="preserve"> Het stelt de betrokken partijen in staat om beter af te stemmen, kennis te delen en besluitvorming voor te bereiden.</w:t>
      </w:r>
      <w:r w:rsidRPr="00175174">
        <w:t xml:space="preserve"> </w:t>
      </w:r>
      <w:r w:rsidRPr="00175174" w:rsidR="00D6317B">
        <w:t xml:space="preserve">De ministeries van </w:t>
      </w:r>
      <w:r w:rsidRPr="00175174" w:rsidR="006C7ED4">
        <w:t xml:space="preserve">KGG, </w:t>
      </w:r>
      <w:proofErr w:type="spellStart"/>
      <w:r w:rsidRPr="00175174" w:rsidR="006C7ED4">
        <w:t>I</w:t>
      </w:r>
      <w:r w:rsidRPr="00175174" w:rsidR="00D6317B">
        <w:t>en</w:t>
      </w:r>
      <w:r w:rsidRPr="00175174" w:rsidR="006C7ED4">
        <w:t>W</w:t>
      </w:r>
      <w:proofErr w:type="spellEnd"/>
      <w:r w:rsidRPr="00175174" w:rsidR="006C7ED4">
        <w:t xml:space="preserve">, </w:t>
      </w:r>
      <w:r w:rsidRPr="00175174" w:rsidR="004301C0">
        <w:t>Financiën</w:t>
      </w:r>
      <w:r w:rsidRPr="00175174" w:rsidR="00103C8F">
        <w:t xml:space="preserve"> en</w:t>
      </w:r>
      <w:r w:rsidRPr="00175174" w:rsidR="006C7ED4">
        <w:t xml:space="preserve"> VWS</w:t>
      </w:r>
      <w:r w:rsidRPr="00175174" w:rsidR="00103C8F">
        <w:t xml:space="preserve"> zijn betrokken als de</w:t>
      </w:r>
      <w:r w:rsidRPr="00175174" w:rsidR="00D6317B">
        <w:t>elnemer</w:t>
      </w:r>
      <w:r w:rsidRPr="00175174" w:rsidR="00103C8F">
        <w:t xml:space="preserve">, </w:t>
      </w:r>
      <w:r w:rsidRPr="00175174" w:rsidR="00FD1479">
        <w:t xml:space="preserve">de </w:t>
      </w:r>
      <w:r w:rsidRPr="00175174" w:rsidR="006C7ED4">
        <w:t xml:space="preserve">ANVS en </w:t>
      </w:r>
      <w:r w:rsidRPr="00175174" w:rsidR="00103C8F">
        <w:t xml:space="preserve">het ministerie </w:t>
      </w:r>
      <w:r w:rsidRPr="00175174" w:rsidR="006C7ED4">
        <w:t>A</w:t>
      </w:r>
      <w:r w:rsidRPr="00175174" w:rsidR="00103C8F">
        <w:t>lgemene Zaken</w:t>
      </w:r>
      <w:r w:rsidRPr="00175174" w:rsidR="006C7ED4">
        <w:t xml:space="preserve"> als adviseur</w:t>
      </w:r>
      <w:r w:rsidRPr="00175174" w:rsidR="00103C8F">
        <w:t xml:space="preserve"> en de ministeries van Buitenlandse Zaken</w:t>
      </w:r>
      <w:r w:rsidRPr="00175174" w:rsidR="00D6317B">
        <w:t xml:space="preserve"> (BZ)</w:t>
      </w:r>
      <w:r w:rsidRPr="00175174" w:rsidR="006C7ED4">
        <w:t>, S</w:t>
      </w:r>
      <w:r w:rsidRPr="00175174" w:rsidR="00103C8F">
        <w:t>ociale Zaken en Werkgelegenheid</w:t>
      </w:r>
      <w:r w:rsidRPr="00175174" w:rsidR="00D6317B">
        <w:t xml:space="preserve"> (SZW)</w:t>
      </w:r>
      <w:r w:rsidRPr="00175174" w:rsidR="006C7ED4">
        <w:t>, O</w:t>
      </w:r>
      <w:r w:rsidRPr="00175174" w:rsidR="002F5112">
        <w:t>nderwijs, Cultuur en Wetenschap</w:t>
      </w:r>
      <w:r w:rsidRPr="00175174" w:rsidR="00D6317B">
        <w:t xml:space="preserve"> (OCW)</w:t>
      </w:r>
      <w:r w:rsidRPr="00175174" w:rsidR="006C7ED4">
        <w:t>, B</w:t>
      </w:r>
      <w:r w:rsidRPr="00175174" w:rsidR="00103C8F">
        <w:t>innenlandse Zaken en Koninkrijksrelaties</w:t>
      </w:r>
      <w:r w:rsidRPr="00175174" w:rsidR="006C7ED4">
        <w:t xml:space="preserve"> </w:t>
      </w:r>
      <w:r w:rsidRPr="00175174" w:rsidR="00D6317B">
        <w:t xml:space="preserve">(BZK) </w:t>
      </w:r>
      <w:r w:rsidRPr="00175174" w:rsidR="006C7ED4">
        <w:t xml:space="preserve">en </w:t>
      </w:r>
      <w:r w:rsidRPr="00175174" w:rsidR="00103C8F">
        <w:t>Volkshuisvesting en Ruimtelijke Ordening</w:t>
      </w:r>
      <w:r w:rsidRPr="00175174" w:rsidR="00D6317B">
        <w:t xml:space="preserve"> (VRO)</w:t>
      </w:r>
      <w:r w:rsidRPr="00175174" w:rsidR="006C7ED4">
        <w:t xml:space="preserve"> als agenda-lid</w:t>
      </w:r>
      <w:r w:rsidRPr="00175174" w:rsidR="00F102C3">
        <w:t>.</w:t>
      </w:r>
      <w:r w:rsidRPr="00175174" w:rsidR="00AA1F9C">
        <w:t xml:space="preserve"> </w:t>
      </w:r>
      <w:r w:rsidRPr="00175174" w:rsidR="00103C8F">
        <w:t>De</w:t>
      </w:r>
      <w:r w:rsidRPr="00175174">
        <w:t xml:space="preserve"> overlegstructuur bestaat uit drie niveaus, namelijk het Directeur-Generaal Overleg, het Directeurenoverleg en </w:t>
      </w:r>
      <w:r w:rsidRPr="00175174" w:rsidR="009B2400">
        <w:t>vijf</w:t>
      </w:r>
      <w:r w:rsidRPr="00175174">
        <w:t xml:space="preserve"> onderliggende werkgroepen op ambtelijk niveau. </w:t>
      </w:r>
      <w:r w:rsidRPr="00175174" w:rsidR="00F102C3">
        <w:t>E</w:t>
      </w:r>
      <w:r w:rsidRPr="00175174">
        <w:t>r</w:t>
      </w:r>
      <w:r w:rsidRPr="00175174" w:rsidR="00F102C3">
        <w:t xml:space="preserve"> is</w:t>
      </w:r>
      <w:r w:rsidRPr="00175174">
        <w:t xml:space="preserve"> gekozen om de werkgroepen in te delen naar d</w:t>
      </w:r>
      <w:r w:rsidRPr="00175174" w:rsidR="002F5112">
        <w:t>e volgende</w:t>
      </w:r>
      <w:r w:rsidRPr="00175174">
        <w:t xml:space="preserve"> vijf thema’s</w:t>
      </w:r>
      <w:r w:rsidRPr="00175174" w:rsidR="002F5112">
        <w:t>:</w:t>
      </w:r>
    </w:p>
    <w:p w:rsidRPr="00175174" w:rsidR="00E14DA2" w:rsidP="00175174" w:rsidRDefault="00E14DA2" w14:paraId="6B514C02" w14:textId="77777777">
      <w:pPr>
        <w:pStyle w:val="Geenafstand"/>
        <w:numPr>
          <w:ilvl w:val="0"/>
          <w:numId w:val="21"/>
        </w:numPr>
        <w:suppressAutoHyphens/>
        <w:spacing w:line="240" w:lineRule="atLeast"/>
        <w:jc w:val="left"/>
      </w:pPr>
      <w:r w:rsidRPr="00175174">
        <w:t xml:space="preserve">Financiering en </w:t>
      </w:r>
      <w:r w:rsidRPr="00175174" w:rsidR="002F5112">
        <w:t>g</w:t>
      </w:r>
      <w:r w:rsidRPr="00175174">
        <w:t>overnance</w:t>
      </w:r>
      <w:r w:rsidRPr="00175174" w:rsidR="00103C8F">
        <w:t>.</w:t>
      </w:r>
    </w:p>
    <w:p w:rsidRPr="00175174" w:rsidR="00E14DA2" w:rsidP="00175174" w:rsidRDefault="00E14DA2" w14:paraId="28DDC976" w14:textId="77777777">
      <w:pPr>
        <w:pStyle w:val="Geenafstand"/>
        <w:numPr>
          <w:ilvl w:val="0"/>
          <w:numId w:val="21"/>
        </w:numPr>
        <w:suppressAutoHyphens/>
        <w:spacing w:line="240" w:lineRule="atLeast"/>
        <w:jc w:val="left"/>
      </w:pPr>
      <w:r w:rsidRPr="00175174">
        <w:t>Kennisbasis nucleaire technologie &amp; stralingsbescherming</w:t>
      </w:r>
      <w:r w:rsidRPr="00175174" w:rsidR="00103C8F">
        <w:t>.</w:t>
      </w:r>
      <w:r w:rsidRPr="00175174">
        <w:t xml:space="preserve"> </w:t>
      </w:r>
    </w:p>
    <w:p w:rsidRPr="00175174" w:rsidR="00E14DA2" w:rsidP="00175174" w:rsidRDefault="00E14DA2" w14:paraId="5F867A86" w14:textId="77777777">
      <w:pPr>
        <w:pStyle w:val="Geenafstand"/>
        <w:numPr>
          <w:ilvl w:val="0"/>
          <w:numId w:val="21"/>
        </w:numPr>
        <w:suppressAutoHyphens/>
        <w:spacing w:line="240" w:lineRule="atLeast"/>
        <w:jc w:val="left"/>
      </w:pPr>
      <w:r w:rsidRPr="00175174">
        <w:t xml:space="preserve">Ruimte en </w:t>
      </w:r>
      <w:r w:rsidRPr="00175174" w:rsidR="002F5112">
        <w:t>o</w:t>
      </w:r>
      <w:r w:rsidRPr="00175174">
        <w:t>mgeving</w:t>
      </w:r>
      <w:r w:rsidRPr="00175174" w:rsidR="00103C8F">
        <w:t>.</w:t>
      </w:r>
    </w:p>
    <w:p w:rsidRPr="00175174" w:rsidR="00E14DA2" w:rsidP="00175174" w:rsidRDefault="00E14DA2" w14:paraId="45174B88" w14:textId="77777777">
      <w:pPr>
        <w:pStyle w:val="Geenafstand"/>
        <w:numPr>
          <w:ilvl w:val="0"/>
          <w:numId w:val="21"/>
        </w:numPr>
        <w:suppressAutoHyphens/>
        <w:spacing w:line="240" w:lineRule="atLeast"/>
        <w:jc w:val="left"/>
      </w:pPr>
      <w:r w:rsidRPr="00175174">
        <w:t>Radioactief afval, ontmanteling, opslag en eindberging</w:t>
      </w:r>
      <w:r w:rsidRPr="00175174" w:rsidR="00103C8F">
        <w:t>.</w:t>
      </w:r>
    </w:p>
    <w:p w:rsidRPr="00175174" w:rsidR="006C7ED4" w:rsidP="00175174" w:rsidRDefault="002F5112" w14:paraId="29B98CFB" w14:textId="77777777">
      <w:pPr>
        <w:pStyle w:val="Geenafstand"/>
        <w:numPr>
          <w:ilvl w:val="0"/>
          <w:numId w:val="21"/>
        </w:numPr>
        <w:suppressAutoHyphens/>
        <w:spacing w:line="240" w:lineRule="atLeast"/>
        <w:jc w:val="left"/>
      </w:pPr>
      <w:r w:rsidRPr="00175174">
        <w:t xml:space="preserve">Het </w:t>
      </w:r>
      <w:r w:rsidRPr="00175174" w:rsidR="00E14DA2">
        <w:t>Rijk-Regiopakket</w:t>
      </w:r>
      <w:r w:rsidRPr="00175174" w:rsidR="00103C8F">
        <w:t>.</w:t>
      </w:r>
    </w:p>
    <w:bookmarkEnd w:id="61"/>
    <w:p w:rsidRPr="00175174" w:rsidR="000C0E02" w:rsidP="00175174" w:rsidRDefault="007D7BC0" w14:paraId="4D1878A2" w14:textId="628DBC9F">
      <w:pPr>
        <w:pStyle w:val="Geenafstand"/>
        <w:suppressAutoHyphens/>
        <w:spacing w:line="240" w:lineRule="atLeast"/>
        <w:jc w:val="left"/>
      </w:pPr>
      <w:r w:rsidRPr="00175174">
        <w:br w:type="page"/>
      </w:r>
      <w:bookmarkEnd w:id="57"/>
    </w:p>
    <w:p w:rsidRPr="00175174" w:rsidR="00936E1F" w:rsidP="00175174" w:rsidRDefault="00936E1F" w14:paraId="18EEC9B1" w14:textId="33B1FC22">
      <w:pPr>
        <w:pStyle w:val="Kop1"/>
        <w:suppressAutoHyphens/>
        <w:jc w:val="left"/>
        <w:rPr>
          <w:sz w:val="18"/>
          <w:szCs w:val="18"/>
        </w:rPr>
      </w:pPr>
      <w:bookmarkStart w:name="_Toc227050529" w:id="62"/>
      <w:r w:rsidRPr="00175174">
        <w:rPr>
          <w:sz w:val="18"/>
          <w:szCs w:val="18"/>
        </w:rPr>
        <w:t>B</w:t>
      </w:r>
      <w:r w:rsidRPr="00175174" w:rsidR="00596748">
        <w:rPr>
          <w:sz w:val="18"/>
          <w:szCs w:val="18"/>
        </w:rPr>
        <w:t>ijlage historische financiële overzichten</w:t>
      </w:r>
      <w:bookmarkEnd w:id="62"/>
    </w:p>
    <w:p w:rsidRPr="00175174" w:rsidR="00011607" w:rsidP="00175174" w:rsidRDefault="00286348" w14:paraId="61A22782" w14:textId="5CBCD22E">
      <w:pPr>
        <w:suppressAutoHyphens/>
        <w:jc w:val="left"/>
      </w:pPr>
      <w:r w:rsidRPr="00175174">
        <w:t xml:space="preserve">Deze bijlage bevat </w:t>
      </w:r>
      <w:r w:rsidRPr="00175174" w:rsidR="00011607">
        <w:t>een samenvatting van de realisatiecijfers over 2025 van VWS met betrekking tot NRG PALLAS B.V.</w:t>
      </w:r>
      <w:r w:rsidRPr="00175174" w:rsidR="000C20C1">
        <w:t xml:space="preserve"> (bedragen x € 1.000). Het gaat hierbij uitsluitend om financiële stromen tussen VWS en NRG PALLAS</w:t>
      </w:r>
      <w:r w:rsidRPr="00175174" w:rsidR="00AF3C30">
        <w:t xml:space="preserve"> B.V.</w:t>
      </w:r>
      <w:r w:rsidRPr="00175174" w:rsidR="008B0F37">
        <w:t xml:space="preserve">: deze hebben </w:t>
      </w:r>
      <w:r w:rsidRPr="00175174" w:rsidR="00465661">
        <w:t>naast</w:t>
      </w:r>
      <w:r w:rsidRPr="00175174" w:rsidR="008B0F37">
        <w:t xml:space="preserve"> het PALLAS-nieuwbouwprogramma</w:t>
      </w:r>
      <w:r w:rsidRPr="00175174" w:rsidR="00465661">
        <w:t xml:space="preserve"> betrekking</w:t>
      </w:r>
      <w:r w:rsidRPr="00175174" w:rsidR="008B0F37">
        <w:t xml:space="preserve"> op de instandhouding van de liquiditeitspositie van NRG PALLAS B.V.</w:t>
      </w:r>
      <w:r w:rsidRPr="00175174" w:rsidR="000C20C1">
        <w:t xml:space="preserve"> </w:t>
      </w:r>
      <w:r w:rsidRPr="00175174" w:rsidR="0045761F">
        <w:t>D</w:t>
      </w:r>
      <w:r w:rsidRPr="00175174" w:rsidR="000C20C1">
        <w:t xml:space="preserve">e </w:t>
      </w:r>
      <w:r w:rsidRPr="00175174" w:rsidR="0045761F">
        <w:t xml:space="preserve">interne </w:t>
      </w:r>
      <w:r w:rsidRPr="00175174" w:rsidR="000C20C1">
        <w:t xml:space="preserve">kosten van </w:t>
      </w:r>
      <w:r w:rsidRPr="00175174" w:rsidR="0045761F">
        <w:t xml:space="preserve">het ministerie van VWS </w:t>
      </w:r>
      <w:r w:rsidRPr="00175174" w:rsidR="00465661">
        <w:t>maken hier geen onderdeel van</w:t>
      </w:r>
      <w:r w:rsidRPr="00175174" w:rsidR="0045761F">
        <w:t xml:space="preserve"> </w:t>
      </w:r>
      <w:r w:rsidRPr="00175174" w:rsidR="00465661">
        <w:t>uit</w:t>
      </w:r>
      <w:r w:rsidRPr="00175174" w:rsidR="000C20C1">
        <w:t>.</w:t>
      </w:r>
    </w:p>
    <w:p w:rsidRPr="00175174" w:rsidR="00286348" w:rsidP="00175174" w:rsidRDefault="00286348" w14:paraId="33A3741E" w14:textId="151F4919">
      <w:pPr>
        <w:suppressAutoHyphens/>
        <w:spacing w:after="0"/>
        <w:jc w:val="left"/>
      </w:pPr>
      <w:r w:rsidRPr="00175174">
        <w:t>De volgende drie tabellen zijn opgenomen</w:t>
      </w:r>
      <w:r w:rsidRPr="00175174" w:rsidR="00EE48AA">
        <w:t xml:space="preserve"> in deze bijlage</w:t>
      </w:r>
      <w:r w:rsidRPr="00175174">
        <w:t>:</w:t>
      </w:r>
    </w:p>
    <w:p w:rsidRPr="00175174" w:rsidR="00EE48AA" w:rsidP="00175174" w:rsidRDefault="00EE48AA" w14:paraId="197A43EE" w14:textId="56BDA28F">
      <w:pPr>
        <w:pStyle w:val="Lijstalinea"/>
        <w:numPr>
          <w:ilvl w:val="0"/>
          <w:numId w:val="26"/>
        </w:numPr>
        <w:suppressAutoHyphens/>
        <w:spacing w:after="0"/>
        <w:jc w:val="left"/>
      </w:pPr>
      <w:r w:rsidRPr="00175174">
        <w:t xml:space="preserve">Tabel A: </w:t>
      </w:r>
      <w:r w:rsidRPr="00175174" w:rsidR="003A6DBD">
        <w:t>aangegane</w:t>
      </w:r>
      <w:r w:rsidRPr="00175174">
        <w:t xml:space="preserve"> verplichtingen.</w:t>
      </w:r>
    </w:p>
    <w:p w:rsidRPr="00175174" w:rsidR="00EE48AA" w:rsidP="00175174" w:rsidRDefault="00EE48AA" w14:paraId="2C794D6B" w14:textId="12F17B47">
      <w:pPr>
        <w:pStyle w:val="Lijstalinea"/>
        <w:numPr>
          <w:ilvl w:val="0"/>
          <w:numId w:val="26"/>
        </w:numPr>
        <w:suppressAutoHyphens/>
        <w:spacing w:after="0"/>
        <w:jc w:val="left"/>
      </w:pPr>
      <w:r w:rsidRPr="00175174">
        <w:t>Tabel B: uitgaven.</w:t>
      </w:r>
    </w:p>
    <w:p w:rsidRPr="00175174" w:rsidR="00EE48AA" w:rsidP="00175174" w:rsidRDefault="00EE48AA" w14:paraId="70D700FB" w14:textId="6920C28A">
      <w:pPr>
        <w:pStyle w:val="Lijstalinea"/>
        <w:numPr>
          <w:ilvl w:val="0"/>
          <w:numId w:val="26"/>
        </w:numPr>
        <w:suppressAutoHyphens/>
        <w:spacing w:after="0"/>
        <w:jc w:val="left"/>
      </w:pPr>
      <w:r w:rsidRPr="00175174">
        <w:t xml:space="preserve">Tabel C: posten op de saldibalans. </w:t>
      </w:r>
    </w:p>
    <w:p w:rsidRPr="00175174" w:rsidR="00EE48AA" w:rsidP="00175174" w:rsidRDefault="00EE48AA" w14:paraId="44576E02" w14:textId="77777777">
      <w:pPr>
        <w:suppressAutoHyphens/>
        <w:spacing w:after="0"/>
        <w:jc w:val="left"/>
      </w:pPr>
    </w:p>
    <w:p w:rsidRPr="00175174" w:rsidR="00286348" w:rsidP="00175174" w:rsidRDefault="00EE48AA" w14:paraId="357794A7" w14:textId="2B7440F9">
      <w:pPr>
        <w:suppressAutoHyphens/>
        <w:spacing w:after="0"/>
        <w:jc w:val="left"/>
        <w:rPr>
          <w:i/>
          <w:iCs/>
        </w:rPr>
      </w:pPr>
      <w:r w:rsidRPr="00175174">
        <w:rPr>
          <w:i/>
          <w:iCs/>
        </w:rPr>
        <w:t>Tabel A - Aangegane verplichtingen</w:t>
      </w:r>
    </w:p>
    <w:tbl>
      <w:tblPr>
        <w:tblStyle w:val="TableNormal"/>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Look w:val="01E0" w:firstRow="1" w:lastRow="1" w:firstColumn="1" w:lastColumn="1" w:noHBand="0" w:noVBand="0"/>
      </w:tblPr>
      <w:tblGrid>
        <w:gridCol w:w="3256"/>
        <w:gridCol w:w="1467"/>
        <w:gridCol w:w="1467"/>
        <w:gridCol w:w="1467"/>
      </w:tblGrid>
      <w:tr w:rsidRPr="00175174" w:rsidR="006F2D4F" w:rsidTr="00B36296" w14:paraId="34D698EA" w14:textId="77777777">
        <w:trPr>
          <w:trHeight w:val="239"/>
        </w:trPr>
        <w:tc>
          <w:tcPr>
            <w:tcW w:w="3256" w:type="dxa"/>
            <w:shd w:val="clear" w:color="auto" w:fill="002F5B"/>
            <w:vAlign w:val="center"/>
          </w:tcPr>
          <w:p w:rsidRPr="00175174" w:rsidR="006F2D4F" w:rsidP="00175174" w:rsidRDefault="006F2D4F" w14:paraId="2711EDC8" w14:textId="77777777">
            <w:pPr>
              <w:pStyle w:val="TableParagraph"/>
              <w:suppressAutoHyphens/>
              <w:jc w:val="left"/>
              <w:rPr>
                <w:b/>
                <w:bCs/>
                <w:sz w:val="18"/>
                <w:szCs w:val="18"/>
                <w:lang w:val="nl-NL"/>
              </w:rPr>
            </w:pPr>
          </w:p>
        </w:tc>
        <w:tc>
          <w:tcPr>
            <w:tcW w:w="1467" w:type="dxa"/>
            <w:shd w:val="clear" w:color="auto" w:fill="002F5B"/>
          </w:tcPr>
          <w:p w:rsidRPr="00175174" w:rsidR="006F2D4F" w:rsidP="00175174" w:rsidRDefault="006F2D4F" w14:paraId="75DBD850" w14:textId="77777777">
            <w:pPr>
              <w:pStyle w:val="TableParagraph"/>
              <w:suppressAutoHyphens/>
              <w:jc w:val="left"/>
              <w:rPr>
                <w:b/>
                <w:bCs/>
                <w:sz w:val="18"/>
                <w:szCs w:val="18"/>
              </w:rPr>
            </w:pPr>
            <w:r w:rsidRPr="00175174">
              <w:rPr>
                <w:b/>
                <w:bCs/>
                <w:sz w:val="18"/>
                <w:szCs w:val="18"/>
              </w:rPr>
              <w:t>[1]</w:t>
            </w:r>
          </w:p>
        </w:tc>
        <w:tc>
          <w:tcPr>
            <w:tcW w:w="1467" w:type="dxa"/>
            <w:shd w:val="clear" w:color="auto" w:fill="002F5B"/>
          </w:tcPr>
          <w:p w:rsidRPr="00175174" w:rsidR="006F2D4F" w:rsidP="00175174" w:rsidRDefault="006F2D4F" w14:paraId="0E0659EB" w14:textId="77777777">
            <w:pPr>
              <w:pStyle w:val="TableParagraph"/>
              <w:suppressAutoHyphens/>
              <w:jc w:val="left"/>
              <w:rPr>
                <w:b/>
                <w:bCs/>
                <w:sz w:val="18"/>
                <w:szCs w:val="18"/>
              </w:rPr>
            </w:pPr>
            <w:r w:rsidRPr="00175174">
              <w:rPr>
                <w:b/>
                <w:bCs/>
                <w:sz w:val="18"/>
                <w:szCs w:val="18"/>
              </w:rPr>
              <w:t>[2]</w:t>
            </w:r>
          </w:p>
        </w:tc>
        <w:tc>
          <w:tcPr>
            <w:tcW w:w="1467" w:type="dxa"/>
            <w:shd w:val="clear" w:color="auto" w:fill="002F5B"/>
          </w:tcPr>
          <w:p w:rsidRPr="00175174" w:rsidR="006F2D4F" w:rsidP="00175174" w:rsidRDefault="006F2D4F" w14:paraId="24B452BB" w14:textId="77777777">
            <w:pPr>
              <w:pStyle w:val="TableParagraph"/>
              <w:suppressAutoHyphens/>
              <w:jc w:val="left"/>
              <w:rPr>
                <w:b/>
                <w:bCs/>
                <w:sz w:val="18"/>
                <w:szCs w:val="18"/>
              </w:rPr>
            </w:pPr>
            <w:r w:rsidRPr="00175174">
              <w:rPr>
                <w:b/>
                <w:bCs/>
                <w:sz w:val="18"/>
                <w:szCs w:val="18"/>
              </w:rPr>
              <w:t>[3] =</w:t>
            </w:r>
            <w:r w:rsidRPr="00175174">
              <w:rPr>
                <w:b/>
                <w:bCs/>
                <w:spacing w:val="-3"/>
                <w:sz w:val="18"/>
                <w:szCs w:val="18"/>
              </w:rPr>
              <w:t xml:space="preserve"> </w:t>
            </w:r>
            <w:r w:rsidRPr="00175174">
              <w:rPr>
                <w:b/>
                <w:bCs/>
                <w:sz w:val="18"/>
                <w:szCs w:val="18"/>
              </w:rPr>
              <w:t>[1]+[2]</w:t>
            </w:r>
          </w:p>
        </w:tc>
      </w:tr>
      <w:tr w:rsidRPr="00175174" w:rsidR="006F2D4F" w:rsidTr="00B36296" w14:paraId="0D5B99E8" w14:textId="77777777">
        <w:trPr>
          <w:trHeight w:val="720"/>
        </w:trPr>
        <w:tc>
          <w:tcPr>
            <w:tcW w:w="3256" w:type="dxa"/>
            <w:shd w:val="clear" w:color="auto" w:fill="002F5B"/>
          </w:tcPr>
          <w:p w:rsidRPr="00175174" w:rsidR="006F2D4F" w:rsidP="00175174" w:rsidRDefault="006F2D4F" w14:paraId="27B51FB4" w14:textId="77777777">
            <w:pPr>
              <w:pStyle w:val="TableParagraph"/>
              <w:suppressAutoHyphens/>
              <w:jc w:val="left"/>
              <w:rPr>
                <w:b/>
                <w:bCs/>
                <w:sz w:val="18"/>
                <w:szCs w:val="18"/>
              </w:rPr>
            </w:pPr>
          </w:p>
          <w:p w:rsidRPr="00175174" w:rsidR="006F2D4F" w:rsidP="00175174" w:rsidRDefault="006F2D4F" w14:paraId="6A8DF5EF" w14:textId="434EA026">
            <w:pPr>
              <w:pStyle w:val="TableParagraph"/>
              <w:suppressAutoHyphens/>
              <w:jc w:val="left"/>
              <w:rPr>
                <w:b/>
                <w:bCs/>
                <w:sz w:val="18"/>
                <w:szCs w:val="18"/>
              </w:rPr>
            </w:pPr>
            <w:proofErr w:type="spellStart"/>
            <w:r w:rsidRPr="00175174">
              <w:rPr>
                <w:b/>
                <w:bCs/>
                <w:sz w:val="18"/>
                <w:szCs w:val="18"/>
              </w:rPr>
              <w:t>Aangegane</w:t>
            </w:r>
            <w:proofErr w:type="spellEnd"/>
            <w:r w:rsidRPr="00175174">
              <w:rPr>
                <w:b/>
                <w:bCs/>
                <w:sz w:val="18"/>
                <w:szCs w:val="18"/>
              </w:rPr>
              <w:t xml:space="preserve"> </w:t>
            </w:r>
            <w:proofErr w:type="spellStart"/>
            <w:r w:rsidRPr="00175174">
              <w:rPr>
                <w:b/>
                <w:bCs/>
                <w:sz w:val="18"/>
                <w:szCs w:val="18"/>
              </w:rPr>
              <w:t>verplichtingen</w:t>
            </w:r>
            <w:proofErr w:type="spellEnd"/>
          </w:p>
        </w:tc>
        <w:tc>
          <w:tcPr>
            <w:tcW w:w="1467" w:type="dxa"/>
            <w:shd w:val="clear" w:color="auto" w:fill="002F5B"/>
          </w:tcPr>
          <w:p w:rsidRPr="00175174" w:rsidR="006F2D4F" w:rsidP="00175174" w:rsidRDefault="006F2D4F" w14:paraId="6320BED8" w14:textId="77777777">
            <w:pPr>
              <w:pStyle w:val="TableParagraph"/>
              <w:suppressAutoHyphens/>
              <w:jc w:val="left"/>
              <w:rPr>
                <w:b/>
                <w:bCs/>
                <w:sz w:val="18"/>
                <w:szCs w:val="18"/>
              </w:rPr>
            </w:pPr>
            <w:r w:rsidRPr="00175174">
              <w:rPr>
                <w:b/>
                <w:bCs/>
                <w:sz w:val="18"/>
                <w:szCs w:val="18"/>
              </w:rPr>
              <w:t xml:space="preserve">T/m 31 </w:t>
            </w:r>
            <w:proofErr w:type="spellStart"/>
            <w:r w:rsidRPr="00175174">
              <w:rPr>
                <w:b/>
                <w:bCs/>
                <w:sz w:val="18"/>
                <w:szCs w:val="18"/>
              </w:rPr>
              <w:t>december</w:t>
            </w:r>
            <w:proofErr w:type="spellEnd"/>
            <w:r w:rsidRPr="00175174">
              <w:rPr>
                <w:b/>
                <w:bCs/>
                <w:sz w:val="18"/>
                <w:szCs w:val="18"/>
              </w:rPr>
              <w:t xml:space="preserve"> 2024</w:t>
            </w:r>
          </w:p>
        </w:tc>
        <w:tc>
          <w:tcPr>
            <w:tcW w:w="1467" w:type="dxa"/>
            <w:shd w:val="clear" w:color="auto" w:fill="002F5B"/>
          </w:tcPr>
          <w:p w:rsidRPr="00175174" w:rsidR="006F2D4F" w:rsidP="00175174" w:rsidRDefault="006F2D4F" w14:paraId="7A464952" w14:textId="77777777">
            <w:pPr>
              <w:pStyle w:val="TableParagraph"/>
              <w:suppressAutoHyphens/>
              <w:jc w:val="left"/>
              <w:rPr>
                <w:b/>
                <w:bCs/>
                <w:sz w:val="18"/>
                <w:szCs w:val="18"/>
              </w:rPr>
            </w:pPr>
            <w:proofErr w:type="spellStart"/>
            <w:r w:rsidRPr="00175174">
              <w:rPr>
                <w:b/>
                <w:bCs/>
                <w:sz w:val="18"/>
                <w:szCs w:val="18"/>
              </w:rPr>
              <w:t>Mutaties</w:t>
            </w:r>
            <w:proofErr w:type="spellEnd"/>
            <w:r w:rsidRPr="00175174">
              <w:rPr>
                <w:b/>
                <w:bCs/>
                <w:sz w:val="18"/>
                <w:szCs w:val="18"/>
              </w:rPr>
              <w:t xml:space="preserve"> 2025</w:t>
            </w:r>
          </w:p>
        </w:tc>
        <w:tc>
          <w:tcPr>
            <w:tcW w:w="1467" w:type="dxa"/>
            <w:shd w:val="clear" w:color="auto" w:fill="002F5B"/>
          </w:tcPr>
          <w:p w:rsidRPr="00175174" w:rsidR="006F2D4F" w:rsidP="00175174" w:rsidRDefault="006F2D4F" w14:paraId="7577BB5B" w14:textId="77777777">
            <w:pPr>
              <w:pStyle w:val="TableParagraph"/>
              <w:suppressAutoHyphens/>
              <w:jc w:val="left"/>
              <w:rPr>
                <w:b/>
                <w:bCs/>
                <w:sz w:val="18"/>
                <w:szCs w:val="18"/>
              </w:rPr>
            </w:pPr>
            <w:r w:rsidRPr="00175174">
              <w:rPr>
                <w:b/>
                <w:bCs/>
                <w:sz w:val="18"/>
                <w:szCs w:val="18"/>
              </w:rPr>
              <w:t xml:space="preserve">T/m 31 </w:t>
            </w:r>
            <w:proofErr w:type="spellStart"/>
            <w:r w:rsidRPr="00175174">
              <w:rPr>
                <w:b/>
                <w:bCs/>
                <w:sz w:val="18"/>
                <w:szCs w:val="18"/>
              </w:rPr>
              <w:t>december</w:t>
            </w:r>
            <w:proofErr w:type="spellEnd"/>
            <w:r w:rsidRPr="00175174">
              <w:rPr>
                <w:b/>
                <w:bCs/>
                <w:sz w:val="18"/>
                <w:szCs w:val="18"/>
              </w:rPr>
              <w:t xml:space="preserve"> 2025</w:t>
            </w:r>
          </w:p>
        </w:tc>
      </w:tr>
      <w:tr w:rsidRPr="00175174" w:rsidR="00613504" w:rsidTr="00E56698" w14:paraId="467510DC" w14:textId="77777777">
        <w:trPr>
          <w:trHeight w:val="239"/>
        </w:trPr>
        <w:tc>
          <w:tcPr>
            <w:tcW w:w="3256" w:type="dxa"/>
          </w:tcPr>
          <w:p w:rsidRPr="00175174" w:rsidR="00613504" w:rsidP="00175174" w:rsidRDefault="00613504" w14:paraId="799577DF" w14:textId="77777777">
            <w:pPr>
              <w:pStyle w:val="TableParagraph"/>
              <w:suppressAutoHyphens/>
              <w:jc w:val="left"/>
              <w:rPr>
                <w:i/>
                <w:iCs/>
                <w:sz w:val="18"/>
                <w:szCs w:val="18"/>
              </w:rPr>
            </w:pPr>
            <w:r w:rsidRPr="00175174">
              <w:rPr>
                <w:i/>
                <w:iCs/>
                <w:sz w:val="18"/>
                <w:szCs w:val="18"/>
              </w:rPr>
              <w:t xml:space="preserve">Subsidies </w:t>
            </w:r>
          </w:p>
          <w:p w:rsidRPr="00175174" w:rsidR="00613504" w:rsidP="00175174" w:rsidRDefault="00613504" w14:paraId="0E2C18E6" w14:textId="7624AFA7">
            <w:pPr>
              <w:pStyle w:val="TableParagraph"/>
              <w:suppressAutoHyphens/>
              <w:jc w:val="left"/>
              <w:rPr>
                <w:sz w:val="18"/>
                <w:szCs w:val="18"/>
              </w:rPr>
            </w:pPr>
            <w:r w:rsidRPr="00175174">
              <w:rPr>
                <w:sz w:val="18"/>
                <w:szCs w:val="18"/>
              </w:rPr>
              <w:t>PALLAS-nieuwbouwprogramma</w:t>
            </w:r>
          </w:p>
        </w:tc>
        <w:tc>
          <w:tcPr>
            <w:tcW w:w="1467" w:type="dxa"/>
          </w:tcPr>
          <w:p w:rsidRPr="00175174" w:rsidR="00613504" w:rsidP="00175174" w:rsidRDefault="00613504" w14:paraId="4CC3EB32" w14:textId="77777777">
            <w:pPr>
              <w:pStyle w:val="TableParagraph"/>
              <w:suppressAutoHyphens/>
              <w:jc w:val="left"/>
              <w:rPr>
                <w:sz w:val="18"/>
                <w:szCs w:val="18"/>
              </w:rPr>
            </w:pPr>
            <w:r w:rsidRPr="00175174">
              <w:rPr>
                <w:sz w:val="18"/>
                <w:szCs w:val="18"/>
              </w:rPr>
              <w:t>602.606</w:t>
            </w:r>
          </w:p>
        </w:tc>
        <w:tc>
          <w:tcPr>
            <w:tcW w:w="1467" w:type="dxa"/>
          </w:tcPr>
          <w:p w:rsidRPr="00175174" w:rsidR="00613504" w:rsidP="00175174" w:rsidRDefault="00613504" w14:paraId="1322CD7C" w14:textId="77777777">
            <w:pPr>
              <w:pStyle w:val="TableParagraph"/>
              <w:suppressAutoHyphens/>
              <w:jc w:val="left"/>
              <w:rPr>
                <w:sz w:val="18"/>
                <w:szCs w:val="18"/>
              </w:rPr>
            </w:pPr>
            <w:r w:rsidRPr="00175174">
              <w:rPr>
                <w:sz w:val="18"/>
                <w:szCs w:val="18"/>
              </w:rPr>
              <w:t>11.019</w:t>
            </w:r>
          </w:p>
        </w:tc>
        <w:tc>
          <w:tcPr>
            <w:tcW w:w="1467" w:type="dxa"/>
          </w:tcPr>
          <w:p w:rsidRPr="00175174" w:rsidR="00613504" w:rsidP="00175174" w:rsidRDefault="00613504" w14:paraId="3931CC3D" w14:textId="77777777">
            <w:pPr>
              <w:pStyle w:val="TableParagraph"/>
              <w:suppressAutoHyphens/>
              <w:jc w:val="left"/>
              <w:rPr>
                <w:sz w:val="18"/>
                <w:szCs w:val="18"/>
              </w:rPr>
            </w:pPr>
            <w:r w:rsidRPr="00175174">
              <w:rPr>
                <w:sz w:val="18"/>
                <w:szCs w:val="18"/>
              </w:rPr>
              <w:t>613.625</w:t>
            </w:r>
          </w:p>
        </w:tc>
      </w:tr>
      <w:tr w:rsidRPr="00175174" w:rsidR="00613504" w:rsidTr="00E56698" w14:paraId="4226E429" w14:textId="77777777">
        <w:trPr>
          <w:trHeight w:val="241"/>
        </w:trPr>
        <w:tc>
          <w:tcPr>
            <w:tcW w:w="3256" w:type="dxa"/>
          </w:tcPr>
          <w:p w:rsidRPr="00175174" w:rsidR="00613504" w:rsidP="00175174" w:rsidRDefault="00613504" w14:paraId="05C05350" w14:textId="77777777">
            <w:pPr>
              <w:pStyle w:val="TableParagraph"/>
              <w:suppressAutoHyphens/>
              <w:jc w:val="left"/>
              <w:rPr>
                <w:i/>
                <w:iCs/>
                <w:sz w:val="18"/>
                <w:szCs w:val="18"/>
              </w:rPr>
            </w:pPr>
            <w:proofErr w:type="spellStart"/>
            <w:r w:rsidRPr="00175174">
              <w:rPr>
                <w:i/>
                <w:iCs/>
                <w:sz w:val="18"/>
                <w:szCs w:val="18"/>
              </w:rPr>
              <w:t>Leningen</w:t>
            </w:r>
            <w:proofErr w:type="spellEnd"/>
            <w:r w:rsidRPr="00175174">
              <w:rPr>
                <w:i/>
                <w:iCs/>
                <w:sz w:val="18"/>
                <w:szCs w:val="18"/>
              </w:rPr>
              <w:t xml:space="preserve"> </w:t>
            </w:r>
          </w:p>
          <w:p w:rsidRPr="00175174" w:rsidR="00613504" w:rsidP="00175174" w:rsidRDefault="00613504" w14:paraId="14149374" w14:textId="3E48E939">
            <w:pPr>
              <w:pStyle w:val="TableParagraph"/>
              <w:suppressAutoHyphens/>
              <w:jc w:val="left"/>
              <w:rPr>
                <w:sz w:val="18"/>
                <w:szCs w:val="18"/>
              </w:rPr>
            </w:pPr>
            <w:r w:rsidRPr="00175174">
              <w:rPr>
                <w:sz w:val="18"/>
                <w:szCs w:val="18"/>
              </w:rPr>
              <w:t>PALLAS-nieuwbouwprogramma</w:t>
            </w:r>
          </w:p>
        </w:tc>
        <w:tc>
          <w:tcPr>
            <w:tcW w:w="1467" w:type="dxa"/>
          </w:tcPr>
          <w:p w:rsidRPr="00175174" w:rsidR="00613504" w:rsidP="00175174" w:rsidRDefault="00613504" w14:paraId="74698036" w14:textId="5C0733AB">
            <w:pPr>
              <w:pStyle w:val="TableParagraph"/>
              <w:suppressAutoHyphens/>
              <w:jc w:val="left"/>
              <w:rPr>
                <w:sz w:val="18"/>
                <w:szCs w:val="18"/>
              </w:rPr>
            </w:pPr>
            <w:r w:rsidRPr="00175174">
              <w:rPr>
                <w:sz w:val="18"/>
                <w:szCs w:val="18"/>
              </w:rPr>
              <w:t>-</w:t>
            </w:r>
          </w:p>
        </w:tc>
        <w:tc>
          <w:tcPr>
            <w:tcW w:w="1467" w:type="dxa"/>
          </w:tcPr>
          <w:p w:rsidRPr="00175174" w:rsidR="00613504" w:rsidP="00175174" w:rsidRDefault="00613504" w14:paraId="0E6884DE" w14:textId="3BEF07B3">
            <w:pPr>
              <w:pStyle w:val="TableParagraph"/>
              <w:suppressAutoHyphens/>
              <w:jc w:val="left"/>
              <w:rPr>
                <w:sz w:val="18"/>
                <w:szCs w:val="18"/>
              </w:rPr>
            </w:pPr>
            <w:r w:rsidRPr="00175174">
              <w:rPr>
                <w:sz w:val="18"/>
                <w:szCs w:val="18"/>
              </w:rPr>
              <w:t>122.642</w:t>
            </w:r>
          </w:p>
        </w:tc>
        <w:tc>
          <w:tcPr>
            <w:tcW w:w="1467" w:type="dxa"/>
          </w:tcPr>
          <w:p w:rsidRPr="00175174" w:rsidR="00613504" w:rsidP="00175174" w:rsidRDefault="00613504" w14:paraId="5ABDE5D4" w14:textId="63FDADDE">
            <w:pPr>
              <w:pStyle w:val="TableParagraph"/>
              <w:suppressAutoHyphens/>
              <w:jc w:val="left"/>
              <w:rPr>
                <w:sz w:val="18"/>
                <w:szCs w:val="18"/>
              </w:rPr>
            </w:pPr>
            <w:r w:rsidRPr="00175174">
              <w:rPr>
                <w:sz w:val="18"/>
                <w:szCs w:val="18"/>
              </w:rPr>
              <w:t>122.642</w:t>
            </w:r>
          </w:p>
        </w:tc>
      </w:tr>
      <w:tr w:rsidRPr="00175174" w:rsidR="00613504" w:rsidTr="00E56698" w14:paraId="220A0A66" w14:textId="77777777">
        <w:trPr>
          <w:trHeight w:val="241"/>
        </w:trPr>
        <w:tc>
          <w:tcPr>
            <w:tcW w:w="3256" w:type="dxa"/>
          </w:tcPr>
          <w:p w:rsidRPr="00175174" w:rsidR="00613504" w:rsidP="00175174" w:rsidRDefault="00613504" w14:paraId="2F06486C" w14:textId="77777777">
            <w:pPr>
              <w:pStyle w:val="TableParagraph"/>
              <w:suppressAutoHyphens/>
              <w:jc w:val="left"/>
              <w:rPr>
                <w:i/>
                <w:iCs/>
                <w:sz w:val="18"/>
                <w:szCs w:val="18"/>
              </w:rPr>
            </w:pPr>
            <w:proofErr w:type="spellStart"/>
            <w:r w:rsidRPr="00175174">
              <w:rPr>
                <w:i/>
                <w:iCs/>
                <w:sz w:val="18"/>
                <w:szCs w:val="18"/>
              </w:rPr>
              <w:t>Vermogensverschaffing</w:t>
            </w:r>
            <w:proofErr w:type="spellEnd"/>
          </w:p>
          <w:p w:rsidRPr="00175174" w:rsidR="00613504" w:rsidP="00175174" w:rsidRDefault="00613504" w14:paraId="690BD32E" w14:textId="1F153127">
            <w:pPr>
              <w:pStyle w:val="TableParagraph"/>
              <w:suppressAutoHyphens/>
              <w:jc w:val="left"/>
              <w:rPr>
                <w:sz w:val="18"/>
                <w:szCs w:val="18"/>
              </w:rPr>
            </w:pPr>
            <w:r w:rsidRPr="00175174">
              <w:rPr>
                <w:sz w:val="18"/>
                <w:szCs w:val="18"/>
              </w:rPr>
              <w:t>PALLAS-nieuwbouwprogramma</w:t>
            </w:r>
          </w:p>
        </w:tc>
        <w:tc>
          <w:tcPr>
            <w:tcW w:w="1467" w:type="dxa"/>
          </w:tcPr>
          <w:p w:rsidRPr="00175174" w:rsidR="00613504" w:rsidP="00175174" w:rsidRDefault="00613504" w14:paraId="05B18732" w14:textId="1B561891">
            <w:pPr>
              <w:pStyle w:val="TableParagraph"/>
              <w:suppressAutoHyphens/>
              <w:jc w:val="left"/>
              <w:rPr>
                <w:sz w:val="18"/>
                <w:szCs w:val="18"/>
              </w:rPr>
            </w:pPr>
            <w:r w:rsidRPr="00175174">
              <w:rPr>
                <w:sz w:val="18"/>
                <w:szCs w:val="18"/>
              </w:rPr>
              <w:t>-</w:t>
            </w:r>
          </w:p>
        </w:tc>
        <w:tc>
          <w:tcPr>
            <w:tcW w:w="1467" w:type="dxa"/>
          </w:tcPr>
          <w:p w:rsidRPr="00175174" w:rsidR="00613504" w:rsidP="00175174" w:rsidRDefault="00613504" w14:paraId="069C49D5" w14:textId="0C606320">
            <w:pPr>
              <w:pStyle w:val="TableParagraph"/>
              <w:suppressAutoHyphens/>
              <w:jc w:val="left"/>
              <w:rPr>
                <w:sz w:val="18"/>
                <w:szCs w:val="18"/>
              </w:rPr>
            </w:pPr>
            <w:r w:rsidRPr="00175174">
              <w:rPr>
                <w:sz w:val="18"/>
                <w:szCs w:val="18"/>
              </w:rPr>
              <w:t>1.162.766</w:t>
            </w:r>
          </w:p>
        </w:tc>
        <w:tc>
          <w:tcPr>
            <w:tcW w:w="1467" w:type="dxa"/>
          </w:tcPr>
          <w:p w:rsidRPr="00175174" w:rsidR="00613504" w:rsidP="00175174" w:rsidRDefault="00613504" w14:paraId="34C91A7D" w14:textId="16040E6B">
            <w:pPr>
              <w:pStyle w:val="TableParagraph"/>
              <w:suppressAutoHyphens/>
              <w:jc w:val="left"/>
              <w:rPr>
                <w:sz w:val="18"/>
                <w:szCs w:val="18"/>
              </w:rPr>
            </w:pPr>
            <w:r w:rsidRPr="00175174">
              <w:rPr>
                <w:sz w:val="18"/>
                <w:szCs w:val="18"/>
              </w:rPr>
              <w:t>1.162.766</w:t>
            </w:r>
          </w:p>
        </w:tc>
      </w:tr>
      <w:tr w:rsidRPr="00175174" w:rsidR="00011607" w:rsidTr="00E56698" w14:paraId="3A850F37" w14:textId="77777777">
        <w:trPr>
          <w:trHeight w:val="241"/>
        </w:trPr>
        <w:tc>
          <w:tcPr>
            <w:tcW w:w="3256" w:type="dxa"/>
          </w:tcPr>
          <w:p w:rsidRPr="00175174" w:rsidR="00B36296" w:rsidP="00175174" w:rsidRDefault="00011607" w14:paraId="7D6072E4" w14:textId="77777777">
            <w:pPr>
              <w:pStyle w:val="TableParagraph"/>
              <w:suppressAutoHyphens/>
              <w:jc w:val="left"/>
              <w:rPr>
                <w:b/>
                <w:bCs/>
                <w:sz w:val="18"/>
                <w:szCs w:val="18"/>
              </w:rPr>
            </w:pPr>
            <w:proofErr w:type="spellStart"/>
            <w:r w:rsidRPr="00175174">
              <w:rPr>
                <w:b/>
                <w:bCs/>
                <w:sz w:val="18"/>
                <w:szCs w:val="18"/>
              </w:rPr>
              <w:t>Subtotaal</w:t>
            </w:r>
            <w:proofErr w:type="spellEnd"/>
            <w:r w:rsidRPr="00175174">
              <w:rPr>
                <w:b/>
                <w:bCs/>
                <w:sz w:val="18"/>
                <w:szCs w:val="18"/>
              </w:rPr>
              <w:t xml:space="preserve"> </w:t>
            </w:r>
            <w:proofErr w:type="spellStart"/>
            <w:r w:rsidRPr="00175174">
              <w:rPr>
                <w:b/>
                <w:bCs/>
                <w:sz w:val="18"/>
                <w:szCs w:val="18"/>
              </w:rPr>
              <w:t>bouwprogramma</w:t>
            </w:r>
            <w:proofErr w:type="spellEnd"/>
          </w:p>
          <w:p w:rsidRPr="00175174" w:rsidR="00E56698" w:rsidP="00175174" w:rsidRDefault="00E56698" w14:paraId="763DAE7D" w14:textId="18187B88">
            <w:pPr>
              <w:pStyle w:val="TableParagraph"/>
              <w:suppressAutoHyphens/>
              <w:jc w:val="left"/>
              <w:rPr>
                <w:b/>
                <w:bCs/>
                <w:sz w:val="18"/>
                <w:szCs w:val="18"/>
              </w:rPr>
            </w:pPr>
          </w:p>
        </w:tc>
        <w:tc>
          <w:tcPr>
            <w:tcW w:w="1467" w:type="dxa"/>
          </w:tcPr>
          <w:p w:rsidRPr="00175174" w:rsidR="00011607" w:rsidP="00175174" w:rsidRDefault="00011607" w14:paraId="375BDD88" w14:textId="35EFA587">
            <w:pPr>
              <w:pStyle w:val="TableParagraph"/>
              <w:suppressAutoHyphens/>
              <w:jc w:val="left"/>
              <w:rPr>
                <w:b/>
                <w:bCs/>
                <w:sz w:val="18"/>
                <w:szCs w:val="18"/>
              </w:rPr>
            </w:pPr>
            <w:r w:rsidRPr="00175174">
              <w:rPr>
                <w:b/>
                <w:bCs/>
                <w:sz w:val="18"/>
                <w:szCs w:val="18"/>
              </w:rPr>
              <w:t>602.606</w:t>
            </w:r>
          </w:p>
        </w:tc>
        <w:tc>
          <w:tcPr>
            <w:tcW w:w="1467" w:type="dxa"/>
          </w:tcPr>
          <w:p w:rsidRPr="00175174" w:rsidR="00011607" w:rsidP="00175174" w:rsidRDefault="00011607" w14:paraId="5A4E8871" w14:textId="0F5C8BAB">
            <w:pPr>
              <w:pStyle w:val="TableParagraph"/>
              <w:suppressAutoHyphens/>
              <w:jc w:val="left"/>
              <w:rPr>
                <w:b/>
                <w:bCs/>
                <w:sz w:val="18"/>
                <w:szCs w:val="18"/>
              </w:rPr>
            </w:pPr>
            <w:r w:rsidRPr="00175174">
              <w:rPr>
                <w:b/>
                <w:bCs/>
                <w:sz w:val="18"/>
                <w:szCs w:val="18"/>
              </w:rPr>
              <w:t>1.296.427</w:t>
            </w:r>
          </w:p>
        </w:tc>
        <w:tc>
          <w:tcPr>
            <w:tcW w:w="1467" w:type="dxa"/>
          </w:tcPr>
          <w:p w:rsidRPr="00175174" w:rsidR="00011607" w:rsidP="00175174" w:rsidRDefault="00011607" w14:paraId="11D52F52" w14:textId="29516B4C">
            <w:pPr>
              <w:pStyle w:val="TableParagraph"/>
              <w:suppressAutoHyphens/>
              <w:jc w:val="left"/>
              <w:rPr>
                <w:b/>
                <w:bCs/>
                <w:sz w:val="18"/>
                <w:szCs w:val="18"/>
              </w:rPr>
            </w:pPr>
            <w:r w:rsidRPr="00175174">
              <w:rPr>
                <w:b/>
                <w:bCs/>
                <w:sz w:val="18"/>
                <w:szCs w:val="18"/>
              </w:rPr>
              <w:t>1.899.033</w:t>
            </w:r>
          </w:p>
        </w:tc>
      </w:tr>
      <w:tr w:rsidRPr="00175174" w:rsidR="00011607" w:rsidTr="00E56698" w14:paraId="1F240B03" w14:textId="77777777">
        <w:trPr>
          <w:trHeight w:val="241"/>
        </w:trPr>
        <w:tc>
          <w:tcPr>
            <w:tcW w:w="3256" w:type="dxa"/>
          </w:tcPr>
          <w:p w:rsidRPr="00175174" w:rsidR="00613504" w:rsidP="00175174" w:rsidRDefault="00613504" w14:paraId="172610B9" w14:textId="77777777">
            <w:pPr>
              <w:pStyle w:val="TableParagraph"/>
              <w:suppressAutoHyphens/>
              <w:jc w:val="left"/>
              <w:rPr>
                <w:i/>
                <w:iCs/>
                <w:sz w:val="18"/>
                <w:szCs w:val="18"/>
              </w:rPr>
            </w:pPr>
            <w:proofErr w:type="spellStart"/>
            <w:r w:rsidRPr="00175174">
              <w:rPr>
                <w:i/>
                <w:iCs/>
                <w:sz w:val="18"/>
                <w:szCs w:val="18"/>
              </w:rPr>
              <w:t>Vermogensverschaffing</w:t>
            </w:r>
            <w:proofErr w:type="spellEnd"/>
          </w:p>
          <w:p w:rsidRPr="00175174" w:rsidR="00011607" w:rsidP="00175174" w:rsidRDefault="00613504" w14:paraId="1DA59430" w14:textId="2A5C46CD">
            <w:pPr>
              <w:pStyle w:val="TableParagraph"/>
              <w:suppressAutoHyphens/>
              <w:jc w:val="left"/>
              <w:rPr>
                <w:sz w:val="18"/>
                <w:szCs w:val="18"/>
              </w:rPr>
            </w:pPr>
            <w:proofErr w:type="spellStart"/>
            <w:r w:rsidRPr="00175174">
              <w:rPr>
                <w:sz w:val="18"/>
                <w:szCs w:val="18"/>
              </w:rPr>
              <w:t>Instandhouding</w:t>
            </w:r>
            <w:proofErr w:type="spellEnd"/>
            <w:r w:rsidRPr="00175174">
              <w:rPr>
                <w:sz w:val="18"/>
                <w:szCs w:val="18"/>
              </w:rPr>
              <w:t xml:space="preserve"> NRG PALLAS B.V.</w:t>
            </w:r>
          </w:p>
        </w:tc>
        <w:tc>
          <w:tcPr>
            <w:tcW w:w="1467" w:type="dxa"/>
          </w:tcPr>
          <w:p w:rsidRPr="00175174" w:rsidR="00011607" w:rsidP="00175174" w:rsidRDefault="00011607" w14:paraId="7432BBCB" w14:textId="5D4384F5">
            <w:pPr>
              <w:pStyle w:val="TableParagraph"/>
              <w:suppressAutoHyphens/>
              <w:jc w:val="left"/>
              <w:rPr>
                <w:sz w:val="18"/>
                <w:szCs w:val="18"/>
              </w:rPr>
            </w:pPr>
            <w:r w:rsidRPr="00175174">
              <w:rPr>
                <w:sz w:val="18"/>
                <w:szCs w:val="18"/>
              </w:rPr>
              <w:t>-</w:t>
            </w:r>
          </w:p>
        </w:tc>
        <w:tc>
          <w:tcPr>
            <w:tcW w:w="1467" w:type="dxa"/>
          </w:tcPr>
          <w:p w:rsidRPr="00175174" w:rsidR="00011607" w:rsidP="00175174" w:rsidRDefault="00011607" w14:paraId="595B4A17" w14:textId="02508FB6">
            <w:pPr>
              <w:pStyle w:val="TableParagraph"/>
              <w:suppressAutoHyphens/>
              <w:jc w:val="left"/>
              <w:rPr>
                <w:sz w:val="18"/>
                <w:szCs w:val="18"/>
              </w:rPr>
            </w:pPr>
            <w:r w:rsidRPr="00175174">
              <w:rPr>
                <w:sz w:val="18"/>
                <w:szCs w:val="18"/>
              </w:rPr>
              <w:t>76.261</w:t>
            </w:r>
          </w:p>
        </w:tc>
        <w:tc>
          <w:tcPr>
            <w:tcW w:w="1467" w:type="dxa"/>
          </w:tcPr>
          <w:p w:rsidRPr="00175174" w:rsidR="00011607" w:rsidP="00175174" w:rsidRDefault="00011607" w14:paraId="1E362B33" w14:textId="67A5F163">
            <w:pPr>
              <w:pStyle w:val="TableParagraph"/>
              <w:suppressAutoHyphens/>
              <w:jc w:val="left"/>
              <w:rPr>
                <w:sz w:val="18"/>
                <w:szCs w:val="18"/>
              </w:rPr>
            </w:pPr>
            <w:r w:rsidRPr="00175174">
              <w:rPr>
                <w:sz w:val="18"/>
                <w:szCs w:val="18"/>
              </w:rPr>
              <w:t>76.261</w:t>
            </w:r>
          </w:p>
        </w:tc>
      </w:tr>
      <w:tr w:rsidRPr="00175174" w:rsidR="00011607" w:rsidTr="00E56698" w14:paraId="416224F3" w14:textId="77777777">
        <w:trPr>
          <w:trHeight w:val="332"/>
        </w:trPr>
        <w:tc>
          <w:tcPr>
            <w:tcW w:w="3256" w:type="dxa"/>
            <w:vAlign w:val="center"/>
          </w:tcPr>
          <w:p w:rsidRPr="00175174" w:rsidR="00613504" w:rsidP="00175174" w:rsidRDefault="00011607" w14:paraId="38F8D984" w14:textId="77777777">
            <w:pPr>
              <w:pStyle w:val="TableParagraph"/>
              <w:suppressAutoHyphens/>
              <w:jc w:val="left"/>
              <w:rPr>
                <w:b/>
                <w:bCs/>
                <w:sz w:val="18"/>
                <w:szCs w:val="18"/>
              </w:rPr>
            </w:pPr>
            <w:proofErr w:type="spellStart"/>
            <w:r w:rsidRPr="00175174">
              <w:rPr>
                <w:b/>
                <w:bCs/>
                <w:sz w:val="18"/>
                <w:szCs w:val="18"/>
              </w:rPr>
              <w:t>Totaal</w:t>
            </w:r>
            <w:proofErr w:type="spellEnd"/>
          </w:p>
          <w:p w:rsidRPr="00175174" w:rsidR="00B36296" w:rsidP="00175174" w:rsidRDefault="00B36296" w14:paraId="44C73081" w14:textId="2CE7FF98">
            <w:pPr>
              <w:pStyle w:val="TableParagraph"/>
              <w:suppressAutoHyphens/>
              <w:jc w:val="left"/>
              <w:rPr>
                <w:b/>
                <w:bCs/>
                <w:sz w:val="18"/>
                <w:szCs w:val="18"/>
              </w:rPr>
            </w:pPr>
          </w:p>
        </w:tc>
        <w:tc>
          <w:tcPr>
            <w:tcW w:w="1467" w:type="dxa"/>
          </w:tcPr>
          <w:p w:rsidRPr="00175174" w:rsidR="00011607" w:rsidP="00175174" w:rsidRDefault="00011607" w14:paraId="289CAA78" w14:textId="635C195D">
            <w:pPr>
              <w:pStyle w:val="TableParagraph"/>
              <w:suppressAutoHyphens/>
              <w:jc w:val="left"/>
              <w:rPr>
                <w:b/>
                <w:bCs/>
                <w:sz w:val="18"/>
                <w:szCs w:val="18"/>
              </w:rPr>
            </w:pPr>
            <w:r w:rsidRPr="00175174">
              <w:rPr>
                <w:b/>
                <w:bCs/>
                <w:sz w:val="18"/>
                <w:szCs w:val="18"/>
              </w:rPr>
              <w:t>602.606</w:t>
            </w:r>
          </w:p>
        </w:tc>
        <w:tc>
          <w:tcPr>
            <w:tcW w:w="1467" w:type="dxa"/>
          </w:tcPr>
          <w:p w:rsidRPr="00175174" w:rsidR="00011607" w:rsidP="00175174" w:rsidRDefault="00011607" w14:paraId="1D447CC3" w14:textId="5BEF4A5D">
            <w:pPr>
              <w:pStyle w:val="TableParagraph"/>
              <w:suppressAutoHyphens/>
              <w:jc w:val="left"/>
              <w:rPr>
                <w:b/>
                <w:bCs/>
                <w:sz w:val="18"/>
                <w:szCs w:val="18"/>
              </w:rPr>
            </w:pPr>
            <w:r w:rsidRPr="00175174">
              <w:rPr>
                <w:b/>
                <w:bCs/>
                <w:sz w:val="18"/>
                <w:szCs w:val="18"/>
              </w:rPr>
              <w:t>1.372.688</w:t>
            </w:r>
          </w:p>
        </w:tc>
        <w:tc>
          <w:tcPr>
            <w:tcW w:w="1467" w:type="dxa"/>
          </w:tcPr>
          <w:p w:rsidRPr="00175174" w:rsidR="00011607" w:rsidP="00175174" w:rsidRDefault="00011607" w14:paraId="6772FD09" w14:textId="631FE967">
            <w:pPr>
              <w:pStyle w:val="TableParagraph"/>
              <w:suppressAutoHyphens/>
              <w:jc w:val="left"/>
              <w:rPr>
                <w:b/>
                <w:bCs/>
                <w:sz w:val="18"/>
                <w:szCs w:val="18"/>
              </w:rPr>
            </w:pPr>
            <w:r w:rsidRPr="00175174">
              <w:rPr>
                <w:b/>
                <w:bCs/>
                <w:sz w:val="18"/>
                <w:szCs w:val="18"/>
              </w:rPr>
              <w:t>1.975.294</w:t>
            </w:r>
          </w:p>
        </w:tc>
      </w:tr>
    </w:tbl>
    <w:p w:rsidRPr="00175174" w:rsidR="00EE48AA" w:rsidP="00175174" w:rsidRDefault="00EE48AA" w14:paraId="131F1B54" w14:textId="77777777">
      <w:pPr>
        <w:suppressAutoHyphens/>
        <w:spacing w:after="0"/>
        <w:jc w:val="left"/>
        <w:rPr>
          <w:i/>
          <w:iCs/>
        </w:rPr>
      </w:pPr>
    </w:p>
    <w:p w:rsidRPr="00175174" w:rsidR="00EE48AA" w:rsidP="00175174" w:rsidRDefault="00EE48AA" w14:paraId="4F79CBCC" w14:textId="25F069FF">
      <w:pPr>
        <w:suppressAutoHyphens/>
        <w:spacing w:after="0"/>
        <w:jc w:val="left"/>
        <w:rPr>
          <w:i/>
          <w:iCs/>
        </w:rPr>
      </w:pPr>
      <w:r w:rsidRPr="00175174">
        <w:rPr>
          <w:i/>
          <w:iCs/>
        </w:rPr>
        <w:t>Tabel B - Uitgaven</w:t>
      </w:r>
    </w:p>
    <w:tbl>
      <w:tblPr>
        <w:tblStyle w:val="TableNormal"/>
        <w:tblW w:w="83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Look w:val="01E0" w:firstRow="1" w:lastRow="1" w:firstColumn="1" w:lastColumn="1" w:noHBand="0" w:noVBand="0"/>
      </w:tblPr>
      <w:tblGrid>
        <w:gridCol w:w="3256"/>
        <w:gridCol w:w="1275"/>
        <w:gridCol w:w="1134"/>
        <w:gridCol w:w="1276"/>
        <w:gridCol w:w="1418"/>
      </w:tblGrid>
      <w:tr w:rsidRPr="00175174" w:rsidR="008914F9" w:rsidTr="00613504" w14:paraId="34230C29" w14:textId="434C27A3">
        <w:trPr>
          <w:trHeight w:val="239"/>
        </w:trPr>
        <w:tc>
          <w:tcPr>
            <w:tcW w:w="3256" w:type="dxa"/>
            <w:shd w:val="clear" w:color="auto" w:fill="002F5B"/>
          </w:tcPr>
          <w:p w:rsidRPr="00175174" w:rsidR="008914F9" w:rsidP="00175174" w:rsidRDefault="008914F9" w14:paraId="783636B5" w14:textId="77777777">
            <w:pPr>
              <w:pStyle w:val="TableParagraph"/>
              <w:suppressAutoHyphens/>
              <w:jc w:val="left"/>
              <w:rPr>
                <w:b/>
                <w:bCs/>
                <w:sz w:val="18"/>
                <w:szCs w:val="18"/>
              </w:rPr>
            </w:pPr>
          </w:p>
        </w:tc>
        <w:tc>
          <w:tcPr>
            <w:tcW w:w="1275" w:type="dxa"/>
            <w:shd w:val="clear" w:color="auto" w:fill="002F5B"/>
          </w:tcPr>
          <w:p w:rsidRPr="00175174" w:rsidR="008914F9" w:rsidP="00175174" w:rsidRDefault="008914F9" w14:paraId="52DDB56A" w14:textId="77777777">
            <w:pPr>
              <w:pStyle w:val="TableParagraph"/>
              <w:suppressAutoHyphens/>
              <w:jc w:val="left"/>
              <w:rPr>
                <w:b/>
                <w:bCs/>
                <w:sz w:val="18"/>
                <w:szCs w:val="18"/>
              </w:rPr>
            </w:pPr>
            <w:r w:rsidRPr="00175174">
              <w:rPr>
                <w:b/>
                <w:bCs/>
                <w:sz w:val="18"/>
                <w:szCs w:val="18"/>
              </w:rPr>
              <w:t>[1]</w:t>
            </w:r>
          </w:p>
        </w:tc>
        <w:tc>
          <w:tcPr>
            <w:tcW w:w="1134" w:type="dxa"/>
            <w:shd w:val="clear" w:color="auto" w:fill="002F5B"/>
          </w:tcPr>
          <w:p w:rsidRPr="00175174" w:rsidR="008914F9" w:rsidP="00175174" w:rsidRDefault="008914F9" w14:paraId="1E85807F" w14:textId="77777777">
            <w:pPr>
              <w:pStyle w:val="TableParagraph"/>
              <w:suppressAutoHyphens/>
              <w:jc w:val="left"/>
              <w:rPr>
                <w:b/>
                <w:bCs/>
                <w:sz w:val="18"/>
                <w:szCs w:val="18"/>
              </w:rPr>
            </w:pPr>
            <w:r w:rsidRPr="00175174">
              <w:rPr>
                <w:b/>
                <w:bCs/>
                <w:sz w:val="18"/>
                <w:szCs w:val="18"/>
              </w:rPr>
              <w:t>[2]</w:t>
            </w:r>
          </w:p>
        </w:tc>
        <w:tc>
          <w:tcPr>
            <w:tcW w:w="1276" w:type="dxa"/>
            <w:shd w:val="clear" w:color="auto" w:fill="002F5B"/>
          </w:tcPr>
          <w:p w:rsidRPr="00175174" w:rsidR="008914F9" w:rsidP="00175174" w:rsidRDefault="008914F9" w14:paraId="4FAFE4A5" w14:textId="0FC6386D">
            <w:pPr>
              <w:pStyle w:val="TableParagraph"/>
              <w:suppressAutoHyphens/>
              <w:jc w:val="left"/>
              <w:rPr>
                <w:b/>
                <w:bCs/>
                <w:sz w:val="18"/>
                <w:szCs w:val="18"/>
              </w:rPr>
            </w:pPr>
            <w:r w:rsidRPr="00175174">
              <w:rPr>
                <w:b/>
                <w:bCs/>
                <w:sz w:val="18"/>
                <w:szCs w:val="18"/>
              </w:rPr>
              <w:t>[3]</w:t>
            </w:r>
          </w:p>
        </w:tc>
        <w:tc>
          <w:tcPr>
            <w:tcW w:w="1418" w:type="dxa"/>
            <w:shd w:val="clear" w:color="auto" w:fill="002F5B"/>
          </w:tcPr>
          <w:p w:rsidRPr="00175174" w:rsidR="008914F9" w:rsidP="00175174" w:rsidRDefault="008914F9" w14:paraId="5B997A4B" w14:textId="291B2C20">
            <w:pPr>
              <w:pStyle w:val="TableParagraph"/>
              <w:suppressAutoHyphens/>
              <w:jc w:val="left"/>
              <w:rPr>
                <w:b/>
                <w:bCs/>
                <w:sz w:val="18"/>
                <w:szCs w:val="18"/>
              </w:rPr>
            </w:pPr>
            <w:r w:rsidRPr="00175174">
              <w:rPr>
                <w:b/>
                <w:bCs/>
                <w:sz w:val="18"/>
                <w:szCs w:val="18"/>
              </w:rPr>
              <w:t>[4] =</w:t>
            </w:r>
            <w:r w:rsidRPr="00175174">
              <w:rPr>
                <w:b/>
                <w:bCs/>
                <w:spacing w:val="-3"/>
                <w:sz w:val="18"/>
                <w:szCs w:val="18"/>
              </w:rPr>
              <w:t xml:space="preserve"> </w:t>
            </w:r>
            <w:r w:rsidRPr="00175174">
              <w:rPr>
                <w:b/>
                <w:bCs/>
                <w:sz w:val="18"/>
                <w:szCs w:val="18"/>
              </w:rPr>
              <w:t>[1]+[2]+[3]</w:t>
            </w:r>
          </w:p>
        </w:tc>
      </w:tr>
      <w:tr w:rsidRPr="00175174" w:rsidR="008914F9" w:rsidTr="00613504" w14:paraId="0ED2AB31" w14:textId="159BDC2E">
        <w:trPr>
          <w:trHeight w:val="720"/>
        </w:trPr>
        <w:tc>
          <w:tcPr>
            <w:tcW w:w="3256" w:type="dxa"/>
            <w:shd w:val="clear" w:color="auto" w:fill="002F5B"/>
          </w:tcPr>
          <w:p w:rsidRPr="00175174" w:rsidR="008914F9" w:rsidP="00175174" w:rsidRDefault="008914F9" w14:paraId="3F965EDB" w14:textId="77777777">
            <w:pPr>
              <w:pStyle w:val="TableParagraph"/>
              <w:suppressAutoHyphens/>
              <w:jc w:val="left"/>
              <w:rPr>
                <w:b/>
                <w:bCs/>
                <w:sz w:val="18"/>
                <w:szCs w:val="18"/>
              </w:rPr>
            </w:pPr>
          </w:p>
          <w:p w:rsidRPr="00175174" w:rsidR="008914F9" w:rsidP="00175174" w:rsidRDefault="008914F9" w14:paraId="06C1DFDD" w14:textId="41ABDBDB">
            <w:pPr>
              <w:pStyle w:val="TableParagraph"/>
              <w:suppressAutoHyphens/>
              <w:jc w:val="left"/>
              <w:rPr>
                <w:b/>
                <w:bCs/>
                <w:sz w:val="18"/>
                <w:szCs w:val="18"/>
              </w:rPr>
            </w:pPr>
            <w:proofErr w:type="spellStart"/>
            <w:r w:rsidRPr="00175174">
              <w:rPr>
                <w:b/>
                <w:bCs/>
                <w:sz w:val="18"/>
                <w:szCs w:val="18"/>
              </w:rPr>
              <w:t>Uitgaven</w:t>
            </w:r>
            <w:proofErr w:type="spellEnd"/>
          </w:p>
        </w:tc>
        <w:tc>
          <w:tcPr>
            <w:tcW w:w="1275" w:type="dxa"/>
            <w:shd w:val="clear" w:color="auto" w:fill="002F5B"/>
          </w:tcPr>
          <w:p w:rsidRPr="00175174" w:rsidR="008914F9" w:rsidP="00175174" w:rsidRDefault="008914F9" w14:paraId="56B5CEC4" w14:textId="77777777">
            <w:pPr>
              <w:pStyle w:val="TableParagraph"/>
              <w:suppressAutoHyphens/>
              <w:jc w:val="left"/>
              <w:rPr>
                <w:b/>
                <w:bCs/>
                <w:sz w:val="18"/>
                <w:szCs w:val="18"/>
              </w:rPr>
            </w:pPr>
            <w:r w:rsidRPr="00175174">
              <w:rPr>
                <w:b/>
                <w:bCs/>
                <w:sz w:val="18"/>
                <w:szCs w:val="18"/>
              </w:rPr>
              <w:t xml:space="preserve">T/m 31 </w:t>
            </w:r>
            <w:proofErr w:type="spellStart"/>
            <w:r w:rsidRPr="00175174">
              <w:rPr>
                <w:b/>
                <w:bCs/>
                <w:sz w:val="18"/>
                <w:szCs w:val="18"/>
              </w:rPr>
              <w:t>december</w:t>
            </w:r>
            <w:proofErr w:type="spellEnd"/>
            <w:r w:rsidRPr="00175174">
              <w:rPr>
                <w:b/>
                <w:bCs/>
                <w:sz w:val="18"/>
                <w:szCs w:val="18"/>
              </w:rPr>
              <w:t xml:space="preserve"> 2024</w:t>
            </w:r>
          </w:p>
        </w:tc>
        <w:tc>
          <w:tcPr>
            <w:tcW w:w="1134" w:type="dxa"/>
            <w:shd w:val="clear" w:color="auto" w:fill="002F5B"/>
          </w:tcPr>
          <w:p w:rsidRPr="00175174" w:rsidR="008914F9" w:rsidP="00175174" w:rsidRDefault="008914F9" w14:paraId="17CA18DC" w14:textId="5A25C362">
            <w:pPr>
              <w:pStyle w:val="TableParagraph"/>
              <w:suppressAutoHyphens/>
              <w:jc w:val="left"/>
              <w:rPr>
                <w:b/>
                <w:bCs/>
                <w:sz w:val="18"/>
                <w:szCs w:val="18"/>
              </w:rPr>
            </w:pPr>
            <w:proofErr w:type="spellStart"/>
            <w:r w:rsidRPr="00175174">
              <w:rPr>
                <w:b/>
                <w:bCs/>
                <w:sz w:val="18"/>
                <w:szCs w:val="18"/>
              </w:rPr>
              <w:t>Realisatie</w:t>
            </w:r>
            <w:proofErr w:type="spellEnd"/>
            <w:r w:rsidRPr="00175174">
              <w:rPr>
                <w:b/>
                <w:bCs/>
                <w:sz w:val="18"/>
                <w:szCs w:val="18"/>
              </w:rPr>
              <w:t xml:space="preserve"> 2025</w:t>
            </w:r>
          </w:p>
        </w:tc>
        <w:tc>
          <w:tcPr>
            <w:tcW w:w="1276" w:type="dxa"/>
            <w:shd w:val="clear" w:color="auto" w:fill="002F5B"/>
          </w:tcPr>
          <w:p w:rsidRPr="00175174" w:rsidR="008914F9" w:rsidP="00175174" w:rsidRDefault="008914F9" w14:paraId="79F57406" w14:textId="60B60FA4">
            <w:pPr>
              <w:pStyle w:val="TableParagraph"/>
              <w:suppressAutoHyphens/>
              <w:jc w:val="left"/>
              <w:rPr>
                <w:b/>
                <w:bCs/>
                <w:sz w:val="18"/>
                <w:szCs w:val="18"/>
              </w:rPr>
            </w:pPr>
            <w:r w:rsidRPr="00175174">
              <w:rPr>
                <w:b/>
                <w:bCs/>
                <w:sz w:val="18"/>
                <w:szCs w:val="18"/>
              </w:rPr>
              <w:t>Herru</w:t>
            </w:r>
            <w:r w:rsidRPr="00175174" w:rsidR="00613504">
              <w:rPr>
                <w:b/>
                <w:bCs/>
                <w:sz w:val="18"/>
                <w:szCs w:val="18"/>
              </w:rPr>
              <w:t>-</w:t>
            </w:r>
            <w:proofErr w:type="spellStart"/>
            <w:r w:rsidRPr="00175174">
              <w:rPr>
                <w:b/>
                <w:bCs/>
                <w:sz w:val="18"/>
                <w:szCs w:val="18"/>
              </w:rPr>
              <w:t>bricering</w:t>
            </w:r>
            <w:proofErr w:type="spellEnd"/>
            <w:r w:rsidRPr="00175174">
              <w:rPr>
                <w:b/>
                <w:bCs/>
                <w:sz w:val="18"/>
                <w:szCs w:val="18"/>
              </w:rPr>
              <w:t xml:space="preserve"> 2025</w:t>
            </w:r>
          </w:p>
        </w:tc>
        <w:tc>
          <w:tcPr>
            <w:tcW w:w="1418" w:type="dxa"/>
            <w:shd w:val="clear" w:color="auto" w:fill="002F5B"/>
          </w:tcPr>
          <w:p w:rsidRPr="00175174" w:rsidR="008914F9" w:rsidP="00175174" w:rsidRDefault="008914F9" w14:paraId="175A98B8" w14:textId="511762AA">
            <w:pPr>
              <w:pStyle w:val="TableParagraph"/>
              <w:suppressAutoHyphens/>
              <w:jc w:val="left"/>
              <w:rPr>
                <w:b/>
                <w:bCs/>
                <w:sz w:val="18"/>
                <w:szCs w:val="18"/>
              </w:rPr>
            </w:pPr>
            <w:r w:rsidRPr="00175174">
              <w:rPr>
                <w:b/>
                <w:bCs/>
                <w:sz w:val="18"/>
                <w:szCs w:val="18"/>
              </w:rPr>
              <w:t xml:space="preserve">T/m 31 </w:t>
            </w:r>
            <w:proofErr w:type="spellStart"/>
            <w:r w:rsidRPr="00175174">
              <w:rPr>
                <w:b/>
                <w:bCs/>
                <w:sz w:val="18"/>
                <w:szCs w:val="18"/>
              </w:rPr>
              <w:t>december</w:t>
            </w:r>
            <w:proofErr w:type="spellEnd"/>
            <w:r w:rsidRPr="00175174">
              <w:rPr>
                <w:b/>
                <w:bCs/>
                <w:sz w:val="18"/>
                <w:szCs w:val="18"/>
              </w:rPr>
              <w:t xml:space="preserve"> 2025</w:t>
            </w:r>
          </w:p>
        </w:tc>
      </w:tr>
      <w:tr w:rsidRPr="00175174" w:rsidR="00613504" w:rsidTr="00DD43FD" w14:paraId="59AD4B3C" w14:textId="3D752819">
        <w:trPr>
          <w:trHeight w:val="239"/>
        </w:trPr>
        <w:tc>
          <w:tcPr>
            <w:tcW w:w="3256" w:type="dxa"/>
          </w:tcPr>
          <w:p w:rsidRPr="00175174" w:rsidR="00613504" w:rsidP="00175174" w:rsidRDefault="00613504" w14:paraId="54310778" w14:textId="77777777">
            <w:pPr>
              <w:pStyle w:val="TableParagraph"/>
              <w:suppressAutoHyphens/>
              <w:jc w:val="left"/>
              <w:rPr>
                <w:i/>
                <w:iCs/>
                <w:sz w:val="18"/>
                <w:szCs w:val="18"/>
              </w:rPr>
            </w:pPr>
            <w:r w:rsidRPr="00175174">
              <w:rPr>
                <w:i/>
                <w:iCs/>
                <w:sz w:val="18"/>
                <w:szCs w:val="18"/>
              </w:rPr>
              <w:t xml:space="preserve">Subsidies </w:t>
            </w:r>
          </w:p>
          <w:p w:rsidRPr="00175174" w:rsidR="00613504" w:rsidP="00175174" w:rsidRDefault="00613504" w14:paraId="42FE2961" w14:textId="77F85BDC">
            <w:pPr>
              <w:pStyle w:val="TableParagraph"/>
              <w:suppressAutoHyphens/>
              <w:jc w:val="left"/>
              <w:rPr>
                <w:sz w:val="18"/>
                <w:szCs w:val="18"/>
              </w:rPr>
            </w:pPr>
            <w:r w:rsidRPr="00175174">
              <w:rPr>
                <w:sz w:val="18"/>
                <w:szCs w:val="18"/>
              </w:rPr>
              <w:t>PALLAS-nieuwbouwprogramma</w:t>
            </w:r>
          </w:p>
        </w:tc>
        <w:tc>
          <w:tcPr>
            <w:tcW w:w="1275" w:type="dxa"/>
          </w:tcPr>
          <w:p w:rsidRPr="00175174" w:rsidR="00613504" w:rsidP="00175174" w:rsidRDefault="00613504" w14:paraId="2B863905" w14:textId="5C1AE770">
            <w:pPr>
              <w:pStyle w:val="TableParagraph"/>
              <w:suppressAutoHyphens/>
              <w:jc w:val="left"/>
              <w:rPr>
                <w:sz w:val="18"/>
                <w:szCs w:val="18"/>
              </w:rPr>
            </w:pPr>
            <w:r w:rsidRPr="00175174">
              <w:rPr>
                <w:sz w:val="18"/>
                <w:szCs w:val="18"/>
              </w:rPr>
              <w:t>602.606</w:t>
            </w:r>
          </w:p>
        </w:tc>
        <w:tc>
          <w:tcPr>
            <w:tcW w:w="1134" w:type="dxa"/>
          </w:tcPr>
          <w:p w:rsidRPr="00175174" w:rsidR="00613504" w:rsidP="00175174" w:rsidRDefault="00613504" w14:paraId="574632EE" w14:textId="166A14E3">
            <w:pPr>
              <w:pStyle w:val="TableParagraph"/>
              <w:suppressAutoHyphens/>
              <w:jc w:val="left"/>
              <w:rPr>
                <w:sz w:val="18"/>
                <w:szCs w:val="18"/>
              </w:rPr>
            </w:pPr>
            <w:r w:rsidRPr="00175174">
              <w:rPr>
                <w:sz w:val="18"/>
                <w:szCs w:val="18"/>
              </w:rPr>
              <w:t>11.019</w:t>
            </w:r>
          </w:p>
        </w:tc>
        <w:tc>
          <w:tcPr>
            <w:tcW w:w="1276" w:type="dxa"/>
          </w:tcPr>
          <w:p w:rsidRPr="00175174" w:rsidR="00613504" w:rsidP="00175174" w:rsidRDefault="00613504" w14:paraId="635CD40D" w14:textId="438FA762">
            <w:pPr>
              <w:pStyle w:val="TableParagraph"/>
              <w:suppressAutoHyphens/>
              <w:jc w:val="left"/>
              <w:rPr>
                <w:sz w:val="18"/>
                <w:szCs w:val="18"/>
              </w:rPr>
            </w:pPr>
            <w:r w:rsidRPr="00175174">
              <w:rPr>
                <w:sz w:val="18"/>
                <w:szCs w:val="18"/>
              </w:rPr>
              <w:t>-613.625</w:t>
            </w:r>
          </w:p>
        </w:tc>
        <w:tc>
          <w:tcPr>
            <w:tcW w:w="1418" w:type="dxa"/>
          </w:tcPr>
          <w:p w:rsidRPr="00175174" w:rsidR="00613504" w:rsidP="00175174" w:rsidRDefault="00613504" w14:paraId="52900CFD" w14:textId="0AC52051">
            <w:pPr>
              <w:pStyle w:val="TableParagraph"/>
              <w:suppressAutoHyphens/>
              <w:jc w:val="left"/>
              <w:rPr>
                <w:sz w:val="18"/>
                <w:szCs w:val="18"/>
              </w:rPr>
            </w:pPr>
            <w:r w:rsidRPr="00175174">
              <w:rPr>
                <w:sz w:val="18"/>
                <w:szCs w:val="18"/>
              </w:rPr>
              <w:t>-</w:t>
            </w:r>
          </w:p>
        </w:tc>
      </w:tr>
      <w:tr w:rsidRPr="00175174" w:rsidR="00613504" w:rsidTr="00DD43FD" w14:paraId="74528BA3" w14:textId="51EEEA59">
        <w:trPr>
          <w:trHeight w:val="241"/>
        </w:trPr>
        <w:tc>
          <w:tcPr>
            <w:tcW w:w="3256" w:type="dxa"/>
          </w:tcPr>
          <w:p w:rsidRPr="00175174" w:rsidR="00613504" w:rsidP="00175174" w:rsidRDefault="00613504" w14:paraId="0DE8FBE3" w14:textId="77777777">
            <w:pPr>
              <w:pStyle w:val="TableParagraph"/>
              <w:suppressAutoHyphens/>
              <w:jc w:val="left"/>
              <w:rPr>
                <w:i/>
                <w:iCs/>
                <w:sz w:val="18"/>
                <w:szCs w:val="18"/>
              </w:rPr>
            </w:pPr>
            <w:proofErr w:type="spellStart"/>
            <w:r w:rsidRPr="00175174">
              <w:rPr>
                <w:i/>
                <w:iCs/>
                <w:sz w:val="18"/>
                <w:szCs w:val="18"/>
              </w:rPr>
              <w:t>Leningen</w:t>
            </w:r>
            <w:proofErr w:type="spellEnd"/>
            <w:r w:rsidRPr="00175174">
              <w:rPr>
                <w:i/>
                <w:iCs/>
                <w:sz w:val="18"/>
                <w:szCs w:val="18"/>
              </w:rPr>
              <w:t xml:space="preserve"> </w:t>
            </w:r>
          </w:p>
          <w:p w:rsidRPr="00175174" w:rsidR="00613504" w:rsidP="00175174" w:rsidRDefault="00613504" w14:paraId="682C19DB" w14:textId="3E13FBC5">
            <w:pPr>
              <w:pStyle w:val="TableParagraph"/>
              <w:suppressAutoHyphens/>
              <w:jc w:val="left"/>
              <w:rPr>
                <w:sz w:val="18"/>
                <w:szCs w:val="18"/>
              </w:rPr>
            </w:pPr>
            <w:r w:rsidRPr="00175174">
              <w:rPr>
                <w:sz w:val="18"/>
                <w:szCs w:val="18"/>
              </w:rPr>
              <w:t>PALLAS-nieuwbouwprogramma</w:t>
            </w:r>
          </w:p>
        </w:tc>
        <w:tc>
          <w:tcPr>
            <w:tcW w:w="1275" w:type="dxa"/>
          </w:tcPr>
          <w:p w:rsidRPr="00175174" w:rsidR="00613504" w:rsidP="00175174" w:rsidRDefault="00613504" w14:paraId="7EE8D752" w14:textId="38143887">
            <w:pPr>
              <w:pStyle w:val="TableParagraph"/>
              <w:suppressAutoHyphens/>
              <w:jc w:val="left"/>
              <w:rPr>
                <w:sz w:val="18"/>
                <w:szCs w:val="18"/>
              </w:rPr>
            </w:pPr>
            <w:r w:rsidRPr="00175174">
              <w:rPr>
                <w:sz w:val="18"/>
                <w:szCs w:val="18"/>
              </w:rPr>
              <w:t>-</w:t>
            </w:r>
          </w:p>
        </w:tc>
        <w:tc>
          <w:tcPr>
            <w:tcW w:w="1134" w:type="dxa"/>
          </w:tcPr>
          <w:p w:rsidRPr="00175174" w:rsidR="00613504" w:rsidP="00175174" w:rsidRDefault="00613504" w14:paraId="45997327" w14:textId="71AB1432">
            <w:pPr>
              <w:pStyle w:val="TableParagraph"/>
              <w:suppressAutoHyphens/>
              <w:jc w:val="left"/>
              <w:rPr>
                <w:sz w:val="18"/>
                <w:szCs w:val="18"/>
              </w:rPr>
            </w:pPr>
            <w:r w:rsidRPr="00175174">
              <w:rPr>
                <w:sz w:val="18"/>
                <w:szCs w:val="18"/>
              </w:rPr>
              <w:t>23.654</w:t>
            </w:r>
          </w:p>
        </w:tc>
        <w:tc>
          <w:tcPr>
            <w:tcW w:w="1276" w:type="dxa"/>
          </w:tcPr>
          <w:p w:rsidRPr="00175174" w:rsidR="00613504" w:rsidP="00175174" w:rsidRDefault="00613504" w14:paraId="79D595BE" w14:textId="4E6C31CD">
            <w:pPr>
              <w:pStyle w:val="TableParagraph"/>
              <w:suppressAutoHyphens/>
              <w:jc w:val="left"/>
              <w:rPr>
                <w:sz w:val="18"/>
                <w:szCs w:val="18"/>
              </w:rPr>
            </w:pPr>
            <w:r w:rsidRPr="00175174">
              <w:rPr>
                <w:sz w:val="18"/>
                <w:szCs w:val="18"/>
              </w:rPr>
              <w:t>613.625</w:t>
            </w:r>
          </w:p>
        </w:tc>
        <w:tc>
          <w:tcPr>
            <w:tcW w:w="1418" w:type="dxa"/>
          </w:tcPr>
          <w:p w:rsidRPr="00175174" w:rsidR="00613504" w:rsidP="00175174" w:rsidRDefault="00613504" w14:paraId="55A13B16" w14:textId="52D1DEF3">
            <w:pPr>
              <w:pStyle w:val="TableParagraph"/>
              <w:suppressAutoHyphens/>
              <w:jc w:val="left"/>
              <w:rPr>
                <w:sz w:val="18"/>
                <w:szCs w:val="18"/>
              </w:rPr>
            </w:pPr>
            <w:r w:rsidRPr="00175174">
              <w:rPr>
                <w:sz w:val="18"/>
                <w:szCs w:val="18"/>
              </w:rPr>
              <w:t>637.279</w:t>
            </w:r>
          </w:p>
        </w:tc>
      </w:tr>
      <w:tr w:rsidRPr="00175174" w:rsidR="00613504" w:rsidTr="00DD43FD" w14:paraId="008ED2EA" w14:textId="6442DE96">
        <w:trPr>
          <w:trHeight w:val="241"/>
        </w:trPr>
        <w:tc>
          <w:tcPr>
            <w:tcW w:w="3256" w:type="dxa"/>
          </w:tcPr>
          <w:p w:rsidRPr="00175174" w:rsidR="00613504" w:rsidP="00175174" w:rsidRDefault="00613504" w14:paraId="1FAE9946" w14:textId="77777777">
            <w:pPr>
              <w:pStyle w:val="TableParagraph"/>
              <w:suppressAutoHyphens/>
              <w:jc w:val="left"/>
              <w:rPr>
                <w:i/>
                <w:iCs/>
                <w:sz w:val="18"/>
                <w:szCs w:val="18"/>
              </w:rPr>
            </w:pPr>
            <w:proofErr w:type="spellStart"/>
            <w:r w:rsidRPr="00175174">
              <w:rPr>
                <w:i/>
                <w:iCs/>
                <w:sz w:val="18"/>
                <w:szCs w:val="18"/>
              </w:rPr>
              <w:t>Vermogensverschaffing</w:t>
            </w:r>
            <w:proofErr w:type="spellEnd"/>
          </w:p>
          <w:p w:rsidRPr="00175174" w:rsidR="00613504" w:rsidP="00175174" w:rsidRDefault="00613504" w14:paraId="1DC3DAE3" w14:textId="083ACAB4">
            <w:pPr>
              <w:pStyle w:val="TableParagraph"/>
              <w:suppressAutoHyphens/>
              <w:jc w:val="left"/>
              <w:rPr>
                <w:sz w:val="18"/>
                <w:szCs w:val="18"/>
              </w:rPr>
            </w:pPr>
            <w:r w:rsidRPr="00175174">
              <w:rPr>
                <w:sz w:val="18"/>
                <w:szCs w:val="18"/>
              </w:rPr>
              <w:t>PALLAS-nieuwbouwprogramma</w:t>
            </w:r>
          </w:p>
        </w:tc>
        <w:tc>
          <w:tcPr>
            <w:tcW w:w="1275" w:type="dxa"/>
          </w:tcPr>
          <w:p w:rsidRPr="00175174" w:rsidR="00613504" w:rsidP="00175174" w:rsidRDefault="00613504" w14:paraId="7DB0F4E0" w14:textId="0140D87A">
            <w:pPr>
              <w:pStyle w:val="TableParagraph"/>
              <w:suppressAutoHyphens/>
              <w:jc w:val="left"/>
              <w:rPr>
                <w:sz w:val="18"/>
                <w:szCs w:val="18"/>
              </w:rPr>
            </w:pPr>
            <w:r w:rsidRPr="00175174">
              <w:rPr>
                <w:sz w:val="18"/>
                <w:szCs w:val="18"/>
              </w:rPr>
              <w:t>-</w:t>
            </w:r>
          </w:p>
        </w:tc>
        <w:tc>
          <w:tcPr>
            <w:tcW w:w="1134" w:type="dxa"/>
          </w:tcPr>
          <w:p w:rsidRPr="00175174" w:rsidR="00613504" w:rsidP="00175174" w:rsidRDefault="00613504" w14:paraId="08AF4158" w14:textId="37C45014">
            <w:pPr>
              <w:pStyle w:val="TableParagraph"/>
              <w:suppressAutoHyphens/>
              <w:jc w:val="left"/>
              <w:rPr>
                <w:sz w:val="18"/>
                <w:szCs w:val="18"/>
              </w:rPr>
            </w:pPr>
            <w:r w:rsidRPr="00175174">
              <w:rPr>
                <w:sz w:val="18"/>
                <w:szCs w:val="18"/>
              </w:rPr>
              <w:t>267.410</w:t>
            </w:r>
          </w:p>
        </w:tc>
        <w:tc>
          <w:tcPr>
            <w:tcW w:w="1276" w:type="dxa"/>
          </w:tcPr>
          <w:p w:rsidRPr="00175174" w:rsidR="00613504" w:rsidP="00175174" w:rsidRDefault="00613504" w14:paraId="2A2A4657" w14:textId="66858984">
            <w:pPr>
              <w:pStyle w:val="TableParagraph"/>
              <w:suppressAutoHyphens/>
              <w:jc w:val="left"/>
              <w:rPr>
                <w:sz w:val="18"/>
                <w:szCs w:val="18"/>
              </w:rPr>
            </w:pPr>
            <w:r w:rsidRPr="00175174">
              <w:rPr>
                <w:sz w:val="18"/>
                <w:szCs w:val="18"/>
              </w:rPr>
              <w:t>-</w:t>
            </w:r>
          </w:p>
        </w:tc>
        <w:tc>
          <w:tcPr>
            <w:tcW w:w="1418" w:type="dxa"/>
          </w:tcPr>
          <w:p w:rsidRPr="00175174" w:rsidR="00613504" w:rsidP="00175174" w:rsidRDefault="00613504" w14:paraId="74621587" w14:textId="239F7A03">
            <w:pPr>
              <w:pStyle w:val="TableParagraph"/>
              <w:suppressAutoHyphens/>
              <w:jc w:val="left"/>
              <w:rPr>
                <w:sz w:val="18"/>
                <w:szCs w:val="18"/>
              </w:rPr>
            </w:pPr>
            <w:r w:rsidRPr="00175174">
              <w:rPr>
                <w:sz w:val="18"/>
                <w:szCs w:val="18"/>
              </w:rPr>
              <w:t>267.410</w:t>
            </w:r>
          </w:p>
        </w:tc>
      </w:tr>
      <w:tr w:rsidRPr="00175174" w:rsidR="00613504" w:rsidTr="00DD43FD" w14:paraId="45A50760" w14:textId="24F120D0">
        <w:trPr>
          <w:trHeight w:val="241"/>
        </w:trPr>
        <w:tc>
          <w:tcPr>
            <w:tcW w:w="3256" w:type="dxa"/>
            <w:vAlign w:val="center"/>
          </w:tcPr>
          <w:p w:rsidRPr="00175174" w:rsidR="00B36296" w:rsidP="00175174" w:rsidRDefault="00613504" w14:paraId="614B4214" w14:textId="77777777">
            <w:pPr>
              <w:pStyle w:val="TableParagraph"/>
              <w:suppressAutoHyphens/>
              <w:jc w:val="left"/>
              <w:rPr>
                <w:b/>
                <w:bCs/>
                <w:sz w:val="18"/>
                <w:szCs w:val="18"/>
              </w:rPr>
            </w:pPr>
            <w:proofErr w:type="spellStart"/>
            <w:r w:rsidRPr="00175174">
              <w:rPr>
                <w:b/>
                <w:bCs/>
                <w:sz w:val="18"/>
                <w:szCs w:val="18"/>
              </w:rPr>
              <w:t>Subtotaal</w:t>
            </w:r>
            <w:proofErr w:type="spellEnd"/>
            <w:r w:rsidRPr="00175174">
              <w:rPr>
                <w:b/>
                <w:bCs/>
                <w:sz w:val="18"/>
                <w:szCs w:val="18"/>
              </w:rPr>
              <w:t xml:space="preserve"> </w:t>
            </w:r>
            <w:proofErr w:type="spellStart"/>
            <w:r w:rsidRPr="00175174">
              <w:rPr>
                <w:b/>
                <w:bCs/>
                <w:sz w:val="18"/>
                <w:szCs w:val="18"/>
              </w:rPr>
              <w:t>bouwprogramma</w:t>
            </w:r>
            <w:proofErr w:type="spellEnd"/>
          </w:p>
          <w:p w:rsidRPr="00175174" w:rsidR="00E56698" w:rsidP="00175174" w:rsidRDefault="00E56698" w14:paraId="032476CD" w14:textId="7E47C9CC">
            <w:pPr>
              <w:pStyle w:val="TableParagraph"/>
              <w:suppressAutoHyphens/>
              <w:jc w:val="left"/>
              <w:rPr>
                <w:b/>
                <w:bCs/>
                <w:sz w:val="18"/>
                <w:szCs w:val="18"/>
              </w:rPr>
            </w:pPr>
          </w:p>
        </w:tc>
        <w:tc>
          <w:tcPr>
            <w:tcW w:w="1275" w:type="dxa"/>
          </w:tcPr>
          <w:p w:rsidRPr="00175174" w:rsidR="00613504" w:rsidP="00175174" w:rsidRDefault="00613504" w14:paraId="28EE4D8C" w14:textId="074324AF">
            <w:pPr>
              <w:pStyle w:val="TableParagraph"/>
              <w:suppressAutoHyphens/>
              <w:jc w:val="left"/>
              <w:rPr>
                <w:b/>
                <w:bCs/>
                <w:sz w:val="18"/>
                <w:szCs w:val="18"/>
              </w:rPr>
            </w:pPr>
            <w:r w:rsidRPr="00175174">
              <w:rPr>
                <w:b/>
                <w:bCs/>
                <w:sz w:val="18"/>
                <w:szCs w:val="18"/>
              </w:rPr>
              <w:t>602.606</w:t>
            </w:r>
          </w:p>
        </w:tc>
        <w:tc>
          <w:tcPr>
            <w:tcW w:w="1134" w:type="dxa"/>
          </w:tcPr>
          <w:p w:rsidRPr="00175174" w:rsidR="00613504" w:rsidP="00175174" w:rsidRDefault="00613504" w14:paraId="5921BABE" w14:textId="438D59AC">
            <w:pPr>
              <w:pStyle w:val="TableParagraph"/>
              <w:suppressAutoHyphens/>
              <w:jc w:val="left"/>
              <w:rPr>
                <w:b/>
                <w:bCs/>
                <w:sz w:val="18"/>
                <w:szCs w:val="18"/>
              </w:rPr>
            </w:pPr>
            <w:r w:rsidRPr="00175174">
              <w:rPr>
                <w:b/>
                <w:bCs/>
                <w:sz w:val="18"/>
                <w:szCs w:val="18"/>
              </w:rPr>
              <w:t>302.083</w:t>
            </w:r>
          </w:p>
        </w:tc>
        <w:tc>
          <w:tcPr>
            <w:tcW w:w="1276" w:type="dxa"/>
          </w:tcPr>
          <w:p w:rsidRPr="00175174" w:rsidR="00613504" w:rsidP="00175174" w:rsidRDefault="00613504" w14:paraId="2DAFF564" w14:textId="1C9B2C62">
            <w:pPr>
              <w:pStyle w:val="TableParagraph"/>
              <w:suppressAutoHyphens/>
              <w:jc w:val="left"/>
              <w:rPr>
                <w:b/>
                <w:bCs/>
                <w:sz w:val="18"/>
                <w:szCs w:val="18"/>
              </w:rPr>
            </w:pPr>
            <w:r w:rsidRPr="00175174">
              <w:rPr>
                <w:b/>
                <w:bCs/>
                <w:sz w:val="18"/>
                <w:szCs w:val="18"/>
              </w:rPr>
              <w:t>-</w:t>
            </w:r>
          </w:p>
        </w:tc>
        <w:tc>
          <w:tcPr>
            <w:tcW w:w="1418" w:type="dxa"/>
          </w:tcPr>
          <w:p w:rsidRPr="00175174" w:rsidR="00613504" w:rsidP="00175174" w:rsidRDefault="00613504" w14:paraId="51848DCC" w14:textId="38188E85">
            <w:pPr>
              <w:pStyle w:val="TableParagraph"/>
              <w:suppressAutoHyphens/>
              <w:jc w:val="left"/>
              <w:rPr>
                <w:b/>
                <w:bCs/>
                <w:sz w:val="18"/>
                <w:szCs w:val="18"/>
              </w:rPr>
            </w:pPr>
            <w:r w:rsidRPr="00175174">
              <w:rPr>
                <w:b/>
                <w:bCs/>
                <w:sz w:val="18"/>
                <w:szCs w:val="18"/>
              </w:rPr>
              <w:t>904.689</w:t>
            </w:r>
          </w:p>
        </w:tc>
      </w:tr>
      <w:tr w:rsidRPr="00175174" w:rsidR="00613504" w:rsidTr="00DD43FD" w14:paraId="443B5182" w14:textId="27FB3EBE">
        <w:trPr>
          <w:trHeight w:val="241"/>
        </w:trPr>
        <w:tc>
          <w:tcPr>
            <w:tcW w:w="3256" w:type="dxa"/>
          </w:tcPr>
          <w:p w:rsidRPr="00175174" w:rsidR="00613504" w:rsidP="00175174" w:rsidRDefault="00613504" w14:paraId="5FC949E7" w14:textId="77777777">
            <w:pPr>
              <w:pStyle w:val="TableParagraph"/>
              <w:suppressAutoHyphens/>
              <w:jc w:val="left"/>
              <w:rPr>
                <w:i/>
                <w:iCs/>
                <w:sz w:val="18"/>
                <w:szCs w:val="18"/>
              </w:rPr>
            </w:pPr>
            <w:proofErr w:type="spellStart"/>
            <w:r w:rsidRPr="00175174">
              <w:rPr>
                <w:i/>
                <w:iCs/>
                <w:sz w:val="18"/>
                <w:szCs w:val="18"/>
              </w:rPr>
              <w:t>Vermogensverschaffing</w:t>
            </w:r>
            <w:proofErr w:type="spellEnd"/>
          </w:p>
          <w:p w:rsidRPr="00175174" w:rsidR="00613504" w:rsidP="00175174" w:rsidRDefault="00613504" w14:paraId="023E1754" w14:textId="724FD692">
            <w:pPr>
              <w:pStyle w:val="TableParagraph"/>
              <w:suppressAutoHyphens/>
              <w:jc w:val="left"/>
              <w:rPr>
                <w:sz w:val="18"/>
                <w:szCs w:val="18"/>
              </w:rPr>
            </w:pPr>
            <w:proofErr w:type="spellStart"/>
            <w:r w:rsidRPr="00175174">
              <w:rPr>
                <w:sz w:val="18"/>
                <w:szCs w:val="18"/>
              </w:rPr>
              <w:t>Instandhouding</w:t>
            </w:r>
            <w:proofErr w:type="spellEnd"/>
            <w:r w:rsidRPr="00175174">
              <w:rPr>
                <w:sz w:val="18"/>
                <w:szCs w:val="18"/>
              </w:rPr>
              <w:t xml:space="preserve"> NRG PALLAS B.V.</w:t>
            </w:r>
          </w:p>
        </w:tc>
        <w:tc>
          <w:tcPr>
            <w:tcW w:w="1275" w:type="dxa"/>
          </w:tcPr>
          <w:p w:rsidRPr="00175174" w:rsidR="00613504" w:rsidP="00175174" w:rsidRDefault="00613504" w14:paraId="2311AD76" w14:textId="5274042E">
            <w:pPr>
              <w:pStyle w:val="TableParagraph"/>
              <w:suppressAutoHyphens/>
              <w:jc w:val="left"/>
              <w:rPr>
                <w:sz w:val="18"/>
                <w:szCs w:val="18"/>
              </w:rPr>
            </w:pPr>
            <w:r w:rsidRPr="00175174">
              <w:rPr>
                <w:sz w:val="18"/>
                <w:szCs w:val="18"/>
              </w:rPr>
              <w:t>-</w:t>
            </w:r>
          </w:p>
        </w:tc>
        <w:tc>
          <w:tcPr>
            <w:tcW w:w="1134" w:type="dxa"/>
          </w:tcPr>
          <w:p w:rsidRPr="00175174" w:rsidR="00613504" w:rsidP="00175174" w:rsidRDefault="00613504" w14:paraId="783852D4" w14:textId="35E5F851">
            <w:pPr>
              <w:pStyle w:val="TableParagraph"/>
              <w:suppressAutoHyphens/>
              <w:jc w:val="left"/>
              <w:rPr>
                <w:sz w:val="18"/>
                <w:szCs w:val="18"/>
              </w:rPr>
            </w:pPr>
            <w:r w:rsidRPr="00175174">
              <w:rPr>
                <w:sz w:val="18"/>
                <w:szCs w:val="18"/>
              </w:rPr>
              <w:t>76.261</w:t>
            </w:r>
          </w:p>
        </w:tc>
        <w:tc>
          <w:tcPr>
            <w:tcW w:w="1276" w:type="dxa"/>
          </w:tcPr>
          <w:p w:rsidRPr="00175174" w:rsidR="00613504" w:rsidP="00175174" w:rsidRDefault="00613504" w14:paraId="39585E0F" w14:textId="5F37063A">
            <w:pPr>
              <w:pStyle w:val="TableParagraph"/>
              <w:suppressAutoHyphens/>
              <w:jc w:val="left"/>
              <w:rPr>
                <w:sz w:val="18"/>
                <w:szCs w:val="18"/>
              </w:rPr>
            </w:pPr>
            <w:r w:rsidRPr="00175174">
              <w:rPr>
                <w:sz w:val="18"/>
                <w:szCs w:val="18"/>
              </w:rPr>
              <w:t>-</w:t>
            </w:r>
          </w:p>
        </w:tc>
        <w:tc>
          <w:tcPr>
            <w:tcW w:w="1418" w:type="dxa"/>
          </w:tcPr>
          <w:p w:rsidRPr="00175174" w:rsidR="00613504" w:rsidP="00175174" w:rsidRDefault="00613504" w14:paraId="6CA2C7A0" w14:textId="21205E75">
            <w:pPr>
              <w:pStyle w:val="TableParagraph"/>
              <w:suppressAutoHyphens/>
              <w:jc w:val="left"/>
              <w:rPr>
                <w:sz w:val="18"/>
                <w:szCs w:val="18"/>
              </w:rPr>
            </w:pPr>
            <w:r w:rsidRPr="00175174">
              <w:rPr>
                <w:sz w:val="18"/>
                <w:szCs w:val="18"/>
              </w:rPr>
              <w:t>76.261</w:t>
            </w:r>
          </w:p>
        </w:tc>
      </w:tr>
      <w:tr w:rsidRPr="00175174" w:rsidR="00613504" w:rsidTr="00DD43FD" w14:paraId="53466BF5" w14:textId="525F1148">
        <w:trPr>
          <w:trHeight w:val="332"/>
        </w:trPr>
        <w:tc>
          <w:tcPr>
            <w:tcW w:w="3256" w:type="dxa"/>
          </w:tcPr>
          <w:p w:rsidRPr="00175174" w:rsidR="00B36296" w:rsidP="00175174" w:rsidRDefault="00613504" w14:paraId="32B2AF42" w14:textId="23159C8F">
            <w:pPr>
              <w:pStyle w:val="TableParagraph"/>
              <w:suppressAutoHyphens/>
              <w:jc w:val="left"/>
              <w:rPr>
                <w:b/>
                <w:bCs/>
                <w:sz w:val="18"/>
                <w:szCs w:val="18"/>
              </w:rPr>
            </w:pPr>
            <w:proofErr w:type="spellStart"/>
            <w:r w:rsidRPr="00175174">
              <w:rPr>
                <w:b/>
                <w:bCs/>
                <w:sz w:val="18"/>
                <w:szCs w:val="18"/>
              </w:rPr>
              <w:t>Totaal</w:t>
            </w:r>
            <w:proofErr w:type="spellEnd"/>
          </w:p>
        </w:tc>
        <w:tc>
          <w:tcPr>
            <w:tcW w:w="1275" w:type="dxa"/>
          </w:tcPr>
          <w:p w:rsidRPr="00175174" w:rsidR="00613504" w:rsidP="00175174" w:rsidRDefault="00613504" w14:paraId="0BFA5850" w14:textId="3CA9BE2C">
            <w:pPr>
              <w:pStyle w:val="TableParagraph"/>
              <w:suppressAutoHyphens/>
              <w:jc w:val="left"/>
              <w:rPr>
                <w:b/>
                <w:bCs/>
                <w:sz w:val="18"/>
                <w:szCs w:val="18"/>
              </w:rPr>
            </w:pPr>
            <w:r w:rsidRPr="00175174">
              <w:rPr>
                <w:b/>
                <w:bCs/>
                <w:sz w:val="18"/>
                <w:szCs w:val="18"/>
              </w:rPr>
              <w:t>602.606</w:t>
            </w:r>
          </w:p>
        </w:tc>
        <w:tc>
          <w:tcPr>
            <w:tcW w:w="1134" w:type="dxa"/>
          </w:tcPr>
          <w:p w:rsidRPr="00175174" w:rsidR="00613504" w:rsidP="00175174" w:rsidRDefault="00613504" w14:paraId="1E1AA6AB" w14:textId="66A0A699">
            <w:pPr>
              <w:pStyle w:val="TableParagraph"/>
              <w:suppressAutoHyphens/>
              <w:jc w:val="left"/>
              <w:rPr>
                <w:b/>
                <w:bCs/>
                <w:sz w:val="18"/>
                <w:szCs w:val="18"/>
              </w:rPr>
            </w:pPr>
            <w:r w:rsidRPr="00175174">
              <w:rPr>
                <w:b/>
                <w:bCs/>
                <w:sz w:val="18"/>
                <w:szCs w:val="18"/>
              </w:rPr>
              <w:t>378.344</w:t>
            </w:r>
          </w:p>
        </w:tc>
        <w:tc>
          <w:tcPr>
            <w:tcW w:w="1276" w:type="dxa"/>
          </w:tcPr>
          <w:p w:rsidRPr="00175174" w:rsidR="00613504" w:rsidP="00175174" w:rsidRDefault="00613504" w14:paraId="07DCEFB3" w14:textId="0395EC7D">
            <w:pPr>
              <w:pStyle w:val="TableParagraph"/>
              <w:suppressAutoHyphens/>
              <w:jc w:val="left"/>
              <w:rPr>
                <w:b/>
                <w:bCs/>
                <w:sz w:val="18"/>
                <w:szCs w:val="18"/>
              </w:rPr>
            </w:pPr>
            <w:r w:rsidRPr="00175174">
              <w:rPr>
                <w:b/>
                <w:bCs/>
                <w:sz w:val="18"/>
                <w:szCs w:val="18"/>
              </w:rPr>
              <w:t>-</w:t>
            </w:r>
          </w:p>
        </w:tc>
        <w:tc>
          <w:tcPr>
            <w:tcW w:w="1418" w:type="dxa"/>
          </w:tcPr>
          <w:p w:rsidRPr="00175174" w:rsidR="00613504" w:rsidP="00175174" w:rsidRDefault="00613504" w14:paraId="2426C742" w14:textId="71D475AF">
            <w:pPr>
              <w:pStyle w:val="TableParagraph"/>
              <w:suppressAutoHyphens/>
              <w:jc w:val="left"/>
              <w:rPr>
                <w:b/>
                <w:bCs/>
                <w:sz w:val="18"/>
                <w:szCs w:val="18"/>
              </w:rPr>
            </w:pPr>
            <w:r w:rsidRPr="00175174">
              <w:rPr>
                <w:b/>
                <w:bCs/>
                <w:sz w:val="18"/>
                <w:szCs w:val="18"/>
              </w:rPr>
              <w:t>980.950</w:t>
            </w:r>
          </w:p>
        </w:tc>
      </w:tr>
    </w:tbl>
    <w:p w:rsidRPr="00175174" w:rsidR="00323401" w:rsidP="00175174" w:rsidRDefault="00323401" w14:paraId="77C5BED0" w14:textId="77777777">
      <w:pPr>
        <w:suppressAutoHyphens/>
        <w:spacing w:after="0"/>
        <w:jc w:val="left"/>
      </w:pPr>
    </w:p>
    <w:p w:rsidRPr="00175174" w:rsidR="001948B1" w:rsidP="00175174" w:rsidRDefault="001948B1" w14:paraId="3B5F1A68" w14:textId="25B947AF">
      <w:pPr>
        <w:suppressAutoHyphens/>
        <w:jc w:val="left"/>
      </w:pPr>
      <w:r w:rsidRPr="00175174">
        <w:t>In 2025 is een credit agreement afgesloten tussen VWS en NRG P</w:t>
      </w:r>
      <w:r w:rsidRPr="00175174" w:rsidR="007A38D3">
        <w:t>ALLAS</w:t>
      </w:r>
      <w:r w:rsidRPr="00175174">
        <w:t xml:space="preserve"> B</w:t>
      </w:r>
      <w:r w:rsidRPr="00175174" w:rsidR="008524F0">
        <w:t>.</w:t>
      </w:r>
      <w:r w:rsidRPr="00175174">
        <w:t xml:space="preserve">V. Op basis hiervan heeft een </w:t>
      </w:r>
      <w:proofErr w:type="spellStart"/>
      <w:r w:rsidRPr="00175174">
        <w:t>herrubricering</w:t>
      </w:r>
      <w:proofErr w:type="spellEnd"/>
      <w:r w:rsidRPr="00175174">
        <w:t xml:space="preserve"> plaatsgevonden van subsidies naar vreemd vermogen (leningen).</w:t>
      </w:r>
    </w:p>
    <w:p w:rsidRPr="00175174" w:rsidR="00A23ADD" w:rsidP="00175174" w:rsidRDefault="00A23ADD" w14:paraId="3314020F" w14:textId="3EE9D1AD">
      <w:pPr>
        <w:suppressAutoHyphens/>
        <w:jc w:val="left"/>
      </w:pPr>
      <w:r w:rsidRPr="00175174">
        <w:t xml:space="preserve">Na afstemming tussen VWS en NRG PALLAS B.V. over het laatste te storten bedrag in 2025 heeft NRG PALLAS B.V. eind 2025 een stortingsverzoek gedaan van € 101 mln. Na toetsing door de technisch adviseur op de onderbouwing van dit bedrag is € 96 mln. overgemaakt aan NRG PALLAS B.V. voor het bouwprogramma. </w:t>
      </w:r>
      <w:r w:rsidRPr="00175174" w:rsidR="0005704A">
        <w:t>G</w:t>
      </w:r>
      <w:r w:rsidRPr="00175174">
        <w:t xml:space="preserve">egeven het banksaldo van NRG PALLAS B.V. </w:t>
      </w:r>
      <w:r w:rsidRPr="00175174" w:rsidR="0005704A">
        <w:t xml:space="preserve">is </w:t>
      </w:r>
      <w:r w:rsidRPr="00175174">
        <w:t xml:space="preserve">in 2025 een </w:t>
      </w:r>
      <w:r w:rsidRPr="00175174" w:rsidR="00613504">
        <w:t>groter</w:t>
      </w:r>
      <w:r w:rsidRPr="00175174" w:rsidR="0005704A">
        <w:t xml:space="preserve"> </w:t>
      </w:r>
      <w:r w:rsidRPr="00175174">
        <w:t xml:space="preserve">bedrag overgemaakt dan strikt noodzakelijk was. Overigens heeft dit niet tot gevolg dat de totale bijdrage van VWS </w:t>
      </w:r>
      <w:r w:rsidRPr="00175174" w:rsidR="0005704A">
        <w:t xml:space="preserve">aan </w:t>
      </w:r>
      <w:r w:rsidRPr="00175174">
        <w:t>het bouwprogramma toeneemt; het gaat uitsluitend om een verschuiving in de tijd.</w:t>
      </w:r>
    </w:p>
    <w:p w:rsidRPr="00175174" w:rsidR="00EE48AA" w:rsidP="00175174" w:rsidRDefault="00EE48AA" w14:paraId="64154037" w14:textId="451F3A0B">
      <w:pPr>
        <w:suppressAutoHyphens/>
        <w:spacing w:after="0"/>
        <w:jc w:val="left"/>
        <w:rPr>
          <w:i/>
          <w:iCs/>
        </w:rPr>
      </w:pPr>
      <w:r w:rsidRPr="00175174">
        <w:rPr>
          <w:i/>
          <w:iCs/>
        </w:rPr>
        <w:t xml:space="preserve">Tabel C </w:t>
      </w:r>
      <w:r w:rsidRPr="00175174" w:rsidR="00FC66F8">
        <w:rPr>
          <w:i/>
          <w:iCs/>
        </w:rPr>
        <w:t>-</w:t>
      </w:r>
      <w:r w:rsidRPr="00175174">
        <w:rPr>
          <w:i/>
          <w:iCs/>
        </w:rPr>
        <w:t xml:space="preserve"> Posten op de saldibalans</w:t>
      </w:r>
    </w:p>
    <w:tbl>
      <w:tblPr>
        <w:tblStyle w:val="TableNormal"/>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Look w:val="01E0" w:firstRow="1" w:lastRow="1" w:firstColumn="1" w:lastColumn="1" w:noHBand="0" w:noVBand="0"/>
      </w:tblPr>
      <w:tblGrid>
        <w:gridCol w:w="3256"/>
        <w:gridCol w:w="1467"/>
        <w:gridCol w:w="1467"/>
        <w:gridCol w:w="1467"/>
      </w:tblGrid>
      <w:tr w:rsidRPr="00175174" w:rsidR="00F80D70" w:rsidTr="001E2CDF" w14:paraId="2B89379A" w14:textId="77777777">
        <w:trPr>
          <w:trHeight w:val="239"/>
        </w:trPr>
        <w:tc>
          <w:tcPr>
            <w:tcW w:w="3256" w:type="dxa"/>
            <w:shd w:val="clear" w:color="auto" w:fill="002F5B"/>
          </w:tcPr>
          <w:p w:rsidRPr="00175174" w:rsidR="00F80D70" w:rsidP="00175174" w:rsidRDefault="00A23ADD" w14:paraId="6A8FA572" w14:textId="2B682821">
            <w:pPr>
              <w:pStyle w:val="TableParagraph"/>
              <w:suppressAutoHyphens/>
              <w:jc w:val="left"/>
              <w:rPr>
                <w:b/>
                <w:bCs/>
                <w:sz w:val="18"/>
                <w:szCs w:val="18"/>
                <w:lang w:val="nl-NL"/>
              </w:rPr>
            </w:pPr>
            <w:r w:rsidRPr="00175174">
              <w:rPr>
                <w:sz w:val="18"/>
                <w:szCs w:val="18"/>
                <w:lang w:val="nl-NL"/>
              </w:rPr>
              <w:br w:type="page"/>
            </w:r>
          </w:p>
        </w:tc>
        <w:tc>
          <w:tcPr>
            <w:tcW w:w="1467" w:type="dxa"/>
            <w:shd w:val="clear" w:color="auto" w:fill="002F5B"/>
          </w:tcPr>
          <w:p w:rsidRPr="00175174" w:rsidR="00F80D70" w:rsidP="00175174" w:rsidRDefault="00F80D70" w14:paraId="23CAFED3" w14:textId="77777777">
            <w:pPr>
              <w:pStyle w:val="TableParagraph"/>
              <w:suppressAutoHyphens/>
              <w:jc w:val="left"/>
              <w:rPr>
                <w:b/>
                <w:bCs/>
                <w:sz w:val="18"/>
                <w:szCs w:val="18"/>
              </w:rPr>
            </w:pPr>
            <w:r w:rsidRPr="00175174">
              <w:rPr>
                <w:b/>
                <w:bCs/>
                <w:sz w:val="18"/>
                <w:szCs w:val="18"/>
              </w:rPr>
              <w:t>[1]</w:t>
            </w:r>
          </w:p>
        </w:tc>
        <w:tc>
          <w:tcPr>
            <w:tcW w:w="1467" w:type="dxa"/>
            <w:shd w:val="clear" w:color="auto" w:fill="002F5B"/>
          </w:tcPr>
          <w:p w:rsidRPr="00175174" w:rsidR="00F80D70" w:rsidP="00175174" w:rsidRDefault="00F80D70" w14:paraId="3D9EBA85" w14:textId="77777777">
            <w:pPr>
              <w:pStyle w:val="TableParagraph"/>
              <w:suppressAutoHyphens/>
              <w:jc w:val="left"/>
              <w:rPr>
                <w:b/>
                <w:bCs/>
                <w:sz w:val="18"/>
                <w:szCs w:val="18"/>
              </w:rPr>
            </w:pPr>
            <w:r w:rsidRPr="00175174">
              <w:rPr>
                <w:b/>
                <w:bCs/>
                <w:sz w:val="18"/>
                <w:szCs w:val="18"/>
              </w:rPr>
              <w:t>[2]</w:t>
            </w:r>
          </w:p>
        </w:tc>
        <w:tc>
          <w:tcPr>
            <w:tcW w:w="1467" w:type="dxa"/>
            <w:shd w:val="clear" w:color="auto" w:fill="002F5B"/>
          </w:tcPr>
          <w:p w:rsidRPr="00175174" w:rsidR="00F80D70" w:rsidP="00175174" w:rsidRDefault="00F80D70" w14:paraId="0D66604E" w14:textId="77777777">
            <w:pPr>
              <w:pStyle w:val="TableParagraph"/>
              <w:suppressAutoHyphens/>
              <w:jc w:val="left"/>
              <w:rPr>
                <w:b/>
                <w:bCs/>
                <w:sz w:val="18"/>
                <w:szCs w:val="18"/>
              </w:rPr>
            </w:pPr>
            <w:r w:rsidRPr="00175174">
              <w:rPr>
                <w:b/>
                <w:bCs/>
                <w:sz w:val="18"/>
                <w:szCs w:val="18"/>
              </w:rPr>
              <w:t>[3] =</w:t>
            </w:r>
            <w:r w:rsidRPr="00175174">
              <w:rPr>
                <w:b/>
                <w:bCs/>
                <w:spacing w:val="-3"/>
                <w:sz w:val="18"/>
                <w:szCs w:val="18"/>
              </w:rPr>
              <w:t xml:space="preserve"> </w:t>
            </w:r>
            <w:r w:rsidRPr="00175174">
              <w:rPr>
                <w:b/>
                <w:bCs/>
                <w:sz w:val="18"/>
                <w:szCs w:val="18"/>
              </w:rPr>
              <w:t>[1]+[2]</w:t>
            </w:r>
          </w:p>
        </w:tc>
      </w:tr>
      <w:tr w:rsidRPr="00175174" w:rsidR="00F80D70" w:rsidTr="001E2CDF" w14:paraId="102D4E63" w14:textId="77777777">
        <w:trPr>
          <w:trHeight w:val="720"/>
        </w:trPr>
        <w:tc>
          <w:tcPr>
            <w:tcW w:w="3256" w:type="dxa"/>
            <w:shd w:val="clear" w:color="auto" w:fill="002F5B"/>
          </w:tcPr>
          <w:p w:rsidRPr="00175174" w:rsidR="00F80D70" w:rsidP="00175174" w:rsidRDefault="00F80D70" w14:paraId="4A26C950" w14:textId="77777777">
            <w:pPr>
              <w:pStyle w:val="TableParagraph"/>
              <w:suppressAutoHyphens/>
              <w:jc w:val="left"/>
              <w:rPr>
                <w:b/>
                <w:bCs/>
                <w:sz w:val="18"/>
                <w:szCs w:val="18"/>
              </w:rPr>
            </w:pPr>
          </w:p>
          <w:p w:rsidRPr="00175174" w:rsidR="00F80D70" w:rsidP="00175174" w:rsidRDefault="00F80D70" w14:paraId="4D05EF02" w14:textId="290BB5D6">
            <w:pPr>
              <w:pStyle w:val="TableParagraph"/>
              <w:suppressAutoHyphens/>
              <w:jc w:val="left"/>
              <w:rPr>
                <w:b/>
                <w:bCs/>
                <w:sz w:val="18"/>
                <w:szCs w:val="18"/>
              </w:rPr>
            </w:pPr>
            <w:r w:rsidRPr="00175174">
              <w:rPr>
                <w:b/>
                <w:bCs/>
                <w:sz w:val="18"/>
                <w:szCs w:val="18"/>
              </w:rPr>
              <w:t xml:space="preserve">Post </w:t>
            </w:r>
            <w:proofErr w:type="spellStart"/>
            <w:r w:rsidRPr="00175174">
              <w:rPr>
                <w:b/>
                <w:bCs/>
                <w:sz w:val="18"/>
                <w:szCs w:val="18"/>
              </w:rPr>
              <w:t>saldibalans</w:t>
            </w:r>
            <w:proofErr w:type="spellEnd"/>
          </w:p>
        </w:tc>
        <w:tc>
          <w:tcPr>
            <w:tcW w:w="1467" w:type="dxa"/>
            <w:shd w:val="clear" w:color="auto" w:fill="002F5B"/>
          </w:tcPr>
          <w:p w:rsidRPr="00175174" w:rsidR="00F80D70" w:rsidP="00175174" w:rsidRDefault="00F80D70" w14:paraId="77AEFD9C" w14:textId="46204847">
            <w:pPr>
              <w:pStyle w:val="TableParagraph"/>
              <w:suppressAutoHyphens/>
              <w:jc w:val="left"/>
              <w:rPr>
                <w:b/>
                <w:bCs/>
                <w:sz w:val="18"/>
                <w:szCs w:val="18"/>
              </w:rPr>
            </w:pPr>
            <w:r w:rsidRPr="00175174">
              <w:rPr>
                <w:b/>
                <w:bCs/>
                <w:sz w:val="18"/>
                <w:szCs w:val="18"/>
              </w:rPr>
              <w:t xml:space="preserve">Stand per 1 </w:t>
            </w:r>
            <w:proofErr w:type="spellStart"/>
            <w:r w:rsidRPr="00175174">
              <w:rPr>
                <w:b/>
                <w:bCs/>
                <w:sz w:val="18"/>
                <w:szCs w:val="18"/>
              </w:rPr>
              <w:t>januari</w:t>
            </w:r>
            <w:proofErr w:type="spellEnd"/>
            <w:r w:rsidRPr="00175174">
              <w:rPr>
                <w:b/>
                <w:bCs/>
                <w:sz w:val="18"/>
                <w:szCs w:val="18"/>
              </w:rPr>
              <w:t xml:space="preserve"> 2025</w:t>
            </w:r>
          </w:p>
        </w:tc>
        <w:tc>
          <w:tcPr>
            <w:tcW w:w="1467" w:type="dxa"/>
            <w:shd w:val="clear" w:color="auto" w:fill="002F5B"/>
          </w:tcPr>
          <w:p w:rsidRPr="00175174" w:rsidR="00F80D70" w:rsidP="00175174" w:rsidRDefault="00F80D70" w14:paraId="0F443A5E" w14:textId="77777777">
            <w:pPr>
              <w:pStyle w:val="TableParagraph"/>
              <w:suppressAutoHyphens/>
              <w:jc w:val="left"/>
              <w:rPr>
                <w:b/>
                <w:bCs/>
                <w:sz w:val="18"/>
                <w:szCs w:val="18"/>
              </w:rPr>
            </w:pPr>
            <w:proofErr w:type="spellStart"/>
            <w:r w:rsidRPr="00175174">
              <w:rPr>
                <w:b/>
                <w:bCs/>
                <w:sz w:val="18"/>
                <w:szCs w:val="18"/>
              </w:rPr>
              <w:t>Mutaties</w:t>
            </w:r>
            <w:proofErr w:type="spellEnd"/>
            <w:r w:rsidRPr="00175174">
              <w:rPr>
                <w:b/>
                <w:bCs/>
                <w:sz w:val="18"/>
                <w:szCs w:val="18"/>
              </w:rPr>
              <w:t xml:space="preserve"> 2025</w:t>
            </w:r>
          </w:p>
        </w:tc>
        <w:tc>
          <w:tcPr>
            <w:tcW w:w="1467" w:type="dxa"/>
            <w:shd w:val="clear" w:color="auto" w:fill="002F5B"/>
          </w:tcPr>
          <w:p w:rsidRPr="00175174" w:rsidR="00F80D70" w:rsidP="00175174" w:rsidRDefault="00F80D70" w14:paraId="477FE2D1" w14:textId="66B99165">
            <w:pPr>
              <w:pStyle w:val="TableParagraph"/>
              <w:suppressAutoHyphens/>
              <w:jc w:val="left"/>
              <w:rPr>
                <w:b/>
                <w:bCs/>
                <w:sz w:val="18"/>
                <w:szCs w:val="18"/>
              </w:rPr>
            </w:pPr>
            <w:r w:rsidRPr="00175174">
              <w:rPr>
                <w:b/>
                <w:bCs/>
                <w:sz w:val="18"/>
                <w:szCs w:val="18"/>
              </w:rPr>
              <w:t xml:space="preserve">Stand per 31 </w:t>
            </w:r>
            <w:proofErr w:type="spellStart"/>
            <w:r w:rsidRPr="00175174">
              <w:rPr>
                <w:b/>
                <w:bCs/>
                <w:sz w:val="18"/>
                <w:szCs w:val="18"/>
              </w:rPr>
              <w:t>december</w:t>
            </w:r>
            <w:proofErr w:type="spellEnd"/>
            <w:r w:rsidRPr="00175174">
              <w:rPr>
                <w:b/>
                <w:bCs/>
                <w:sz w:val="18"/>
                <w:szCs w:val="18"/>
              </w:rPr>
              <w:t xml:space="preserve"> 2025</w:t>
            </w:r>
          </w:p>
        </w:tc>
      </w:tr>
      <w:tr w:rsidRPr="00175174" w:rsidR="00F80D70" w:rsidTr="00B36296" w14:paraId="4BA989B3" w14:textId="77777777">
        <w:trPr>
          <w:trHeight w:val="239"/>
        </w:trPr>
        <w:tc>
          <w:tcPr>
            <w:tcW w:w="3256" w:type="dxa"/>
          </w:tcPr>
          <w:p w:rsidRPr="00175174" w:rsidR="00F80D70" w:rsidP="00175174" w:rsidRDefault="00F80D70" w14:paraId="3524D301" w14:textId="71F86917">
            <w:pPr>
              <w:pStyle w:val="TableParagraph"/>
              <w:suppressAutoHyphens/>
              <w:jc w:val="left"/>
              <w:rPr>
                <w:sz w:val="18"/>
                <w:szCs w:val="18"/>
              </w:rPr>
            </w:pPr>
            <w:proofErr w:type="spellStart"/>
            <w:r w:rsidRPr="00175174">
              <w:rPr>
                <w:sz w:val="18"/>
                <w:szCs w:val="18"/>
              </w:rPr>
              <w:t>Voorschotten</w:t>
            </w:r>
            <w:proofErr w:type="spellEnd"/>
          </w:p>
        </w:tc>
        <w:tc>
          <w:tcPr>
            <w:tcW w:w="1467" w:type="dxa"/>
            <w:vAlign w:val="center"/>
          </w:tcPr>
          <w:p w:rsidRPr="00175174" w:rsidR="00F80D70" w:rsidP="00175174" w:rsidRDefault="00AF3C30" w14:paraId="60BF9930" w14:textId="127B3722">
            <w:pPr>
              <w:pStyle w:val="TableParagraph"/>
              <w:suppressAutoHyphens/>
              <w:jc w:val="left"/>
              <w:rPr>
                <w:sz w:val="18"/>
                <w:szCs w:val="18"/>
              </w:rPr>
            </w:pPr>
            <w:r w:rsidRPr="00175174">
              <w:rPr>
                <w:sz w:val="18"/>
                <w:szCs w:val="18"/>
              </w:rPr>
              <w:t>594.606</w:t>
            </w:r>
          </w:p>
        </w:tc>
        <w:tc>
          <w:tcPr>
            <w:tcW w:w="1467" w:type="dxa"/>
            <w:vAlign w:val="center"/>
          </w:tcPr>
          <w:p w:rsidRPr="00175174" w:rsidR="00F80D70" w:rsidP="00175174" w:rsidRDefault="00AF3C30" w14:paraId="3164BFBF" w14:textId="54095265">
            <w:pPr>
              <w:pStyle w:val="TableParagraph"/>
              <w:suppressAutoHyphens/>
              <w:jc w:val="left"/>
              <w:rPr>
                <w:sz w:val="18"/>
                <w:szCs w:val="18"/>
              </w:rPr>
            </w:pPr>
            <w:r w:rsidRPr="00175174">
              <w:rPr>
                <w:sz w:val="18"/>
                <w:szCs w:val="18"/>
              </w:rPr>
              <w:t>-594.606</w:t>
            </w:r>
          </w:p>
        </w:tc>
        <w:tc>
          <w:tcPr>
            <w:tcW w:w="1467" w:type="dxa"/>
            <w:vAlign w:val="center"/>
          </w:tcPr>
          <w:p w:rsidRPr="00175174" w:rsidR="00F80D70" w:rsidP="00175174" w:rsidRDefault="001E2CDF" w14:paraId="011CDF27" w14:textId="3451B618">
            <w:pPr>
              <w:pStyle w:val="TableParagraph"/>
              <w:suppressAutoHyphens/>
              <w:jc w:val="left"/>
              <w:rPr>
                <w:sz w:val="18"/>
                <w:szCs w:val="18"/>
              </w:rPr>
            </w:pPr>
            <w:r w:rsidRPr="00175174">
              <w:rPr>
                <w:sz w:val="18"/>
                <w:szCs w:val="18"/>
              </w:rPr>
              <w:t>-</w:t>
            </w:r>
          </w:p>
        </w:tc>
      </w:tr>
      <w:tr w:rsidRPr="00175174" w:rsidR="00F80D70" w:rsidTr="00B36296" w14:paraId="157ADEF6" w14:textId="77777777">
        <w:trPr>
          <w:trHeight w:val="241"/>
        </w:trPr>
        <w:tc>
          <w:tcPr>
            <w:tcW w:w="3256" w:type="dxa"/>
            <w:vAlign w:val="center"/>
          </w:tcPr>
          <w:p w:rsidRPr="00175174" w:rsidR="00F80D70" w:rsidP="00175174" w:rsidRDefault="001E2CDF" w14:paraId="42146A26" w14:textId="01232575">
            <w:pPr>
              <w:pStyle w:val="TableParagraph"/>
              <w:suppressAutoHyphens/>
              <w:jc w:val="left"/>
              <w:rPr>
                <w:sz w:val="18"/>
                <w:szCs w:val="18"/>
              </w:rPr>
            </w:pPr>
            <w:proofErr w:type="spellStart"/>
            <w:r w:rsidRPr="00175174">
              <w:rPr>
                <w:sz w:val="18"/>
                <w:szCs w:val="18"/>
              </w:rPr>
              <w:t>V</w:t>
            </w:r>
            <w:r w:rsidRPr="00175174" w:rsidR="00F80D70">
              <w:rPr>
                <w:sz w:val="18"/>
                <w:szCs w:val="18"/>
              </w:rPr>
              <w:t>orderingen</w:t>
            </w:r>
            <w:proofErr w:type="spellEnd"/>
          </w:p>
        </w:tc>
        <w:tc>
          <w:tcPr>
            <w:tcW w:w="1467" w:type="dxa"/>
            <w:vAlign w:val="center"/>
          </w:tcPr>
          <w:p w:rsidRPr="00175174" w:rsidR="00F80D70" w:rsidP="00175174" w:rsidRDefault="00AF3C30" w14:paraId="24391C1B" w14:textId="0070FAD7">
            <w:pPr>
              <w:pStyle w:val="TableParagraph"/>
              <w:suppressAutoHyphens/>
              <w:jc w:val="left"/>
              <w:rPr>
                <w:sz w:val="18"/>
                <w:szCs w:val="18"/>
              </w:rPr>
            </w:pPr>
            <w:r w:rsidRPr="00175174">
              <w:rPr>
                <w:sz w:val="18"/>
                <w:szCs w:val="18"/>
              </w:rPr>
              <w:t>8.000</w:t>
            </w:r>
          </w:p>
        </w:tc>
        <w:tc>
          <w:tcPr>
            <w:tcW w:w="1467" w:type="dxa"/>
            <w:vAlign w:val="center"/>
          </w:tcPr>
          <w:p w:rsidRPr="00175174" w:rsidR="00F80D70" w:rsidP="00175174" w:rsidRDefault="001E2CDF" w14:paraId="3DF80BA7" w14:textId="2C880BA9">
            <w:pPr>
              <w:pStyle w:val="TableParagraph"/>
              <w:suppressAutoHyphens/>
              <w:jc w:val="left"/>
              <w:rPr>
                <w:sz w:val="18"/>
                <w:szCs w:val="18"/>
              </w:rPr>
            </w:pPr>
            <w:r w:rsidRPr="00175174">
              <w:rPr>
                <w:sz w:val="18"/>
                <w:szCs w:val="18"/>
              </w:rPr>
              <w:t>6</w:t>
            </w:r>
            <w:r w:rsidRPr="00175174" w:rsidR="00AF3C30">
              <w:rPr>
                <w:sz w:val="18"/>
                <w:szCs w:val="18"/>
              </w:rPr>
              <w:t>53</w:t>
            </w:r>
            <w:r w:rsidRPr="00175174">
              <w:rPr>
                <w:sz w:val="18"/>
                <w:szCs w:val="18"/>
              </w:rPr>
              <w:t>.466</w:t>
            </w:r>
          </w:p>
        </w:tc>
        <w:tc>
          <w:tcPr>
            <w:tcW w:w="1467" w:type="dxa"/>
            <w:vAlign w:val="center"/>
          </w:tcPr>
          <w:p w:rsidRPr="00175174" w:rsidR="00F80D70" w:rsidP="00175174" w:rsidRDefault="001E2CDF" w14:paraId="6FE3E952" w14:textId="3E9F04CE">
            <w:pPr>
              <w:pStyle w:val="TableParagraph"/>
              <w:suppressAutoHyphens/>
              <w:jc w:val="left"/>
              <w:rPr>
                <w:sz w:val="18"/>
                <w:szCs w:val="18"/>
              </w:rPr>
            </w:pPr>
            <w:r w:rsidRPr="00175174">
              <w:rPr>
                <w:sz w:val="18"/>
                <w:szCs w:val="18"/>
              </w:rPr>
              <w:t>661.466</w:t>
            </w:r>
          </w:p>
        </w:tc>
      </w:tr>
      <w:tr w:rsidRPr="00175174" w:rsidR="00F80D70" w:rsidTr="00B36296" w14:paraId="7776A78A" w14:textId="77777777">
        <w:trPr>
          <w:trHeight w:val="241"/>
        </w:trPr>
        <w:tc>
          <w:tcPr>
            <w:tcW w:w="3256" w:type="dxa"/>
            <w:vAlign w:val="center"/>
          </w:tcPr>
          <w:p w:rsidRPr="00175174" w:rsidR="00F80D70" w:rsidP="00175174" w:rsidRDefault="00F80D70" w14:paraId="25C833B3" w14:textId="01052C96">
            <w:pPr>
              <w:pStyle w:val="TableParagraph"/>
              <w:suppressAutoHyphens/>
              <w:jc w:val="left"/>
              <w:rPr>
                <w:sz w:val="18"/>
                <w:szCs w:val="18"/>
              </w:rPr>
            </w:pPr>
            <w:proofErr w:type="spellStart"/>
            <w:r w:rsidRPr="00175174">
              <w:rPr>
                <w:sz w:val="18"/>
                <w:szCs w:val="18"/>
              </w:rPr>
              <w:t>Deelnemingen</w:t>
            </w:r>
            <w:proofErr w:type="spellEnd"/>
          </w:p>
        </w:tc>
        <w:tc>
          <w:tcPr>
            <w:tcW w:w="1467" w:type="dxa"/>
            <w:vAlign w:val="center"/>
          </w:tcPr>
          <w:p w:rsidRPr="00175174" w:rsidR="00F80D70" w:rsidP="00175174" w:rsidRDefault="006F2D4F" w14:paraId="0C741393" w14:textId="307025F0">
            <w:pPr>
              <w:pStyle w:val="TableParagraph"/>
              <w:suppressAutoHyphens/>
              <w:jc w:val="left"/>
              <w:rPr>
                <w:sz w:val="18"/>
                <w:szCs w:val="18"/>
              </w:rPr>
            </w:pPr>
            <w:r w:rsidRPr="00175174">
              <w:rPr>
                <w:sz w:val="18"/>
                <w:szCs w:val="18"/>
              </w:rPr>
              <w:t>-</w:t>
            </w:r>
          </w:p>
        </w:tc>
        <w:tc>
          <w:tcPr>
            <w:tcW w:w="1467" w:type="dxa"/>
            <w:vAlign w:val="center"/>
          </w:tcPr>
          <w:p w:rsidRPr="00175174" w:rsidR="00F80D70" w:rsidP="00175174" w:rsidRDefault="006F2D4F" w14:paraId="5C1FB50F" w14:textId="1BB601CF">
            <w:pPr>
              <w:pStyle w:val="TableParagraph"/>
              <w:suppressAutoHyphens/>
              <w:jc w:val="left"/>
              <w:rPr>
                <w:sz w:val="18"/>
                <w:szCs w:val="18"/>
              </w:rPr>
            </w:pPr>
            <w:r w:rsidRPr="00175174">
              <w:rPr>
                <w:sz w:val="18"/>
                <w:szCs w:val="18"/>
              </w:rPr>
              <w:t>343.671</w:t>
            </w:r>
          </w:p>
        </w:tc>
        <w:tc>
          <w:tcPr>
            <w:tcW w:w="1467" w:type="dxa"/>
            <w:vAlign w:val="center"/>
          </w:tcPr>
          <w:p w:rsidRPr="00175174" w:rsidR="00F80D70" w:rsidP="00175174" w:rsidRDefault="006F2D4F" w14:paraId="4771E54D" w14:textId="660AC5F2">
            <w:pPr>
              <w:pStyle w:val="TableParagraph"/>
              <w:suppressAutoHyphens/>
              <w:jc w:val="left"/>
              <w:rPr>
                <w:sz w:val="18"/>
                <w:szCs w:val="18"/>
              </w:rPr>
            </w:pPr>
            <w:r w:rsidRPr="00175174">
              <w:rPr>
                <w:sz w:val="18"/>
                <w:szCs w:val="18"/>
              </w:rPr>
              <w:t>343.671</w:t>
            </w:r>
          </w:p>
        </w:tc>
      </w:tr>
      <w:tr w:rsidRPr="00175174" w:rsidR="00F80D70" w:rsidTr="00B36296" w14:paraId="34AF8FFF" w14:textId="77777777">
        <w:trPr>
          <w:trHeight w:val="332"/>
        </w:trPr>
        <w:tc>
          <w:tcPr>
            <w:tcW w:w="3256" w:type="dxa"/>
            <w:vAlign w:val="center"/>
          </w:tcPr>
          <w:p w:rsidRPr="00175174" w:rsidR="00F80D70" w:rsidP="00175174" w:rsidRDefault="00F80D70" w14:paraId="1E0660E8" w14:textId="0C14198A">
            <w:pPr>
              <w:pStyle w:val="TableParagraph"/>
              <w:suppressAutoHyphens/>
              <w:jc w:val="left"/>
              <w:rPr>
                <w:sz w:val="18"/>
                <w:szCs w:val="18"/>
              </w:rPr>
            </w:pPr>
            <w:proofErr w:type="spellStart"/>
            <w:r w:rsidRPr="00175174">
              <w:rPr>
                <w:sz w:val="18"/>
                <w:szCs w:val="18"/>
              </w:rPr>
              <w:t>Openstaande</w:t>
            </w:r>
            <w:proofErr w:type="spellEnd"/>
            <w:r w:rsidRPr="00175174">
              <w:rPr>
                <w:sz w:val="18"/>
                <w:szCs w:val="18"/>
              </w:rPr>
              <w:t xml:space="preserve"> </w:t>
            </w:r>
            <w:proofErr w:type="spellStart"/>
            <w:r w:rsidRPr="00175174">
              <w:rPr>
                <w:sz w:val="18"/>
                <w:szCs w:val="18"/>
              </w:rPr>
              <w:t>verplichtingen</w:t>
            </w:r>
            <w:proofErr w:type="spellEnd"/>
          </w:p>
        </w:tc>
        <w:tc>
          <w:tcPr>
            <w:tcW w:w="1467" w:type="dxa"/>
            <w:vAlign w:val="center"/>
          </w:tcPr>
          <w:p w:rsidRPr="00175174" w:rsidR="00F80D70" w:rsidP="00175174" w:rsidRDefault="006D6A98" w14:paraId="75C05CD9" w14:textId="11EFB454">
            <w:pPr>
              <w:pStyle w:val="TableParagraph"/>
              <w:suppressAutoHyphens/>
              <w:jc w:val="left"/>
              <w:rPr>
                <w:sz w:val="18"/>
                <w:szCs w:val="18"/>
              </w:rPr>
            </w:pPr>
            <w:r w:rsidRPr="00175174">
              <w:rPr>
                <w:sz w:val="18"/>
                <w:szCs w:val="18"/>
              </w:rPr>
              <w:t>-</w:t>
            </w:r>
          </w:p>
        </w:tc>
        <w:tc>
          <w:tcPr>
            <w:tcW w:w="1467" w:type="dxa"/>
            <w:vAlign w:val="center"/>
          </w:tcPr>
          <w:p w:rsidRPr="00175174" w:rsidR="00F80D70" w:rsidP="00175174" w:rsidRDefault="00094915" w14:paraId="6FB6F65A" w14:textId="3FF9A78D">
            <w:pPr>
              <w:pStyle w:val="TableParagraph"/>
              <w:suppressAutoHyphens/>
              <w:jc w:val="left"/>
              <w:rPr>
                <w:sz w:val="18"/>
                <w:szCs w:val="18"/>
              </w:rPr>
            </w:pPr>
            <w:r w:rsidRPr="00175174">
              <w:rPr>
                <w:sz w:val="18"/>
                <w:szCs w:val="18"/>
              </w:rPr>
              <w:t>994.344</w:t>
            </w:r>
          </w:p>
        </w:tc>
        <w:tc>
          <w:tcPr>
            <w:tcW w:w="1467" w:type="dxa"/>
            <w:vAlign w:val="center"/>
          </w:tcPr>
          <w:p w:rsidRPr="00175174" w:rsidR="00F80D70" w:rsidP="00175174" w:rsidRDefault="00094915" w14:paraId="5915CEE8" w14:textId="13156653">
            <w:pPr>
              <w:pStyle w:val="TableParagraph"/>
              <w:suppressAutoHyphens/>
              <w:jc w:val="left"/>
              <w:rPr>
                <w:sz w:val="18"/>
                <w:szCs w:val="18"/>
              </w:rPr>
            </w:pPr>
            <w:r w:rsidRPr="00175174">
              <w:rPr>
                <w:sz w:val="18"/>
                <w:szCs w:val="18"/>
              </w:rPr>
              <w:t>994.344</w:t>
            </w:r>
          </w:p>
        </w:tc>
      </w:tr>
    </w:tbl>
    <w:p w:rsidRPr="00175174" w:rsidR="004962A4" w:rsidP="00175174" w:rsidRDefault="004962A4" w14:paraId="0A6248CD" w14:textId="77777777">
      <w:pPr>
        <w:suppressAutoHyphens/>
        <w:spacing w:after="0"/>
        <w:jc w:val="left"/>
      </w:pPr>
    </w:p>
    <w:p w:rsidRPr="00175174" w:rsidR="00EE48AA" w:rsidP="00175174" w:rsidRDefault="001E2CDF" w14:paraId="7A2B8990" w14:textId="09BB9738">
      <w:pPr>
        <w:suppressAutoHyphens/>
        <w:jc w:val="left"/>
      </w:pPr>
      <w:r w:rsidRPr="00175174">
        <w:t xml:space="preserve">In 2025 is een credit agreement afgesloten tussen VWS en NRG </w:t>
      </w:r>
      <w:r w:rsidRPr="00175174" w:rsidR="0005704A">
        <w:t xml:space="preserve">PALLAS </w:t>
      </w:r>
      <w:r w:rsidRPr="00175174">
        <w:t>B</w:t>
      </w:r>
      <w:r w:rsidRPr="00175174" w:rsidR="008524F0">
        <w:t>.</w:t>
      </w:r>
      <w:r w:rsidRPr="00175174">
        <w:t xml:space="preserve">V. Onderdeel van deze credit agreement zijn voorschotten die eerder zijn verstrekt als subsidie. Op basis van de voorwaarden in de credit agreement zijn deze voorschotten </w:t>
      </w:r>
      <w:proofErr w:type="spellStart"/>
      <w:r w:rsidRPr="00175174">
        <w:t>geherrubriceerd</w:t>
      </w:r>
      <w:proofErr w:type="spellEnd"/>
      <w:r w:rsidRPr="00175174">
        <w:t xml:space="preserve"> naar de post vorderingen. Deze vorderingen zijn op termijn opeisbaar.</w:t>
      </w:r>
      <w:r w:rsidRPr="00175174" w:rsidR="00C61BE6">
        <w:t xml:space="preserve"> </w:t>
      </w:r>
      <w:r w:rsidRPr="00175174" w:rsidR="00130CB1">
        <w:t>De</w:t>
      </w:r>
      <w:r w:rsidRPr="00175174" w:rsidR="00C61BE6">
        <w:t xml:space="preserve"> </w:t>
      </w:r>
      <w:r w:rsidRPr="00175174" w:rsidR="00130CB1">
        <w:t>stand van de vorderingen</w:t>
      </w:r>
      <w:r w:rsidRPr="00175174" w:rsidR="004465B9">
        <w:t xml:space="preserve"> per 31 december 2025 </w:t>
      </w:r>
      <w:r w:rsidRPr="00175174" w:rsidR="00130CB1">
        <w:t>bedraagt</w:t>
      </w:r>
      <w:r w:rsidRPr="00175174" w:rsidR="00C61BE6">
        <w:t xml:space="preserve"> € 661.466 </w:t>
      </w:r>
      <w:r w:rsidRPr="00175174" w:rsidR="00130CB1">
        <w:t xml:space="preserve">en </w:t>
      </w:r>
      <w:r w:rsidRPr="00175174" w:rsidR="00C61BE6">
        <w:t>bestaat uit een hoofdsom van € 637.279 aan verstrekte leningen en € 24.187 aan rente.</w:t>
      </w:r>
      <w:r w:rsidRPr="00175174" w:rsidR="004B61C9">
        <w:t xml:space="preserve"> </w:t>
      </w:r>
    </w:p>
    <w:p w:rsidRPr="00175174" w:rsidR="00EE48AA" w:rsidP="00175174" w:rsidRDefault="004B61C9" w14:paraId="3CA76051" w14:textId="43C32BB8">
      <w:pPr>
        <w:suppressAutoHyphens/>
        <w:jc w:val="left"/>
      </w:pPr>
      <w:r w:rsidRPr="00175174">
        <w:t>In 2025 is VWS voor 100% aandeelhouder geworden van NRG PALLAS B.V. Dit heeft geleid tot een deelneming ultimo 2025 met een waarde van € 343.671</w:t>
      </w:r>
      <w:r w:rsidRPr="00175174" w:rsidR="00EE48AA">
        <w:t xml:space="preserve"> (€ 267.410 </w:t>
      </w:r>
      <w:r w:rsidRPr="00175174" w:rsidR="00FC66F8">
        <w:t xml:space="preserve">gerelateerd aan </w:t>
      </w:r>
      <w:r w:rsidRPr="00175174" w:rsidR="00EE48AA">
        <w:t xml:space="preserve">het bouwprogramma en € 76.261 </w:t>
      </w:r>
      <w:r w:rsidRPr="00175174" w:rsidR="00FC66F8">
        <w:t>aan de instandhouding van de liquiditeitspositie</w:t>
      </w:r>
      <w:r w:rsidRPr="00175174" w:rsidR="003A6DBD">
        <w:t xml:space="preserve"> van NRG PALLAS B.V.</w:t>
      </w:r>
      <w:r w:rsidRPr="00175174" w:rsidR="00FC66F8">
        <w:t>; zie tabel B).</w:t>
      </w:r>
    </w:p>
    <w:p w:rsidRPr="00175174" w:rsidR="00F80D70" w:rsidP="00175174" w:rsidRDefault="004B61C9" w14:paraId="737EEC0C" w14:textId="4E57A898">
      <w:pPr>
        <w:suppressAutoHyphens/>
        <w:jc w:val="left"/>
      </w:pPr>
      <w:bookmarkStart w:name="_Hlk226984792" w:id="63"/>
      <w:r w:rsidRPr="00175174">
        <w:t xml:space="preserve">Het bedrag aan openstaande verplichtingen per 31 december 2025 van € 994.344 is </w:t>
      </w:r>
      <w:r w:rsidRPr="00175174" w:rsidR="00262BB6">
        <w:t xml:space="preserve">gelijk aan </w:t>
      </w:r>
      <w:r w:rsidRPr="00175174">
        <w:t xml:space="preserve">de </w:t>
      </w:r>
      <w:r w:rsidRPr="00175174" w:rsidR="008006A8">
        <w:t>t/m 31 december</w:t>
      </w:r>
      <w:r w:rsidRPr="00175174">
        <w:t xml:space="preserve"> </w:t>
      </w:r>
      <w:r w:rsidRPr="00175174" w:rsidR="008006A8">
        <w:t xml:space="preserve">2025 </w:t>
      </w:r>
      <w:r w:rsidRPr="00175174">
        <w:t>aangegane verplichtingen (1.</w:t>
      </w:r>
      <w:r w:rsidRPr="00175174" w:rsidR="008006A8">
        <w:t>975.294</w:t>
      </w:r>
      <w:r w:rsidRPr="00175174" w:rsidR="00FC66F8">
        <w:t>; zie tabel A</w:t>
      </w:r>
      <w:r w:rsidRPr="00175174">
        <w:t>)</w:t>
      </w:r>
      <w:r w:rsidRPr="00175174" w:rsidR="00576B1B">
        <w:t xml:space="preserve"> </w:t>
      </w:r>
      <w:r w:rsidRPr="00175174" w:rsidR="00262BB6">
        <w:t>minus</w:t>
      </w:r>
      <w:r w:rsidRPr="00175174" w:rsidR="00576B1B">
        <w:t xml:space="preserve"> de door VWS gerealiseerde uitgaven </w:t>
      </w:r>
      <w:r w:rsidRPr="00175174" w:rsidR="008006A8">
        <w:t>over deze periode</w:t>
      </w:r>
      <w:r w:rsidRPr="00175174" w:rsidR="00317838">
        <w:t xml:space="preserve"> </w:t>
      </w:r>
      <w:r w:rsidRPr="00175174" w:rsidR="00576B1B">
        <w:t xml:space="preserve">(€ </w:t>
      </w:r>
      <w:r w:rsidRPr="00175174" w:rsidR="008006A8">
        <w:t>980.950</w:t>
      </w:r>
      <w:r w:rsidRPr="00175174" w:rsidR="00FC66F8">
        <w:t>; zie tabel B</w:t>
      </w:r>
      <w:r w:rsidRPr="00175174" w:rsidR="00576B1B">
        <w:t>).</w:t>
      </w:r>
    </w:p>
    <w:bookmarkEnd w:id="63"/>
    <w:p w:rsidRPr="00175174" w:rsidR="00A23ADD" w:rsidP="00175174" w:rsidRDefault="00A23ADD" w14:paraId="204E7A00" w14:textId="77777777">
      <w:pPr>
        <w:suppressAutoHyphens/>
        <w:spacing w:after="0"/>
        <w:jc w:val="left"/>
      </w:pPr>
    </w:p>
    <w:p w:rsidRPr="00175174" w:rsidR="00A23ADD" w:rsidP="00175174" w:rsidRDefault="00A23ADD" w14:paraId="2A05B10E" w14:textId="77777777">
      <w:pPr>
        <w:suppressAutoHyphens/>
        <w:spacing w:after="0"/>
        <w:jc w:val="left"/>
      </w:pPr>
    </w:p>
    <w:p w:rsidRPr="00175174" w:rsidR="00DF38FD" w:rsidP="00175174" w:rsidRDefault="00DF38FD" w14:paraId="3A76E40A" w14:textId="6D349C6E">
      <w:pPr>
        <w:suppressAutoHyphens/>
        <w:spacing w:after="0"/>
        <w:jc w:val="left"/>
      </w:pPr>
      <w:r w:rsidRPr="00175174">
        <w:br w:type="page"/>
      </w:r>
    </w:p>
    <w:p w:rsidRPr="00175174" w:rsidR="0091645C" w:rsidP="00175174" w:rsidRDefault="0091645C" w14:paraId="392F5B32" w14:textId="373AE58E">
      <w:pPr>
        <w:pStyle w:val="Kop1"/>
        <w:suppressAutoHyphens/>
        <w:jc w:val="left"/>
        <w:rPr>
          <w:sz w:val="18"/>
          <w:szCs w:val="18"/>
        </w:rPr>
      </w:pPr>
      <w:bookmarkStart w:name="_Toc227050530" w:id="64"/>
      <w:r w:rsidRPr="00175174">
        <w:rPr>
          <w:sz w:val="18"/>
          <w:szCs w:val="18"/>
        </w:rPr>
        <w:t>B</w:t>
      </w:r>
      <w:r w:rsidRPr="00175174" w:rsidR="00596748">
        <w:rPr>
          <w:sz w:val="18"/>
          <w:szCs w:val="18"/>
        </w:rPr>
        <w:t>ijlage</w:t>
      </w:r>
      <w:r w:rsidRPr="00175174">
        <w:rPr>
          <w:sz w:val="18"/>
          <w:szCs w:val="18"/>
        </w:rPr>
        <w:t xml:space="preserve"> </w:t>
      </w:r>
      <w:r w:rsidRPr="00175174" w:rsidR="00596748">
        <w:rPr>
          <w:sz w:val="18"/>
          <w:szCs w:val="18"/>
        </w:rPr>
        <w:t>top-</w:t>
      </w:r>
      <w:r w:rsidRPr="00175174">
        <w:rPr>
          <w:sz w:val="18"/>
          <w:szCs w:val="18"/>
        </w:rPr>
        <w:t xml:space="preserve">10 </w:t>
      </w:r>
      <w:r w:rsidRPr="00175174" w:rsidR="00596748">
        <w:rPr>
          <w:sz w:val="18"/>
          <w:szCs w:val="18"/>
        </w:rPr>
        <w:t>risico’s</w:t>
      </w:r>
      <w:bookmarkEnd w:id="64"/>
    </w:p>
    <w:p w:rsidRPr="00175174" w:rsidR="007416FC" w:rsidP="00175174" w:rsidRDefault="007416FC" w14:paraId="2CA19332" w14:textId="35405FC6">
      <w:pPr>
        <w:pStyle w:val="Plattetekst"/>
        <w:suppressAutoHyphens/>
        <w:spacing w:line="240" w:lineRule="exact"/>
        <w:jc w:val="left"/>
        <w:rPr>
          <w:spacing w:val="-10"/>
        </w:rPr>
      </w:pPr>
      <w:r w:rsidRPr="00175174">
        <w:t>Onderstaande tabel bevat de top 10 risico’s van het PALLAS- nieuwbouwprogramma zoals geïdentificeerd door NRG PALLAS B.V. In de laatste kolom staat de ontwikkeling van het risico ten opzichte van de vorige rapportage, waarbij is aangegeven of het betreffende risico nieuw is, is toegenomen (</w:t>
      </w:r>
      <w:r w:rsidRPr="00175174">
        <w:rPr>
          <w:rFonts w:ascii="Arial" w:hAnsi="Arial" w:cs="Arial"/>
          <w:spacing w:val="-10"/>
        </w:rPr>
        <w:t>▲</w:t>
      </w:r>
      <w:r w:rsidRPr="00175174">
        <w:rPr>
          <w:spacing w:val="-10"/>
        </w:rPr>
        <w:t>)</w:t>
      </w:r>
      <w:r w:rsidRPr="00175174">
        <w:t>, gelijk gebleven (=) of afgenomen (</w:t>
      </w:r>
      <w:r w:rsidRPr="00175174">
        <w:rPr>
          <w:rFonts w:ascii="Arial" w:hAnsi="Arial" w:cs="Arial"/>
          <w:spacing w:val="-10"/>
        </w:rPr>
        <w:t>▼</w:t>
      </w:r>
      <w:r w:rsidRPr="00175174">
        <w:rPr>
          <w:spacing w:val="-10"/>
        </w:rPr>
        <w:t xml:space="preserve">). </w:t>
      </w:r>
    </w:p>
    <w:tbl>
      <w:tblPr>
        <w:tblStyle w:val="NRGPALLAS1"/>
        <w:tblW w:w="11194" w:type="dxa"/>
        <w:tblInd w:w="-2835" w:type="dxa"/>
        <w:tblLayout w:type="fixed"/>
        <w:tblLook w:val="04A0" w:firstRow="1" w:lastRow="0" w:firstColumn="1" w:lastColumn="0" w:noHBand="0" w:noVBand="1"/>
      </w:tblPr>
      <w:tblGrid>
        <w:gridCol w:w="420"/>
        <w:gridCol w:w="1559"/>
        <w:gridCol w:w="3071"/>
        <w:gridCol w:w="3072"/>
        <w:gridCol w:w="3072"/>
      </w:tblGrid>
      <w:tr w:rsidRPr="00175174" w:rsidR="0087580C" w:rsidTr="001A053C" w14:paraId="02F275D1" w14:textId="77777777">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420" w:type="dxa"/>
            <w:vAlign w:val="top"/>
          </w:tcPr>
          <w:p w:rsidRPr="00175174" w:rsidR="0087580C" w:rsidP="00175174" w:rsidRDefault="0087580C" w14:paraId="16434609" w14:textId="77777777">
            <w:pPr>
              <w:suppressAutoHyphens/>
              <w:autoSpaceDE w:val="0"/>
              <w:adjustRightInd w:val="0"/>
              <w:spacing w:line="240" w:lineRule="auto"/>
              <w:jc w:val="left"/>
              <w:rPr>
                <w:rFonts w:cs="Open Sans"/>
                <w:color w:val="FFFFFF" w:themeColor="background1"/>
              </w:rPr>
            </w:pPr>
            <w:r w:rsidRPr="00175174">
              <w:rPr>
                <w:rFonts w:cs="Open Sans"/>
                <w:color w:val="FFFFFF" w:themeColor="background1"/>
              </w:rPr>
              <w:t>#</w:t>
            </w:r>
          </w:p>
        </w:tc>
        <w:tc>
          <w:tcPr>
            <w:tcW w:w="1559" w:type="dxa"/>
          </w:tcPr>
          <w:p w:rsidRPr="00175174" w:rsidR="0087580C" w:rsidP="00175174" w:rsidRDefault="0087580C" w14:paraId="2DE276ED" w14:textId="77777777">
            <w:pPr>
              <w:suppressAutoHyphens/>
              <w:autoSpaceDE w:val="0"/>
              <w:autoSpaceDN w:val="0"/>
              <w:adjustRightInd w:val="0"/>
              <w:spacing w:line="240" w:lineRule="auto"/>
              <w:jc w:val="left"/>
              <w:cnfStyle w:val="100000000000" w:firstRow="1" w:lastRow="0" w:firstColumn="0" w:lastColumn="0" w:oddVBand="0" w:evenVBand="0" w:oddHBand="0" w:evenHBand="0" w:firstRowFirstColumn="0" w:firstRowLastColumn="0" w:lastRowFirstColumn="0" w:lastRowLastColumn="0"/>
              <w:rPr>
                <w:rFonts w:cs="Open Sans"/>
                <w:color w:val="FFFFFF" w:themeColor="background1"/>
              </w:rPr>
            </w:pPr>
            <w:r w:rsidRPr="00175174">
              <w:rPr>
                <w:rFonts w:cs="Open Sans"/>
                <w:color w:val="FFFFFF" w:themeColor="background1"/>
              </w:rPr>
              <w:t>Risico</w:t>
            </w:r>
          </w:p>
        </w:tc>
        <w:tc>
          <w:tcPr>
            <w:tcW w:w="3071" w:type="dxa"/>
          </w:tcPr>
          <w:p w:rsidRPr="00175174" w:rsidR="0087580C" w:rsidP="00175174" w:rsidRDefault="0087580C" w14:paraId="63F929A7" w14:textId="77777777">
            <w:pPr>
              <w:suppressAutoHyphens/>
              <w:autoSpaceDE w:val="0"/>
              <w:autoSpaceDN w:val="0"/>
              <w:adjustRightInd w:val="0"/>
              <w:spacing w:line="240" w:lineRule="auto"/>
              <w:jc w:val="left"/>
              <w:cnfStyle w:val="100000000000" w:firstRow="1" w:lastRow="0" w:firstColumn="0" w:lastColumn="0" w:oddVBand="0" w:evenVBand="0" w:oddHBand="0" w:evenHBand="0" w:firstRowFirstColumn="0" w:firstRowLastColumn="0" w:lastRowFirstColumn="0" w:lastRowLastColumn="0"/>
              <w:rPr>
                <w:rFonts w:cs="Open Sans"/>
                <w:color w:val="FFFFFF" w:themeColor="background1"/>
              </w:rPr>
            </w:pPr>
            <w:proofErr w:type="spellStart"/>
            <w:r w:rsidRPr="00175174">
              <w:rPr>
                <w:rFonts w:cs="Open Sans"/>
                <w:color w:val="FFFFFF" w:themeColor="background1"/>
              </w:rPr>
              <w:t>Omschrijving</w:t>
            </w:r>
            <w:proofErr w:type="spellEnd"/>
          </w:p>
        </w:tc>
        <w:tc>
          <w:tcPr>
            <w:tcW w:w="3072" w:type="dxa"/>
          </w:tcPr>
          <w:p w:rsidRPr="00175174" w:rsidR="0087580C" w:rsidP="00175174" w:rsidRDefault="0087580C" w14:paraId="68BFD76A" w14:textId="77777777">
            <w:pPr>
              <w:suppressAutoHyphens/>
              <w:autoSpaceDE w:val="0"/>
              <w:autoSpaceDN w:val="0"/>
              <w:adjustRightInd w:val="0"/>
              <w:spacing w:line="240" w:lineRule="auto"/>
              <w:jc w:val="left"/>
              <w:cnfStyle w:val="100000000000" w:firstRow="1" w:lastRow="0" w:firstColumn="0" w:lastColumn="0" w:oddVBand="0" w:evenVBand="0" w:oddHBand="0" w:evenHBand="0" w:firstRowFirstColumn="0" w:firstRowLastColumn="0" w:lastRowFirstColumn="0" w:lastRowLastColumn="0"/>
              <w:rPr>
                <w:rFonts w:cs="Open Sans"/>
                <w:color w:val="FFFFFF" w:themeColor="background1"/>
              </w:rPr>
            </w:pPr>
            <w:proofErr w:type="spellStart"/>
            <w:r w:rsidRPr="00175174">
              <w:rPr>
                <w:rFonts w:cs="Open Sans"/>
                <w:color w:val="FFFFFF" w:themeColor="background1"/>
              </w:rPr>
              <w:t>Beheersing</w:t>
            </w:r>
            <w:proofErr w:type="spellEnd"/>
          </w:p>
        </w:tc>
        <w:tc>
          <w:tcPr>
            <w:tcW w:w="3072" w:type="dxa"/>
          </w:tcPr>
          <w:p w:rsidRPr="00175174" w:rsidR="0087580C" w:rsidP="00175174" w:rsidRDefault="0087580C" w14:paraId="22B7DEFE" w14:textId="77777777">
            <w:pPr>
              <w:suppressAutoHyphens/>
              <w:autoSpaceDE w:val="0"/>
              <w:autoSpaceDN w:val="0"/>
              <w:adjustRightInd w:val="0"/>
              <w:spacing w:line="240" w:lineRule="auto"/>
              <w:jc w:val="left"/>
              <w:cnfStyle w:val="100000000000" w:firstRow="1" w:lastRow="0" w:firstColumn="0" w:lastColumn="0" w:oddVBand="0" w:evenVBand="0" w:oddHBand="0" w:evenHBand="0" w:firstRowFirstColumn="0" w:firstRowLastColumn="0" w:lastRowFirstColumn="0" w:lastRowLastColumn="0"/>
              <w:rPr>
                <w:rFonts w:cs="Open Sans"/>
                <w:color w:val="FFFFFF" w:themeColor="background1"/>
              </w:rPr>
            </w:pPr>
            <w:proofErr w:type="spellStart"/>
            <w:r w:rsidRPr="00175174">
              <w:rPr>
                <w:rFonts w:cs="Open Sans"/>
                <w:color w:val="FFFFFF" w:themeColor="background1"/>
              </w:rPr>
              <w:t>Ontwikkelingen</w:t>
            </w:r>
            <w:proofErr w:type="spellEnd"/>
            <w:r w:rsidRPr="00175174">
              <w:rPr>
                <w:rFonts w:cs="Open Sans"/>
                <w:color w:val="FFFFFF" w:themeColor="background1"/>
              </w:rPr>
              <w:t>*</w:t>
            </w:r>
          </w:p>
        </w:tc>
      </w:tr>
      <w:tr w:rsidRPr="00175174" w:rsidR="0087580C" w:rsidTr="001A053C" w14:paraId="4FA3FF62" w14:textId="77777777">
        <w:trPr>
          <w:cantSplit/>
        </w:trPr>
        <w:tc>
          <w:tcPr>
            <w:cnfStyle w:val="001000000000" w:firstRow="0" w:lastRow="0" w:firstColumn="1" w:lastColumn="0" w:oddVBand="0" w:evenVBand="0" w:oddHBand="0" w:evenHBand="0" w:firstRowFirstColumn="0" w:firstRowLastColumn="0" w:lastRowFirstColumn="0" w:lastRowLastColumn="0"/>
            <w:tcW w:w="420" w:type="dxa"/>
            <w:vAlign w:val="top"/>
          </w:tcPr>
          <w:p w:rsidRPr="00175174" w:rsidR="0087580C" w:rsidP="00175174" w:rsidRDefault="0087580C" w14:paraId="2A9E879A" w14:textId="77777777">
            <w:pPr>
              <w:pStyle w:val="Lijstalinea"/>
              <w:numPr>
                <w:ilvl w:val="0"/>
                <w:numId w:val="19"/>
              </w:numPr>
              <w:suppressAutoHyphens/>
              <w:autoSpaceDE w:val="0"/>
              <w:adjustRightInd w:val="0"/>
              <w:spacing w:line="240" w:lineRule="auto"/>
              <w:jc w:val="left"/>
              <w:rPr>
                <w:rFonts w:cs="Open Sans"/>
                <w:color w:val="auto"/>
              </w:rPr>
            </w:pPr>
          </w:p>
        </w:tc>
        <w:tc>
          <w:tcPr>
            <w:tcW w:w="1559" w:type="dxa"/>
            <w:vAlign w:val="top"/>
          </w:tcPr>
          <w:p w:rsidRPr="00175174" w:rsidR="0087580C" w:rsidP="00175174" w:rsidRDefault="0087580C" w14:paraId="1EC4ED06" w14:textId="77777777">
            <w:pPr>
              <w:suppressAutoHyphens/>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r w:rsidRPr="00175174">
              <w:rPr>
                <w:rFonts w:cs="Open Sans"/>
                <w:color w:val="auto"/>
                <w:lang w:val="nl-NL"/>
              </w:rPr>
              <w:t>Onvoldoende volwassenheid van het ontwerp op kritische release mijlpalen</w:t>
            </w:r>
          </w:p>
        </w:tc>
        <w:tc>
          <w:tcPr>
            <w:tcW w:w="3071" w:type="dxa"/>
            <w:vAlign w:val="top"/>
          </w:tcPr>
          <w:p w:rsidRPr="00175174" w:rsidR="0087580C" w:rsidP="00175174" w:rsidRDefault="0087580C" w14:paraId="03C5D401" w14:textId="77777777">
            <w:pPr>
              <w:pStyle w:val="Lijstalinea"/>
              <w:suppressAutoHyphens/>
              <w:autoSpaceDE w:val="0"/>
              <w:autoSpaceDN w:val="0"/>
              <w:adjustRightInd w:val="0"/>
              <w:spacing w:line="240" w:lineRule="auto"/>
              <w:ind w:left="0"/>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r w:rsidRPr="00175174">
              <w:rPr>
                <w:rFonts w:cs="Open Sans"/>
                <w:color w:val="auto"/>
                <w:lang w:val="nl-NL"/>
              </w:rPr>
              <w:t xml:space="preserve">Dit betreft een overkoepelend risico dat voortkomt uit vele onderliggende aan het ontwerp gerelateerde risico’s zoals onvoldoende kwaliteit, geen tijdige oplevering van documenten t.b.v. constructie, vertraging in reviewproces </w:t>
            </w:r>
            <w:proofErr w:type="spellStart"/>
            <w:r w:rsidRPr="00175174">
              <w:rPr>
                <w:rFonts w:cs="Open Sans"/>
                <w:color w:val="auto"/>
                <w:lang w:val="nl-NL"/>
              </w:rPr>
              <w:t>danwel</w:t>
            </w:r>
            <w:proofErr w:type="spellEnd"/>
            <w:r w:rsidRPr="00175174">
              <w:rPr>
                <w:rFonts w:cs="Open Sans"/>
                <w:color w:val="auto"/>
                <w:lang w:val="nl-NL"/>
              </w:rPr>
              <w:t xml:space="preserve"> in release momenten. De keten van ontwerp naar bouw is een uitgebreid en complex geheel ter waarborging van voldoende kwaliteit aangaande verscheidene thema’s, waaronder nucleaire veiligheid.</w:t>
            </w:r>
          </w:p>
        </w:tc>
        <w:tc>
          <w:tcPr>
            <w:tcW w:w="3072" w:type="dxa"/>
            <w:vAlign w:val="top"/>
          </w:tcPr>
          <w:p w:rsidRPr="00175174" w:rsidR="0087580C" w:rsidP="00175174" w:rsidRDefault="0087580C" w14:paraId="5762CF27" w14:textId="77777777">
            <w:pPr>
              <w:suppressAutoHyphens/>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r w:rsidRPr="00175174">
              <w:rPr>
                <w:rFonts w:cs="Open Sans"/>
                <w:color w:val="auto"/>
                <w:lang w:val="nl-NL"/>
              </w:rPr>
              <w:t>De directie van het PALLAS Programma (DPP) heeft een controlepunt (</w:t>
            </w:r>
            <w:proofErr w:type="spellStart"/>
            <w:r w:rsidRPr="00175174">
              <w:rPr>
                <w:rFonts w:cs="Open Sans"/>
                <w:color w:val="auto"/>
                <w:lang w:val="nl-NL"/>
              </w:rPr>
              <w:t>hold</w:t>
            </w:r>
            <w:proofErr w:type="spellEnd"/>
            <w:r w:rsidRPr="00175174">
              <w:rPr>
                <w:rFonts w:cs="Open Sans"/>
                <w:color w:val="auto"/>
                <w:lang w:val="nl-NL"/>
              </w:rPr>
              <w:t xml:space="preserve"> point) geïntroduceerd voor de start van bouw van vloer -3 van het </w:t>
            </w:r>
            <w:proofErr w:type="spellStart"/>
            <w:r w:rsidRPr="00175174">
              <w:rPr>
                <w:rFonts w:cs="Open Sans"/>
                <w:color w:val="auto"/>
                <w:lang w:val="nl-NL"/>
              </w:rPr>
              <w:t>Nuclear</w:t>
            </w:r>
            <w:proofErr w:type="spellEnd"/>
            <w:r w:rsidRPr="00175174">
              <w:rPr>
                <w:rFonts w:cs="Open Sans"/>
                <w:color w:val="auto"/>
                <w:lang w:val="nl-NL"/>
              </w:rPr>
              <w:t xml:space="preserve"> Island (NI). Daarnaast blijft de NRG PALLAS Design </w:t>
            </w:r>
            <w:proofErr w:type="spellStart"/>
            <w:r w:rsidRPr="00175174">
              <w:rPr>
                <w:rFonts w:cs="Open Sans"/>
                <w:color w:val="auto"/>
                <w:lang w:val="nl-NL"/>
              </w:rPr>
              <w:t>Authority</w:t>
            </w:r>
            <w:proofErr w:type="spellEnd"/>
            <w:r w:rsidRPr="00175174">
              <w:rPr>
                <w:rFonts w:cs="Open Sans"/>
                <w:color w:val="auto"/>
                <w:lang w:val="nl-NL"/>
              </w:rPr>
              <w:t xml:space="preserve"> (DA) de voortgang op het detailontwerp monitoren, inclusief bijbehorende risico’s. Hierbij hoort het controleren van opmerkingen uit de </w:t>
            </w:r>
            <w:proofErr w:type="spellStart"/>
            <w:r w:rsidRPr="00175174">
              <w:rPr>
                <w:rFonts w:cs="Open Sans"/>
                <w:color w:val="auto"/>
                <w:lang w:val="nl-NL"/>
              </w:rPr>
              <w:t>intermediate</w:t>
            </w:r>
            <w:proofErr w:type="spellEnd"/>
            <w:r w:rsidRPr="00175174">
              <w:rPr>
                <w:rFonts w:cs="Open Sans"/>
                <w:color w:val="auto"/>
                <w:lang w:val="nl-NL"/>
              </w:rPr>
              <w:t xml:space="preserve"> design review (IDR) en het bijhouden van veranderingen sinds de IDR. </w:t>
            </w:r>
          </w:p>
          <w:p w:rsidRPr="00175174" w:rsidR="0087580C" w:rsidP="00175174" w:rsidRDefault="0087580C" w14:paraId="04B1EC21" w14:textId="77777777">
            <w:pPr>
              <w:suppressAutoHyphens/>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r w:rsidRPr="00175174">
              <w:rPr>
                <w:rFonts w:cs="Open Sans"/>
                <w:color w:val="auto"/>
                <w:lang w:val="nl-NL"/>
              </w:rPr>
              <w:t xml:space="preserve">Het herstelplan voor de </w:t>
            </w:r>
            <w:proofErr w:type="spellStart"/>
            <w:r w:rsidRPr="00175174">
              <w:rPr>
                <w:rFonts w:cs="Open Sans"/>
                <w:color w:val="auto"/>
                <w:lang w:val="nl-NL"/>
              </w:rPr>
              <w:t>roadmap</w:t>
            </w:r>
            <w:proofErr w:type="spellEnd"/>
            <w:r w:rsidRPr="00175174">
              <w:rPr>
                <w:rFonts w:cs="Open Sans"/>
                <w:color w:val="auto"/>
                <w:lang w:val="nl-NL"/>
              </w:rPr>
              <w:t xml:space="preserve"> van het detailontwerp 2025 is vastgesteld en wordt uitgevoerd door het engineering team. Het uitvoeren van dit plan wordt gemonitord om het engineering proces te ondersteunen en voortgang te verzekeren.</w:t>
            </w:r>
          </w:p>
        </w:tc>
        <w:tc>
          <w:tcPr>
            <w:tcW w:w="3072" w:type="dxa"/>
            <w:vAlign w:val="top"/>
          </w:tcPr>
          <w:p w:rsidRPr="00175174" w:rsidR="0087580C" w:rsidP="00175174" w:rsidRDefault="0066632A" w14:paraId="38BC631D" w14:textId="6F12A80D">
            <w:pPr>
              <w:suppressAutoHyphens/>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r w:rsidRPr="00175174">
              <w:rPr>
                <w:rFonts w:ascii="Arial" w:hAnsi="Arial" w:cs="Arial"/>
                <w:spacing w:val="-10"/>
                <w:lang w:val="nl-NL"/>
              </w:rPr>
              <w:t>▼</w:t>
            </w:r>
          </w:p>
          <w:p w:rsidRPr="00175174" w:rsidR="0087580C" w:rsidP="00175174" w:rsidRDefault="0087580C" w14:paraId="2E33210F" w14:textId="77777777">
            <w:pPr>
              <w:suppressAutoHyphens/>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p>
          <w:p w:rsidRPr="00175174" w:rsidR="0066632A" w:rsidP="00175174" w:rsidRDefault="0066632A" w14:paraId="4DCEB708" w14:textId="77777777">
            <w:pPr>
              <w:suppressAutoHyphens/>
              <w:autoSpaceDE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r w:rsidRPr="00175174">
              <w:rPr>
                <w:rFonts w:cs="Open Sans"/>
                <w:color w:val="auto"/>
                <w:lang w:val="nl-NL"/>
              </w:rPr>
              <w:t>Een gefaseerde ontwerpvrijgave-aanpak is geïmplementeerd, ondersteund door een duidelijke planningsstructuur die vastlegt wanneer de resterende informatie beschikbaar zal komen. Dit waarborgt dat ontwerppakketten pas worden vrijgegeven wanneer ze voldoende volwassen zijn om de vervolgstappen te ondersteunen.</w:t>
            </w:r>
          </w:p>
          <w:p w:rsidRPr="00175174" w:rsidR="0066632A" w:rsidP="00175174" w:rsidRDefault="0066632A" w14:paraId="0E509409" w14:textId="77777777">
            <w:pPr>
              <w:suppressAutoHyphens/>
              <w:autoSpaceDE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p>
          <w:p w:rsidRPr="00175174" w:rsidR="0066632A" w:rsidP="00175174" w:rsidRDefault="0066632A" w14:paraId="444BE6D9" w14:textId="77777777">
            <w:pPr>
              <w:suppressAutoHyphens/>
              <w:autoSpaceDE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r w:rsidRPr="00175174">
              <w:rPr>
                <w:rFonts w:cs="Open Sans"/>
                <w:color w:val="auto"/>
                <w:lang w:val="nl-NL"/>
              </w:rPr>
              <w:t>Het consequent toepassen van gestructureerde vrijgaveprocedures, versterkte toetsing door derden (TPR, AKI, ANVS) en directe betrokkenheid van het management zal naar verwachting de voorspelbaarheid van de ontwerpvolledigheid bij de kritieke mijlpaal CDR vergroten.</w:t>
            </w:r>
          </w:p>
          <w:p w:rsidRPr="00175174" w:rsidR="0087580C" w:rsidP="00175174" w:rsidRDefault="0087580C" w14:paraId="7A8807E6" w14:textId="73F309DF">
            <w:pPr>
              <w:suppressAutoHyphens/>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p>
        </w:tc>
      </w:tr>
      <w:tr w:rsidRPr="00175174" w:rsidR="0066632A" w:rsidTr="001A053C" w14:paraId="744D50B8" w14:textId="77777777">
        <w:trPr>
          <w:cantSplit/>
        </w:trPr>
        <w:tc>
          <w:tcPr>
            <w:cnfStyle w:val="001000000000" w:firstRow="0" w:lastRow="0" w:firstColumn="1" w:lastColumn="0" w:oddVBand="0" w:evenVBand="0" w:oddHBand="0" w:evenHBand="0" w:firstRowFirstColumn="0" w:firstRowLastColumn="0" w:lastRowFirstColumn="0" w:lastRowLastColumn="0"/>
            <w:tcW w:w="420" w:type="dxa"/>
            <w:vAlign w:val="top"/>
          </w:tcPr>
          <w:p w:rsidRPr="00175174" w:rsidR="0066632A" w:rsidP="00175174" w:rsidRDefault="0066632A" w14:paraId="7207C937" w14:textId="77777777">
            <w:pPr>
              <w:pStyle w:val="Lijstalinea"/>
              <w:numPr>
                <w:ilvl w:val="0"/>
                <w:numId w:val="19"/>
              </w:numPr>
              <w:suppressAutoHyphens/>
              <w:autoSpaceDE w:val="0"/>
              <w:adjustRightInd w:val="0"/>
              <w:spacing w:line="240" w:lineRule="auto"/>
              <w:jc w:val="left"/>
              <w:rPr>
                <w:rFonts w:cs="Open Sans"/>
                <w:color w:val="auto"/>
                <w:lang w:val="nl-NL"/>
              </w:rPr>
            </w:pPr>
          </w:p>
        </w:tc>
        <w:tc>
          <w:tcPr>
            <w:tcW w:w="1559" w:type="dxa"/>
            <w:vAlign w:val="top"/>
          </w:tcPr>
          <w:p w:rsidRPr="00175174" w:rsidR="0066632A" w:rsidP="00175174" w:rsidRDefault="0066632A" w14:paraId="2FBF27AF" w14:textId="2FC4CD2C">
            <w:pPr>
              <w:suppressAutoHyphens/>
              <w:autoSpaceDE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r w:rsidRPr="00175174">
              <w:rPr>
                <w:rFonts w:cs="Open Sans"/>
                <w:color w:val="auto"/>
                <w:lang w:val="nl-NL"/>
              </w:rPr>
              <w:t xml:space="preserve">Input data niet compleet bij de start van de voorbereidingen voor de POSAR en de </w:t>
            </w:r>
            <w:proofErr w:type="spellStart"/>
            <w:r w:rsidRPr="00175174">
              <w:rPr>
                <w:rFonts w:cs="Open Sans"/>
                <w:color w:val="auto"/>
                <w:lang w:val="nl-NL"/>
              </w:rPr>
              <w:t>safety</w:t>
            </w:r>
            <w:proofErr w:type="spellEnd"/>
            <w:r w:rsidRPr="00175174">
              <w:rPr>
                <w:rFonts w:cs="Open Sans"/>
                <w:color w:val="auto"/>
                <w:lang w:val="nl-NL"/>
              </w:rPr>
              <w:t xml:space="preserve"> analysis </w:t>
            </w:r>
          </w:p>
        </w:tc>
        <w:tc>
          <w:tcPr>
            <w:tcW w:w="3071" w:type="dxa"/>
            <w:vAlign w:val="top"/>
          </w:tcPr>
          <w:p w:rsidRPr="00175174" w:rsidR="0066632A" w:rsidP="00175174" w:rsidRDefault="0066632A" w14:paraId="2BFFD03A" w14:textId="77777777">
            <w:pPr>
              <w:suppressAutoHyphens/>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000000" w:themeColor="text1"/>
                <w:lang w:val="nl-NL"/>
              </w:rPr>
            </w:pPr>
            <w:r w:rsidRPr="00175174">
              <w:rPr>
                <w:rFonts w:cs="Open Sans"/>
                <w:color w:val="auto"/>
                <w:lang w:val="nl-NL"/>
              </w:rPr>
              <w:t>De afhankelijkheid van verschillende inputgegevens is bepalend voor het POSAR-traject (Safety Analysis Report/ veiligheidsrapport voor de operationele Kernenergiewetvergunning).</w:t>
            </w:r>
            <w:r w:rsidRPr="00175174">
              <w:rPr>
                <w:rFonts w:cs="Open Sans"/>
                <w:color w:val="auto"/>
                <w:lang w:val="nl-NL"/>
              </w:rPr>
              <w:br/>
              <w:t>De input die nodig is voor de POSAR (documenten van ICHOS en NRG PALLAS) is onvoldoende in beeld en de bijbehorende planning kan onvoldoende worden nageleefd. Er dient zorggedragen worden voor tijdige oplevering van de benodigde inputdata voor de POSAR (voorgaande stappen) en dit actief te monitoren.</w:t>
            </w:r>
            <w:r w:rsidRPr="00175174">
              <w:rPr>
                <w:rFonts w:cs="Open Sans"/>
                <w:color w:val="auto"/>
                <w:lang w:val="nl-NL"/>
              </w:rPr>
              <w:br/>
              <w:t>Informatie</w:t>
            </w:r>
            <w:r w:rsidRPr="00175174">
              <w:rPr>
                <w:rFonts w:cs="Open Sans"/>
                <w:color w:val="auto"/>
                <w:lang w:val="nl-NL"/>
              </w:rPr>
              <w:softHyphen/>
              <w:t>management blijft uitdagend; er zijn vertragingen in ontwerp</w:t>
            </w:r>
            <w:r w:rsidRPr="00175174">
              <w:rPr>
                <w:rFonts w:cs="Open Sans"/>
                <w:color w:val="auto"/>
                <w:lang w:val="nl-NL"/>
              </w:rPr>
              <w:softHyphen/>
              <w:t>informatie. Dit betekent dat sommige informatie voor de veiligheidsanalyse is gebaseerd op aannames of op informatie uit het basis ontwerp. Dit is acceptabel, maar het brengt het risico met zich mee dat er in de toekomst herwerk nodig is om aannames te verifiëren.</w:t>
            </w:r>
          </w:p>
          <w:p w:rsidRPr="00175174" w:rsidR="0066632A" w:rsidP="00175174" w:rsidRDefault="0066632A" w14:paraId="53624335" w14:textId="77777777">
            <w:pPr>
              <w:suppressAutoHyphens/>
              <w:autoSpaceDE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p>
        </w:tc>
        <w:tc>
          <w:tcPr>
            <w:tcW w:w="3072" w:type="dxa"/>
            <w:vAlign w:val="top"/>
          </w:tcPr>
          <w:p w:rsidRPr="00175174" w:rsidR="0066632A" w:rsidP="00175174" w:rsidRDefault="0066632A" w14:paraId="0FE4003D" w14:textId="77777777">
            <w:pPr>
              <w:suppressAutoHyphens/>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000000" w:themeColor="text1"/>
                <w:lang w:val="nl-NL"/>
              </w:rPr>
            </w:pPr>
            <w:r w:rsidRPr="00175174">
              <w:rPr>
                <w:rFonts w:cs="Open Sans"/>
                <w:color w:val="auto"/>
                <w:lang w:val="nl-NL"/>
              </w:rPr>
              <w:t xml:space="preserve">Voorbereiding van de POSAR en de </w:t>
            </w:r>
            <w:proofErr w:type="spellStart"/>
            <w:r w:rsidRPr="00175174">
              <w:rPr>
                <w:rFonts w:cs="Open Sans"/>
                <w:color w:val="auto"/>
                <w:lang w:val="nl-NL"/>
              </w:rPr>
              <w:t>safety</w:t>
            </w:r>
            <w:proofErr w:type="spellEnd"/>
            <w:r w:rsidRPr="00175174">
              <w:rPr>
                <w:rFonts w:cs="Open Sans"/>
                <w:color w:val="auto"/>
                <w:lang w:val="nl-NL"/>
              </w:rPr>
              <w:t xml:space="preserve"> analysis zijn realistisch gepland en in uitvoering, waarbij betrouwbare aannames worden gehanteerd op basis van gedetailleerde ontwerpinformatie die nog niet beschikbaar of bevestigd is. Deze aannames worden traceerbaar en goed gedocumenteerd bijgehouden. Met deze aanpak accepteert NRG PALLAS dat enig herwerk noodzakelijk kan zijn zodra het Definitief Ontwerp (DD) voldoende is afgerond. Echter, zulk herwerk moet alsnog passend worden ingepland. Dit hangt direct samen met het huidige gebrek aan grip op ontwerp</w:t>
            </w:r>
            <w:r w:rsidRPr="00175174">
              <w:rPr>
                <w:rFonts w:cs="Open Sans"/>
                <w:color w:val="auto"/>
                <w:lang w:val="nl-NL"/>
              </w:rPr>
              <w:softHyphen/>
              <w:t>integratierisico, waarvan de gevolgen nog beoordeeld moeten worden.</w:t>
            </w:r>
          </w:p>
          <w:p w:rsidRPr="00175174" w:rsidR="0066632A" w:rsidP="00175174" w:rsidRDefault="0066632A" w14:paraId="38E9DC5B" w14:textId="77777777">
            <w:pPr>
              <w:suppressAutoHyphens/>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000000" w:themeColor="text1"/>
                <w:lang w:val="nl-NL"/>
              </w:rPr>
            </w:pPr>
          </w:p>
          <w:p w:rsidRPr="00175174" w:rsidR="0066632A" w:rsidP="00175174" w:rsidRDefault="0066632A" w14:paraId="7EB771BC" w14:textId="77777777">
            <w:pPr>
              <w:suppressAutoHyphens/>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000000" w:themeColor="text1"/>
                <w:lang w:val="nl-NL"/>
              </w:rPr>
            </w:pPr>
            <w:r w:rsidRPr="00175174">
              <w:rPr>
                <w:rFonts w:cs="Open Sans"/>
                <w:color w:val="auto"/>
                <w:lang w:val="nl-NL"/>
              </w:rPr>
              <w:t xml:space="preserve">NRG PALLAS heeft ICHOS formeel aangesproken over onvoldoende voortgang in de oplevering van POSAR-documenten en er is een </w:t>
            </w:r>
            <w:proofErr w:type="spellStart"/>
            <w:r w:rsidRPr="00175174">
              <w:rPr>
                <w:rFonts w:cs="Open Sans"/>
                <w:color w:val="auto"/>
                <w:lang w:val="nl-NL"/>
              </w:rPr>
              <w:t>early</w:t>
            </w:r>
            <w:proofErr w:type="spellEnd"/>
            <w:r w:rsidRPr="00175174">
              <w:rPr>
                <w:rFonts w:cs="Open Sans"/>
                <w:color w:val="auto"/>
                <w:lang w:val="nl-NL"/>
              </w:rPr>
              <w:t xml:space="preserve"> </w:t>
            </w:r>
            <w:proofErr w:type="spellStart"/>
            <w:r w:rsidRPr="00175174">
              <w:rPr>
                <w:rFonts w:cs="Open Sans"/>
                <w:color w:val="auto"/>
                <w:lang w:val="nl-NL"/>
              </w:rPr>
              <w:t>warning</w:t>
            </w:r>
            <w:proofErr w:type="spellEnd"/>
            <w:r w:rsidRPr="00175174">
              <w:rPr>
                <w:rFonts w:cs="Open Sans"/>
                <w:color w:val="auto"/>
                <w:lang w:val="nl-NL"/>
              </w:rPr>
              <w:t xml:space="preserve"> afgegeven aan het PDT als update op de IPS (integrale programmaplanning).</w:t>
            </w:r>
          </w:p>
          <w:p w:rsidRPr="00175174" w:rsidR="0066632A" w:rsidP="00175174" w:rsidRDefault="0066632A" w14:paraId="5E9341F7" w14:textId="77777777">
            <w:pPr>
              <w:suppressAutoHyphens/>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000000" w:themeColor="text1"/>
                <w:lang w:val="nl-NL"/>
              </w:rPr>
            </w:pPr>
            <w:r w:rsidRPr="00175174">
              <w:rPr>
                <w:rFonts w:cs="Open Sans"/>
                <w:color w:val="auto"/>
                <w:lang w:val="nl-NL"/>
              </w:rPr>
              <w:t xml:space="preserve">De POSAR-planning is herzien op basis van input van het engineering-team en goedgekeurd door NRG PALLAS. Deze herziene planning is vervolgens geïntegreerd in het BL9- en IPS-schema. </w:t>
            </w:r>
          </w:p>
          <w:p w:rsidRPr="00175174" w:rsidR="0066632A" w:rsidP="00175174" w:rsidRDefault="0066632A" w14:paraId="5256868F" w14:textId="77777777">
            <w:pPr>
              <w:suppressAutoHyphens/>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000000" w:themeColor="text1"/>
                <w:lang w:val="nl-NL"/>
              </w:rPr>
            </w:pPr>
          </w:p>
          <w:p w:rsidRPr="00175174" w:rsidR="0066632A" w:rsidP="00175174" w:rsidRDefault="0066632A" w14:paraId="7BB931E6" w14:textId="5C74F004">
            <w:pPr>
              <w:suppressAutoHyphens/>
              <w:autoSpaceDE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r w:rsidRPr="00175174">
              <w:rPr>
                <w:rFonts w:cs="Open Sans"/>
                <w:color w:val="auto"/>
                <w:lang w:val="nl-NL"/>
              </w:rPr>
              <w:t>Eerste gesprekken met de ANVS over de scope en diepgang van de POSAR hoofdstukken zijn gestart en moeten in 2025 verder worden geïntensiveerd voor alle hoofdstukken.</w:t>
            </w:r>
          </w:p>
        </w:tc>
        <w:tc>
          <w:tcPr>
            <w:tcW w:w="3072" w:type="dxa"/>
            <w:vAlign w:val="top"/>
          </w:tcPr>
          <w:p w:rsidRPr="00175174" w:rsidR="0066632A" w:rsidP="00175174" w:rsidRDefault="0066632A" w14:paraId="0D28C204" w14:textId="4D35F631">
            <w:pPr>
              <w:suppressAutoHyphens/>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FFFFFF" w:themeColor="background1"/>
                <w:lang w:val="nl-NL"/>
              </w:rPr>
            </w:pPr>
            <w:r w:rsidRPr="00175174">
              <w:rPr>
                <w:rFonts w:ascii="Arial" w:hAnsi="Arial" w:cs="Arial"/>
                <w:spacing w:val="-10"/>
                <w:lang w:val="nl-NL"/>
              </w:rPr>
              <w:t>▲</w:t>
            </w:r>
          </w:p>
          <w:p w:rsidRPr="00175174" w:rsidR="0066632A" w:rsidP="00175174" w:rsidRDefault="0066632A" w14:paraId="6FA7D0E4" w14:textId="77777777">
            <w:pPr>
              <w:suppressAutoHyphens/>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b/>
                <w:color w:val="000000" w:themeColor="text1"/>
                <w:lang w:val="nl-NL"/>
              </w:rPr>
            </w:pPr>
            <w:r w:rsidRPr="00175174">
              <w:rPr>
                <w:rFonts w:cs="Open Sans"/>
                <w:color w:val="auto"/>
                <w:lang w:val="nl-NL"/>
              </w:rPr>
              <w:t>Dit risico neemt toe. De betrouwbaarheid neemt af ten aanzien van zowel de leveringsplanning van POSAR-</w:t>
            </w:r>
            <w:proofErr w:type="spellStart"/>
            <w:r w:rsidRPr="00175174">
              <w:rPr>
                <w:rFonts w:cs="Open Sans"/>
                <w:color w:val="auto"/>
                <w:lang w:val="nl-NL"/>
              </w:rPr>
              <w:t>inputs</w:t>
            </w:r>
            <w:proofErr w:type="spellEnd"/>
            <w:r w:rsidRPr="00175174">
              <w:rPr>
                <w:rFonts w:cs="Open Sans"/>
                <w:color w:val="auto"/>
                <w:lang w:val="nl-NL"/>
              </w:rPr>
              <w:t xml:space="preserve"> door ICHOS (en NRG PALLAS) als de verwachte acceptatie van deze </w:t>
            </w:r>
            <w:proofErr w:type="spellStart"/>
            <w:r w:rsidRPr="00175174">
              <w:rPr>
                <w:rFonts w:cs="Open Sans"/>
                <w:color w:val="auto"/>
                <w:lang w:val="nl-NL"/>
              </w:rPr>
              <w:t>inputs</w:t>
            </w:r>
            <w:proofErr w:type="spellEnd"/>
            <w:r w:rsidRPr="00175174">
              <w:rPr>
                <w:rFonts w:cs="Open Sans"/>
                <w:color w:val="auto"/>
                <w:lang w:val="nl-NL"/>
              </w:rPr>
              <w:t xml:space="preserve"> door het PALLAS-programma. Momenteel is er geen geconsolideerd overzicht van de vrijgavedata van de ontwerp</w:t>
            </w:r>
            <w:r w:rsidRPr="00175174">
              <w:rPr>
                <w:rFonts w:cs="Open Sans"/>
                <w:color w:val="auto"/>
                <w:lang w:val="nl-NL"/>
              </w:rPr>
              <w:softHyphen/>
              <w:t>pakketten die relevant zijn voor POSAR vanuit PALLAS DA.</w:t>
            </w:r>
          </w:p>
          <w:p w:rsidRPr="00175174" w:rsidR="0066632A" w:rsidP="00175174" w:rsidRDefault="0066632A" w14:paraId="1405B8EF" w14:textId="77777777">
            <w:pPr>
              <w:suppressAutoHyphens/>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000000" w:themeColor="text1"/>
                <w:lang w:val="nl-NL"/>
              </w:rPr>
            </w:pPr>
          </w:p>
          <w:p w:rsidRPr="00175174" w:rsidR="0066632A" w:rsidP="00175174" w:rsidRDefault="0066632A" w14:paraId="3A947746" w14:textId="77777777">
            <w:pPr>
              <w:suppressAutoHyphens/>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000000" w:themeColor="text1"/>
                <w:lang w:val="nl-NL"/>
              </w:rPr>
            </w:pPr>
            <w:r w:rsidRPr="00175174">
              <w:rPr>
                <w:rFonts w:cs="Open Sans"/>
                <w:color w:val="auto"/>
                <w:lang w:val="nl-NL"/>
              </w:rPr>
              <w:t xml:space="preserve">De effectiviteit van de genomen maatregelen heeft nog geen meetbaar effect opgeleverd. Daarom is nogmaals geëscaleerd naar directieniveau op dit onderwerp. Ontwikkelingen omtrent dit onderwerp worden in samenspraak met </w:t>
            </w:r>
            <w:proofErr w:type="spellStart"/>
            <w:r w:rsidRPr="00175174">
              <w:rPr>
                <w:rFonts w:cs="Open Sans"/>
                <w:color w:val="auto"/>
                <w:lang w:val="nl-NL"/>
              </w:rPr>
              <w:t>MinVWS</w:t>
            </w:r>
            <w:proofErr w:type="spellEnd"/>
            <w:r w:rsidRPr="00175174">
              <w:rPr>
                <w:rFonts w:cs="Open Sans"/>
                <w:color w:val="auto"/>
                <w:lang w:val="nl-NL"/>
              </w:rPr>
              <w:t xml:space="preserve"> afgestemd.</w:t>
            </w:r>
          </w:p>
          <w:p w:rsidRPr="00175174" w:rsidR="0066632A" w:rsidP="00175174" w:rsidRDefault="0066632A" w14:paraId="0ABC491B" w14:textId="77777777">
            <w:pPr>
              <w:suppressAutoHyphens/>
              <w:autoSpaceDE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p>
        </w:tc>
      </w:tr>
      <w:tr w:rsidRPr="00175174" w:rsidR="0087580C" w:rsidTr="001A053C" w14:paraId="7100267C" w14:textId="77777777">
        <w:trPr>
          <w:cantSplit/>
        </w:trPr>
        <w:tc>
          <w:tcPr>
            <w:cnfStyle w:val="001000000000" w:firstRow="0" w:lastRow="0" w:firstColumn="1" w:lastColumn="0" w:oddVBand="0" w:evenVBand="0" w:oddHBand="0" w:evenHBand="0" w:firstRowFirstColumn="0" w:firstRowLastColumn="0" w:lastRowFirstColumn="0" w:lastRowLastColumn="0"/>
            <w:tcW w:w="420" w:type="dxa"/>
            <w:vAlign w:val="top"/>
          </w:tcPr>
          <w:p w:rsidRPr="00175174" w:rsidR="0087580C" w:rsidP="00175174" w:rsidRDefault="0087580C" w14:paraId="6189441E" w14:textId="77777777">
            <w:pPr>
              <w:pStyle w:val="Lijstalinea"/>
              <w:numPr>
                <w:ilvl w:val="0"/>
                <w:numId w:val="19"/>
              </w:numPr>
              <w:suppressAutoHyphens/>
              <w:autoSpaceDE w:val="0"/>
              <w:adjustRightInd w:val="0"/>
              <w:spacing w:line="240" w:lineRule="auto"/>
              <w:jc w:val="left"/>
              <w:rPr>
                <w:rFonts w:cs="Open Sans"/>
                <w:color w:val="auto"/>
                <w:lang w:val="nl-NL"/>
              </w:rPr>
            </w:pPr>
          </w:p>
        </w:tc>
        <w:tc>
          <w:tcPr>
            <w:tcW w:w="1559" w:type="dxa"/>
            <w:vAlign w:val="top"/>
          </w:tcPr>
          <w:p w:rsidRPr="00175174" w:rsidR="0087580C" w:rsidP="00175174" w:rsidRDefault="0087580C" w14:paraId="6A0713DA" w14:textId="77777777">
            <w:pPr>
              <w:suppressAutoHyphens/>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r w:rsidRPr="00175174">
              <w:rPr>
                <w:rFonts w:cs="Open Sans"/>
                <w:color w:val="auto"/>
                <w:lang w:val="nl-NL"/>
              </w:rPr>
              <w:t>Gebrek aan beheersing op de integratie van ontwerp</w:t>
            </w:r>
          </w:p>
        </w:tc>
        <w:tc>
          <w:tcPr>
            <w:tcW w:w="3071" w:type="dxa"/>
            <w:vAlign w:val="top"/>
          </w:tcPr>
          <w:p w:rsidRPr="00175174" w:rsidR="0087580C" w:rsidP="00175174" w:rsidRDefault="0087580C" w14:paraId="2C91940C" w14:textId="77777777">
            <w:pPr>
              <w:suppressAutoHyphens/>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r w:rsidRPr="00175174">
              <w:rPr>
                <w:rFonts w:cs="Open Sans"/>
                <w:color w:val="auto"/>
                <w:lang w:val="nl-NL"/>
              </w:rPr>
              <w:t>Mogelijk onvoldoende overzicht en controle over het integratieproces van het ontwerp door de gefragmenteerde aanpak van knelpunten en het boeken van onvoldoende voortgang op de DD-</w:t>
            </w:r>
            <w:proofErr w:type="spellStart"/>
            <w:r w:rsidRPr="00175174">
              <w:rPr>
                <w:rFonts w:cs="Open Sans"/>
                <w:color w:val="auto"/>
                <w:lang w:val="nl-NL"/>
              </w:rPr>
              <w:t>roadmap</w:t>
            </w:r>
            <w:proofErr w:type="spellEnd"/>
            <w:r w:rsidRPr="00175174">
              <w:rPr>
                <w:rFonts w:cs="Open Sans"/>
                <w:color w:val="auto"/>
                <w:lang w:val="nl-NL"/>
              </w:rPr>
              <w:t>. Deze situatie kan worden versterkt door meerdere aan het detailontwerp gerelateerde kwesties, gebrekkige voortgangsrapportages, niet-opgeloste en niet-geïmplementeerde prioriteiten, kwaliteitsproblemen en vertragingen in kritieke opleveringen.</w:t>
            </w:r>
          </w:p>
          <w:p w:rsidRPr="00175174" w:rsidR="0087580C" w:rsidP="00175174" w:rsidRDefault="0087580C" w14:paraId="67E961E1" w14:textId="77777777">
            <w:pPr>
              <w:suppressAutoHyphens/>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p>
        </w:tc>
        <w:tc>
          <w:tcPr>
            <w:tcW w:w="3072" w:type="dxa"/>
            <w:vAlign w:val="top"/>
          </w:tcPr>
          <w:p w:rsidRPr="00175174" w:rsidR="0087580C" w:rsidP="00175174" w:rsidRDefault="0087580C" w14:paraId="7F5CE68D" w14:textId="77777777">
            <w:pPr>
              <w:suppressAutoHyphens/>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r w:rsidRPr="00175174">
              <w:rPr>
                <w:rFonts w:cs="Open Sans"/>
                <w:color w:val="auto"/>
                <w:lang w:val="nl-NL"/>
              </w:rPr>
              <w:t xml:space="preserve">Het herstelplan voor de </w:t>
            </w:r>
            <w:proofErr w:type="spellStart"/>
            <w:r w:rsidRPr="00175174">
              <w:rPr>
                <w:rFonts w:cs="Open Sans"/>
                <w:color w:val="auto"/>
                <w:lang w:val="nl-NL"/>
              </w:rPr>
              <w:t>roadmap</w:t>
            </w:r>
            <w:proofErr w:type="spellEnd"/>
            <w:r w:rsidRPr="00175174">
              <w:rPr>
                <w:rFonts w:cs="Open Sans"/>
                <w:color w:val="auto"/>
                <w:lang w:val="nl-NL"/>
              </w:rPr>
              <w:t xml:space="preserve"> van het detailontwerp 2025 is vastgesteld en wordt uitgevoerd door het engineering team. De uitvoering van dit verbeterplan wordt nauwkeurig gemonitord. </w:t>
            </w:r>
          </w:p>
        </w:tc>
        <w:tc>
          <w:tcPr>
            <w:tcW w:w="3072" w:type="dxa"/>
            <w:vAlign w:val="top"/>
          </w:tcPr>
          <w:p w:rsidRPr="00175174" w:rsidR="0066632A" w:rsidP="00175174" w:rsidRDefault="0066632A" w14:paraId="0C372CAA" w14:textId="42FDFDD3">
            <w:pPr>
              <w:suppressAutoHyphens/>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r w:rsidRPr="00175174">
              <w:rPr>
                <w:rFonts w:cs="Open Sans"/>
                <w:color w:val="auto"/>
                <w:lang w:val="nl-NL"/>
              </w:rPr>
              <w:t>=</w:t>
            </w:r>
          </w:p>
          <w:p w:rsidRPr="00175174" w:rsidR="0066632A" w:rsidP="00175174" w:rsidRDefault="0066632A" w14:paraId="3BB92F27" w14:textId="77777777">
            <w:pPr>
              <w:suppressAutoHyphens/>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b/>
                <w:color w:val="000000" w:themeColor="text1"/>
                <w:lang w:val="nl-NL"/>
              </w:rPr>
            </w:pPr>
            <w:r w:rsidRPr="00175174">
              <w:rPr>
                <w:rFonts w:cs="Open Sans"/>
                <w:color w:val="auto"/>
                <w:lang w:val="nl-NL"/>
              </w:rPr>
              <w:t xml:space="preserve">Op dit moment bestaan er verscheidene ontwerpintegratie-clashes en best </w:t>
            </w:r>
            <w:proofErr w:type="spellStart"/>
            <w:r w:rsidRPr="00175174">
              <w:rPr>
                <w:rFonts w:cs="Open Sans"/>
                <w:color w:val="auto"/>
                <w:lang w:val="nl-NL"/>
              </w:rPr>
              <w:t>for</w:t>
            </w:r>
            <w:proofErr w:type="spellEnd"/>
            <w:r w:rsidRPr="00175174">
              <w:rPr>
                <w:rFonts w:cs="Open Sans"/>
                <w:color w:val="auto"/>
                <w:lang w:val="nl-NL"/>
              </w:rPr>
              <w:t xml:space="preserve"> project initiatieven ten aanzien van het detailontwerp die los worden behandeld. Daarnaast zijn er momenteel te vee</w:t>
            </w:r>
            <w:r w:rsidRPr="00175174">
              <w:rPr>
                <w:rFonts w:cs="Open Sans"/>
                <w:lang w:val="nl-NL"/>
              </w:rPr>
              <w:t>l</w:t>
            </w:r>
            <w:r w:rsidRPr="00175174">
              <w:rPr>
                <w:rFonts w:cs="Open Sans"/>
                <w:color w:val="auto"/>
                <w:lang w:val="nl-NL"/>
              </w:rPr>
              <w:t xml:space="preserve"> onopgeloste ontwerpintegratie-clashes die de start van andere contract batches, buiten 1 en 2, verhinderen. Het is dan ook cruciaal om het oplossen van de meest kritische ontwerponderwerpen te prioriteren voordat de bouw kan starten. ICHOS heeft een </w:t>
            </w:r>
            <w:proofErr w:type="spellStart"/>
            <w:r w:rsidRPr="00175174">
              <w:rPr>
                <w:rFonts w:cs="Open Sans"/>
                <w:color w:val="auto"/>
                <w:lang w:val="nl-NL"/>
              </w:rPr>
              <w:t>roadmap</w:t>
            </w:r>
            <w:proofErr w:type="spellEnd"/>
            <w:r w:rsidRPr="00175174">
              <w:rPr>
                <w:rFonts w:cs="Open Sans"/>
                <w:color w:val="auto"/>
                <w:lang w:val="nl-NL"/>
              </w:rPr>
              <w:t xml:space="preserve"> aangeboden die integratie aanpak ten aanzien van de </w:t>
            </w:r>
            <w:proofErr w:type="spellStart"/>
            <w:r w:rsidRPr="00175174">
              <w:rPr>
                <w:rFonts w:cs="Open Sans"/>
                <w:color w:val="auto"/>
                <w:lang w:val="nl-NL"/>
              </w:rPr>
              <w:t>critical</w:t>
            </w:r>
            <w:proofErr w:type="spellEnd"/>
            <w:r w:rsidRPr="00175174">
              <w:rPr>
                <w:rFonts w:cs="Open Sans"/>
                <w:color w:val="auto"/>
                <w:lang w:val="nl-NL"/>
              </w:rPr>
              <w:t xml:space="preserve"> design review (CDR) toelicht. Er zijn interne ICHOS mijlpalen gesteld voor het bevriezen van de </w:t>
            </w:r>
            <w:proofErr w:type="spellStart"/>
            <w:r w:rsidRPr="00175174">
              <w:rPr>
                <w:rFonts w:cs="Open Sans"/>
                <w:color w:val="auto"/>
                <w:lang w:val="nl-NL"/>
              </w:rPr>
              <w:t>layout</w:t>
            </w:r>
            <w:proofErr w:type="spellEnd"/>
            <w:r w:rsidRPr="00175174">
              <w:rPr>
                <w:rFonts w:cs="Open Sans"/>
                <w:color w:val="auto"/>
                <w:lang w:val="nl-NL"/>
              </w:rPr>
              <w:t xml:space="preserve">, de integratie van alle elementen, etc. Het is echter duidelijk geworden dat de integratie inspanningen op het ontwerp en de CDR levering niet zijn uitgelijnd met elkaar, waarbij de benodigde inspanningen ook zijn onderschat. Hierdoor is er vertraging ontstaan in het aanleveren van CDR documentatie. </w:t>
            </w:r>
          </w:p>
          <w:p w:rsidRPr="00175174" w:rsidR="0087580C" w:rsidP="00175174" w:rsidRDefault="0066632A" w14:paraId="14508B64" w14:textId="68FC1CA6">
            <w:pPr>
              <w:suppressAutoHyphens/>
              <w:autoSpaceDE w:val="0"/>
              <w:autoSpaceDN w:val="0"/>
              <w:adjustRightInd w:val="0"/>
              <w:spacing w:line="240" w:lineRule="auto"/>
              <w:contextualSpacing w:val="0"/>
              <w:jc w:val="left"/>
              <w:textAlignment w:val="baseline"/>
              <w:cnfStyle w:val="000000000000" w:firstRow="0" w:lastRow="0" w:firstColumn="0" w:lastColumn="0" w:oddVBand="0" w:evenVBand="0" w:oddHBand="0" w:evenHBand="0" w:firstRowFirstColumn="0" w:firstRowLastColumn="0" w:lastRowFirstColumn="0" w:lastRowLastColumn="0"/>
              <w:rPr>
                <w:rFonts w:cs="Open Sans"/>
                <w:color w:val="000000" w:themeColor="text1"/>
                <w:lang w:val="nl-NL"/>
              </w:rPr>
            </w:pPr>
            <w:r w:rsidRPr="00175174">
              <w:rPr>
                <w:rFonts w:cs="Open Sans"/>
                <w:color w:val="auto"/>
                <w:lang w:val="nl-NL"/>
              </w:rPr>
              <w:t xml:space="preserve">Gebaseerd op de ontwikkelingen ten aanzien van de integratie problematiek, heeft het DPP besloten om BIM leidend te maken en als ‘single source of </w:t>
            </w:r>
            <w:proofErr w:type="spellStart"/>
            <w:r w:rsidRPr="00175174">
              <w:rPr>
                <w:rFonts w:cs="Open Sans"/>
                <w:color w:val="auto"/>
                <w:lang w:val="nl-NL"/>
              </w:rPr>
              <w:t>truth</w:t>
            </w:r>
            <w:proofErr w:type="spellEnd"/>
            <w:r w:rsidRPr="00175174">
              <w:rPr>
                <w:rFonts w:cs="Open Sans"/>
                <w:color w:val="auto"/>
                <w:lang w:val="nl-NL"/>
              </w:rPr>
              <w:t xml:space="preserve">’ te behandelen voor constructie. </w:t>
            </w:r>
          </w:p>
        </w:tc>
      </w:tr>
      <w:tr w:rsidRPr="00175174" w:rsidR="0087580C" w:rsidTr="001A053C" w14:paraId="4C5D70DA" w14:textId="77777777">
        <w:trPr>
          <w:cantSplit/>
        </w:trPr>
        <w:tc>
          <w:tcPr>
            <w:cnfStyle w:val="001000000000" w:firstRow="0" w:lastRow="0" w:firstColumn="1" w:lastColumn="0" w:oddVBand="0" w:evenVBand="0" w:oddHBand="0" w:evenHBand="0" w:firstRowFirstColumn="0" w:firstRowLastColumn="0" w:lastRowFirstColumn="0" w:lastRowLastColumn="0"/>
            <w:tcW w:w="420" w:type="dxa"/>
            <w:vAlign w:val="top"/>
          </w:tcPr>
          <w:p w:rsidRPr="00175174" w:rsidR="0087580C" w:rsidP="00175174" w:rsidRDefault="0087580C" w14:paraId="2DD154DD" w14:textId="77777777">
            <w:pPr>
              <w:pStyle w:val="Lijstalinea"/>
              <w:numPr>
                <w:ilvl w:val="0"/>
                <w:numId w:val="19"/>
              </w:numPr>
              <w:suppressAutoHyphens/>
              <w:autoSpaceDE w:val="0"/>
              <w:adjustRightInd w:val="0"/>
              <w:spacing w:line="240" w:lineRule="auto"/>
              <w:jc w:val="left"/>
              <w:rPr>
                <w:rFonts w:cs="Open Sans"/>
                <w:color w:val="auto"/>
                <w:lang w:val="nl-NL"/>
              </w:rPr>
            </w:pPr>
          </w:p>
        </w:tc>
        <w:tc>
          <w:tcPr>
            <w:tcW w:w="1559" w:type="dxa"/>
            <w:vAlign w:val="top"/>
          </w:tcPr>
          <w:p w:rsidRPr="00175174" w:rsidR="0087580C" w:rsidP="00175174" w:rsidRDefault="0087580C" w14:paraId="52B178D4" w14:textId="77777777">
            <w:pPr>
              <w:suppressAutoHyphens/>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r w:rsidRPr="00175174">
              <w:rPr>
                <w:rFonts w:cs="Open Sans"/>
                <w:color w:val="auto"/>
                <w:lang w:val="nl-NL"/>
              </w:rPr>
              <w:t>Vertraging op het kritieke pad door technische specificaties van Long Lead Items die van onvoldoende kwaliteit zijn</w:t>
            </w:r>
          </w:p>
        </w:tc>
        <w:tc>
          <w:tcPr>
            <w:tcW w:w="3071" w:type="dxa"/>
            <w:vAlign w:val="top"/>
          </w:tcPr>
          <w:p w:rsidRPr="00175174" w:rsidR="0066632A" w:rsidP="00175174" w:rsidRDefault="0066632A" w14:paraId="237B39FA" w14:textId="77777777">
            <w:pPr>
              <w:suppressAutoHyphens/>
              <w:autoSpaceDE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r w:rsidRPr="00175174">
              <w:rPr>
                <w:rFonts w:cs="Open Sans"/>
                <w:color w:val="auto"/>
                <w:lang w:val="nl-NL"/>
              </w:rPr>
              <w:t>Het leveren van de Long Lead Items (</w:t>
            </w:r>
            <w:proofErr w:type="spellStart"/>
            <w:r w:rsidRPr="00175174">
              <w:rPr>
                <w:rFonts w:cs="Open Sans"/>
                <w:color w:val="auto"/>
                <w:lang w:val="nl-NL"/>
              </w:rPr>
              <w:t>LLI’s</w:t>
            </w:r>
            <w:proofErr w:type="spellEnd"/>
            <w:r w:rsidRPr="00175174">
              <w:rPr>
                <w:rFonts w:cs="Open Sans"/>
                <w:color w:val="auto"/>
                <w:lang w:val="nl-NL"/>
              </w:rPr>
              <w:t xml:space="preserve">) staat onder hoge druk. Zo zijn de reactor en service pools bestempeld als kritieke onderdelen, omdat de levering en installatie dicht aan het kritieke pad grenzen voor de COD (commercial </w:t>
            </w:r>
            <w:proofErr w:type="spellStart"/>
            <w:r w:rsidRPr="00175174">
              <w:rPr>
                <w:rFonts w:cs="Open Sans"/>
                <w:color w:val="auto"/>
                <w:lang w:val="nl-NL"/>
              </w:rPr>
              <w:t>operation</w:t>
            </w:r>
            <w:proofErr w:type="spellEnd"/>
            <w:r w:rsidRPr="00175174">
              <w:rPr>
                <w:rFonts w:cs="Open Sans"/>
                <w:color w:val="auto"/>
                <w:lang w:val="nl-NL"/>
              </w:rPr>
              <w:t xml:space="preserve"> date) van de reactor. De leverancier is geselecteerd en levering wordt geanticipeerd tussen eind 2026 en begin 2027. </w:t>
            </w:r>
          </w:p>
          <w:p w:rsidRPr="00175174" w:rsidR="0087580C" w:rsidP="00175174" w:rsidRDefault="0066632A" w14:paraId="7D752EFC" w14:textId="496BE06B">
            <w:pPr>
              <w:suppressAutoHyphens/>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r w:rsidRPr="00175174">
              <w:rPr>
                <w:rFonts w:cs="Open Sans"/>
                <w:color w:val="auto"/>
                <w:lang w:val="nl-NL"/>
              </w:rPr>
              <w:t>Daarnaast zijn de kritische LLI op de systemen ook meer zichtbaar. Het gaat hierom systemen voor opereren van de reactor en controle en monitoring van de reactor tijdens operatie.</w:t>
            </w:r>
          </w:p>
        </w:tc>
        <w:tc>
          <w:tcPr>
            <w:tcW w:w="3072" w:type="dxa"/>
            <w:vAlign w:val="top"/>
          </w:tcPr>
          <w:p w:rsidRPr="00175174" w:rsidR="0087580C" w:rsidP="00175174" w:rsidRDefault="0087580C" w14:paraId="13986ED0" w14:textId="77777777">
            <w:pPr>
              <w:suppressAutoHyphens/>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r w:rsidRPr="00175174">
              <w:rPr>
                <w:rFonts w:cs="Open Sans"/>
                <w:color w:val="auto"/>
                <w:lang w:val="nl-NL"/>
              </w:rPr>
              <w:t>Het contracteren van Long Lead Items wordt actief gemonitord en er wordt indien mogelijk bijgestuurd, omdat zij dicht aan het kritieke pad grenzen.</w:t>
            </w:r>
          </w:p>
        </w:tc>
        <w:tc>
          <w:tcPr>
            <w:tcW w:w="3072" w:type="dxa"/>
            <w:vAlign w:val="top"/>
          </w:tcPr>
          <w:p w:rsidRPr="00175174" w:rsidR="0087580C" w:rsidP="00175174" w:rsidRDefault="0066632A" w14:paraId="7C896074" w14:textId="41A80427">
            <w:pPr>
              <w:suppressAutoHyphens/>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r w:rsidRPr="00175174">
              <w:rPr>
                <w:rFonts w:ascii="Arial" w:hAnsi="Arial" w:cs="Arial"/>
                <w:spacing w:val="-10"/>
                <w:lang w:val="nl-NL"/>
              </w:rPr>
              <w:t>▲</w:t>
            </w:r>
          </w:p>
          <w:p w:rsidRPr="00175174" w:rsidR="0066632A" w:rsidP="00175174" w:rsidRDefault="0066632A" w14:paraId="1577A238" w14:textId="77777777">
            <w:pPr>
              <w:suppressAutoHyphens/>
              <w:autoSpaceDE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r w:rsidRPr="00175174">
              <w:rPr>
                <w:rFonts w:cs="Open Sans"/>
                <w:color w:val="auto"/>
                <w:lang w:val="nl-NL"/>
              </w:rPr>
              <w:t xml:space="preserve">Verscheidene </w:t>
            </w:r>
            <w:proofErr w:type="spellStart"/>
            <w:r w:rsidRPr="00175174">
              <w:rPr>
                <w:rFonts w:cs="Open Sans"/>
                <w:color w:val="auto"/>
                <w:lang w:val="nl-NL"/>
              </w:rPr>
              <w:t>LLI’s</w:t>
            </w:r>
            <w:proofErr w:type="spellEnd"/>
            <w:r w:rsidRPr="00175174">
              <w:rPr>
                <w:rFonts w:cs="Open Sans"/>
                <w:color w:val="auto"/>
                <w:lang w:val="nl-NL"/>
              </w:rPr>
              <w:t xml:space="preserve"> zijn gecontracteerd zoals gepland. Door problemen met de technische specificaties zijn er vertragingen opgelopen die in de planning van BL9 zijn verwerkt. De DA heeft verschillende kansen geïdentificeerd om het leveringsproces voor de technische specificaties te verbeteren, zoals het effectief aanpassen van de bouwvolgorde, een nauwere samenwerking met </w:t>
            </w:r>
            <w:proofErr w:type="spellStart"/>
            <w:r w:rsidRPr="00175174">
              <w:rPr>
                <w:rFonts w:cs="Open Sans"/>
                <w:color w:val="auto"/>
                <w:lang w:val="nl-NL"/>
              </w:rPr>
              <w:t>key</w:t>
            </w:r>
            <w:proofErr w:type="spellEnd"/>
            <w:r w:rsidRPr="00175174">
              <w:rPr>
                <w:rFonts w:cs="Open Sans"/>
                <w:color w:val="auto"/>
                <w:lang w:val="nl-NL"/>
              </w:rPr>
              <w:t xml:space="preserve"> leveranciers, etc.</w:t>
            </w:r>
          </w:p>
          <w:p w:rsidRPr="00175174" w:rsidR="0087580C" w:rsidP="00175174" w:rsidRDefault="0066632A" w14:paraId="3D4648A3" w14:textId="2996EFB9">
            <w:pPr>
              <w:suppressAutoHyphens/>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r w:rsidRPr="00175174">
              <w:rPr>
                <w:rFonts w:cs="Open Sans"/>
                <w:color w:val="auto"/>
                <w:lang w:val="nl-NL"/>
              </w:rPr>
              <w:t>De integratietest (</w:t>
            </w:r>
            <w:proofErr w:type="spellStart"/>
            <w:r w:rsidRPr="00175174">
              <w:rPr>
                <w:rFonts w:cs="Open Sans"/>
                <w:color w:val="auto"/>
                <w:lang w:val="nl-NL"/>
              </w:rPr>
              <w:t>iFAT</w:t>
            </w:r>
            <w:proofErr w:type="spellEnd"/>
            <w:r w:rsidRPr="00175174">
              <w:rPr>
                <w:rFonts w:cs="Open Sans"/>
                <w:color w:val="auto"/>
                <w:lang w:val="nl-NL"/>
              </w:rPr>
              <w:t>) van de Instrumentation &amp; Control (I&amp;C)-systemen loopt vertraging op of kan niet volledig worden uitgevoerd wanneer de infrastructuur, documentatie, software of organisatorische randvoorwaarden onvoldoende gereed zijn. Dit zou ertoe leiden dat de functionele integratie pas in een later stadium (pre</w:t>
            </w:r>
            <w:r w:rsidRPr="00175174">
              <w:rPr>
                <w:rFonts w:cs="Open Sans"/>
                <w:color w:val="auto"/>
                <w:lang w:val="nl-NL"/>
              </w:rPr>
              <w:noBreakHyphen/>
            </w:r>
            <w:proofErr w:type="spellStart"/>
            <w:r w:rsidRPr="00175174">
              <w:rPr>
                <w:rFonts w:cs="Open Sans"/>
                <w:color w:val="auto"/>
                <w:lang w:val="nl-NL"/>
              </w:rPr>
              <w:t>commissioning</w:t>
            </w:r>
            <w:proofErr w:type="spellEnd"/>
            <w:r w:rsidRPr="00175174">
              <w:rPr>
                <w:rFonts w:cs="Open Sans"/>
                <w:color w:val="auto"/>
                <w:lang w:val="nl-NL"/>
              </w:rPr>
              <w:t>) plaatsvindt, met verlies van efficiëntie, vertraging in de test- en afrondingsfase, en een toename van de technische en organisatorische complexiteit als gevolg. Dit zal verder worden uitgewerkt in een testplan waarin alle mitigerende maatregelen zijn opgenomen.</w:t>
            </w:r>
          </w:p>
        </w:tc>
      </w:tr>
      <w:tr w:rsidRPr="00175174" w:rsidR="00800B11" w:rsidTr="001A053C" w14:paraId="0315CC87" w14:textId="77777777">
        <w:trPr>
          <w:cantSplit/>
        </w:trPr>
        <w:tc>
          <w:tcPr>
            <w:cnfStyle w:val="001000000000" w:firstRow="0" w:lastRow="0" w:firstColumn="1" w:lastColumn="0" w:oddVBand="0" w:evenVBand="0" w:oddHBand="0" w:evenHBand="0" w:firstRowFirstColumn="0" w:firstRowLastColumn="0" w:lastRowFirstColumn="0" w:lastRowLastColumn="0"/>
            <w:tcW w:w="420" w:type="dxa"/>
            <w:vAlign w:val="top"/>
          </w:tcPr>
          <w:p w:rsidRPr="00175174" w:rsidR="00800B11" w:rsidP="00175174" w:rsidRDefault="00800B11" w14:paraId="34F85A4D" w14:textId="77777777">
            <w:pPr>
              <w:pStyle w:val="Lijstalinea"/>
              <w:numPr>
                <w:ilvl w:val="0"/>
                <w:numId w:val="19"/>
              </w:numPr>
              <w:suppressAutoHyphens/>
              <w:autoSpaceDE w:val="0"/>
              <w:adjustRightInd w:val="0"/>
              <w:spacing w:line="240" w:lineRule="auto"/>
              <w:jc w:val="left"/>
              <w:rPr>
                <w:rFonts w:cs="Open Sans"/>
                <w:color w:val="auto"/>
                <w:lang w:val="nl-NL"/>
              </w:rPr>
            </w:pPr>
          </w:p>
        </w:tc>
        <w:tc>
          <w:tcPr>
            <w:tcW w:w="1559" w:type="dxa"/>
            <w:vAlign w:val="top"/>
          </w:tcPr>
          <w:p w:rsidRPr="00175174" w:rsidR="00800B11" w:rsidP="00175174" w:rsidRDefault="00800B11" w14:paraId="36AD02EE" w14:textId="4DBA66D3">
            <w:pPr>
              <w:suppressAutoHyphens/>
              <w:autoSpaceDE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r w:rsidRPr="00175174">
              <w:rPr>
                <w:rFonts w:cs="Open Sans"/>
                <w:color w:val="auto"/>
                <w:lang w:val="nl-NL"/>
              </w:rPr>
              <w:t>Vertraagde werving van voldoende gekwalificeerd (“SQEP”) personeel, alsmede het verlies van belangrijk personeel</w:t>
            </w:r>
          </w:p>
        </w:tc>
        <w:tc>
          <w:tcPr>
            <w:tcW w:w="3071" w:type="dxa"/>
            <w:vAlign w:val="top"/>
          </w:tcPr>
          <w:p w:rsidRPr="00175174" w:rsidR="00800B11" w:rsidP="00175174" w:rsidRDefault="00800B11" w14:paraId="26563ED4" w14:textId="030790FC">
            <w:pPr>
              <w:suppressAutoHyphens/>
              <w:autoSpaceDE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r w:rsidRPr="00175174">
              <w:rPr>
                <w:rFonts w:cs="Open Sans"/>
                <w:color w:val="auto"/>
                <w:lang w:val="nl-NL"/>
              </w:rPr>
              <w:t>De arbeidsmarkt is uitdagend, waardoor het moeilijk is om personeel te werven. Dit leidt tot uitdagingen bij het aantrekken van voldoende gekwalificeerd personeel, en in het bijzonder nucleair SQEP-personeel (</w:t>
            </w:r>
            <w:proofErr w:type="spellStart"/>
            <w:r w:rsidRPr="00175174">
              <w:rPr>
                <w:rFonts w:cs="Open Sans"/>
                <w:color w:val="auto"/>
                <w:lang w:val="nl-NL"/>
              </w:rPr>
              <w:t>Suitably</w:t>
            </w:r>
            <w:proofErr w:type="spellEnd"/>
            <w:r w:rsidRPr="00175174">
              <w:rPr>
                <w:rFonts w:cs="Open Sans"/>
                <w:color w:val="auto"/>
                <w:lang w:val="nl-NL"/>
              </w:rPr>
              <w:t xml:space="preserve"> </w:t>
            </w:r>
            <w:proofErr w:type="spellStart"/>
            <w:r w:rsidRPr="00175174">
              <w:rPr>
                <w:rFonts w:cs="Open Sans"/>
                <w:color w:val="auto"/>
                <w:lang w:val="nl-NL"/>
              </w:rPr>
              <w:t>Qualified</w:t>
            </w:r>
            <w:proofErr w:type="spellEnd"/>
            <w:r w:rsidRPr="00175174">
              <w:rPr>
                <w:rFonts w:cs="Open Sans"/>
                <w:color w:val="auto"/>
                <w:lang w:val="nl-NL"/>
              </w:rPr>
              <w:t xml:space="preserve"> </w:t>
            </w:r>
            <w:proofErr w:type="spellStart"/>
            <w:r w:rsidRPr="00175174">
              <w:rPr>
                <w:rFonts w:cs="Open Sans"/>
                <w:color w:val="auto"/>
                <w:lang w:val="nl-NL"/>
              </w:rPr>
              <w:t>and</w:t>
            </w:r>
            <w:proofErr w:type="spellEnd"/>
            <w:r w:rsidRPr="00175174">
              <w:rPr>
                <w:rFonts w:cs="Open Sans"/>
                <w:color w:val="auto"/>
                <w:lang w:val="nl-NL"/>
              </w:rPr>
              <w:t xml:space="preserve"> </w:t>
            </w:r>
            <w:proofErr w:type="spellStart"/>
            <w:r w:rsidRPr="00175174">
              <w:rPr>
                <w:rFonts w:cs="Open Sans"/>
                <w:color w:val="auto"/>
                <w:lang w:val="nl-NL"/>
              </w:rPr>
              <w:t>Experienced</w:t>
            </w:r>
            <w:proofErr w:type="spellEnd"/>
            <w:r w:rsidRPr="00175174">
              <w:rPr>
                <w:rFonts w:cs="Open Sans"/>
                <w:color w:val="auto"/>
                <w:lang w:val="nl-NL"/>
              </w:rPr>
              <w:t xml:space="preserve"> Person).</w:t>
            </w:r>
          </w:p>
        </w:tc>
        <w:tc>
          <w:tcPr>
            <w:tcW w:w="3072" w:type="dxa"/>
            <w:vAlign w:val="top"/>
          </w:tcPr>
          <w:p w:rsidRPr="00175174" w:rsidR="00800B11" w:rsidP="00175174" w:rsidRDefault="00800B11" w14:paraId="55B500BD" w14:textId="5451CF57">
            <w:pPr>
              <w:suppressAutoHyphens/>
              <w:autoSpaceDE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r w:rsidRPr="00175174">
              <w:rPr>
                <w:rFonts w:cs="Open Sans"/>
                <w:color w:val="auto"/>
                <w:lang w:val="nl-NL"/>
              </w:rPr>
              <w:t xml:space="preserve">Op 1 juli 2025 is er een nieuwe website NRG PALLAS live gegaan voor nieuwe positionering van het bedrijf in de omgeving om personeel aan te trekken. Ook wordt er hard gewerkt aan het behoud van trainees. Daarnaast is ingezet op het harmoniseren van de arbeidsvoorwaarden van NRG PALLAS om nóg beter in de markt te liggen. Er is een taakgroep opgericht de voertaal binnen de gehele organisatie, waar een voorstel zal worden gepresenteerd bij de Executive </w:t>
            </w:r>
            <w:proofErr w:type="spellStart"/>
            <w:r w:rsidRPr="00175174">
              <w:rPr>
                <w:rFonts w:cs="Open Sans"/>
                <w:color w:val="auto"/>
                <w:lang w:val="nl-NL"/>
              </w:rPr>
              <w:t>Committee</w:t>
            </w:r>
            <w:proofErr w:type="spellEnd"/>
            <w:r w:rsidRPr="00175174">
              <w:rPr>
                <w:rFonts w:cs="Open Sans"/>
                <w:color w:val="auto"/>
                <w:lang w:val="nl-NL"/>
              </w:rPr>
              <w:t>. Dit is van belang voor het (ook internationaal) aantrekken van de juiste werknemers binnen de organisatie.</w:t>
            </w:r>
          </w:p>
        </w:tc>
        <w:tc>
          <w:tcPr>
            <w:tcW w:w="3072" w:type="dxa"/>
            <w:vAlign w:val="top"/>
          </w:tcPr>
          <w:p w:rsidRPr="00175174" w:rsidR="00800B11" w:rsidP="00175174" w:rsidRDefault="00800B11" w14:paraId="2F9AAA92" w14:textId="4351F815">
            <w:pPr>
              <w:suppressAutoHyphens/>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r w:rsidRPr="00175174">
              <w:rPr>
                <w:rFonts w:ascii="Arial" w:hAnsi="Arial" w:cs="Arial"/>
                <w:spacing w:val="-10"/>
                <w:lang w:val="nl-NL"/>
              </w:rPr>
              <w:t>▲</w:t>
            </w:r>
          </w:p>
          <w:p w:rsidRPr="00175174" w:rsidR="00800B11" w:rsidP="00175174" w:rsidRDefault="00800B11" w14:paraId="55FB3F73" w14:textId="5721327C">
            <w:pPr>
              <w:suppressAutoHyphens/>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b/>
                <w:color w:val="000000" w:themeColor="text1"/>
                <w:lang w:val="nl-NL"/>
              </w:rPr>
            </w:pPr>
            <w:r w:rsidRPr="00175174">
              <w:rPr>
                <w:rFonts w:cs="Open Sans"/>
                <w:color w:val="auto"/>
                <w:lang w:val="nl-NL"/>
              </w:rPr>
              <w:t xml:space="preserve">Er is een verhoogde kans op het verlies van (sleutel)personeel. Verschillende factoren dragen hieraan bij, zoals stringente regelgeving rondom inhuur van </w:t>
            </w:r>
            <w:proofErr w:type="spellStart"/>
            <w:r w:rsidRPr="00175174">
              <w:rPr>
                <w:rFonts w:cs="Open Sans"/>
                <w:color w:val="auto"/>
                <w:lang w:val="nl-NL"/>
              </w:rPr>
              <w:t>contractors</w:t>
            </w:r>
            <w:proofErr w:type="spellEnd"/>
            <w:r w:rsidRPr="00175174">
              <w:rPr>
                <w:rFonts w:cs="Open Sans"/>
                <w:color w:val="auto"/>
                <w:lang w:val="nl-NL"/>
              </w:rPr>
              <w:t xml:space="preserve"> als de vereiste </w:t>
            </w:r>
            <w:proofErr w:type="spellStart"/>
            <w:r w:rsidRPr="00175174">
              <w:rPr>
                <w:rFonts w:cs="Open Sans"/>
                <w:color w:val="auto"/>
                <w:lang w:val="nl-NL"/>
              </w:rPr>
              <w:t>kosten-besparingen</w:t>
            </w:r>
            <w:proofErr w:type="spellEnd"/>
            <w:r w:rsidRPr="00175174">
              <w:rPr>
                <w:rFonts w:cs="Open Sans"/>
                <w:color w:val="auto"/>
                <w:lang w:val="nl-NL"/>
              </w:rPr>
              <w:t xml:space="preserve"> binnen de gehele NRG PALLAS-organisatie.</w:t>
            </w:r>
          </w:p>
          <w:p w:rsidRPr="00175174" w:rsidR="00800B11" w:rsidP="00175174" w:rsidRDefault="00800B11" w14:paraId="22BE0D86" w14:textId="77777777">
            <w:pPr>
              <w:suppressAutoHyphens/>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000000" w:themeColor="text1"/>
                <w:lang w:val="nl-NL"/>
              </w:rPr>
            </w:pPr>
            <w:r w:rsidRPr="00175174">
              <w:rPr>
                <w:rFonts w:cs="Open Sans"/>
                <w:color w:val="auto"/>
                <w:lang w:val="nl-NL"/>
              </w:rPr>
              <w:t xml:space="preserve">Vanuit HR-perspectief is er intensieve ondersteuning geboden aan vaste medewerkers tijdens het fusieproces, onder meer via documentatie, brieven en inloopsessies. Voor </w:t>
            </w:r>
            <w:proofErr w:type="spellStart"/>
            <w:r w:rsidRPr="00175174">
              <w:rPr>
                <w:rFonts w:cs="Open Sans"/>
                <w:color w:val="auto"/>
                <w:lang w:val="nl-NL"/>
              </w:rPr>
              <w:t>contractors</w:t>
            </w:r>
            <w:proofErr w:type="spellEnd"/>
            <w:r w:rsidRPr="00175174">
              <w:rPr>
                <w:rFonts w:cs="Open Sans"/>
                <w:color w:val="auto"/>
                <w:lang w:val="nl-NL"/>
              </w:rPr>
              <w:t xml:space="preserve"> wordt ingezet op tijdige communicatie over verwachtingen en veranderingen, met name rondom de overgang naar vaste functies.</w:t>
            </w:r>
          </w:p>
          <w:p w:rsidRPr="00175174" w:rsidR="00800B11" w:rsidP="00175174" w:rsidRDefault="00800B11" w14:paraId="1BEA3591" w14:textId="701992FC">
            <w:pPr>
              <w:suppressAutoHyphens/>
              <w:autoSpaceDE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b/>
                <w:color w:val="auto"/>
                <w:lang w:val="nl-NL"/>
              </w:rPr>
            </w:pPr>
            <w:r w:rsidRPr="00175174">
              <w:rPr>
                <w:rFonts w:cs="Open Sans"/>
                <w:color w:val="auto"/>
                <w:lang w:val="nl-NL"/>
              </w:rPr>
              <w:t>De huidige verwachting is dat de effecten van dit risico zichtbaar zullen worden in het tweede kwartaal van 2026 en dat de situatie zich tegen die tijd binnen de organisatie zal hebben gestabiliseerd. NRG PALLAS heeft er vertrouwen in dat er voldoende is geïnvesteerd in personeel om deze transitie zonder grote tegenslagen te doorlopen.</w:t>
            </w:r>
          </w:p>
        </w:tc>
      </w:tr>
      <w:tr w:rsidRPr="00175174" w:rsidR="0087580C" w:rsidTr="001A053C" w14:paraId="611502EA" w14:textId="77777777">
        <w:trPr>
          <w:cantSplit/>
        </w:trPr>
        <w:tc>
          <w:tcPr>
            <w:cnfStyle w:val="001000000000" w:firstRow="0" w:lastRow="0" w:firstColumn="1" w:lastColumn="0" w:oddVBand="0" w:evenVBand="0" w:oddHBand="0" w:evenHBand="0" w:firstRowFirstColumn="0" w:firstRowLastColumn="0" w:lastRowFirstColumn="0" w:lastRowLastColumn="0"/>
            <w:tcW w:w="420" w:type="dxa"/>
            <w:vAlign w:val="top"/>
          </w:tcPr>
          <w:p w:rsidRPr="00175174" w:rsidR="0087580C" w:rsidP="00175174" w:rsidRDefault="0087580C" w14:paraId="37BF3AA8" w14:textId="77777777">
            <w:pPr>
              <w:pStyle w:val="Lijstalinea"/>
              <w:numPr>
                <w:ilvl w:val="0"/>
                <w:numId w:val="19"/>
              </w:numPr>
              <w:suppressAutoHyphens/>
              <w:autoSpaceDE w:val="0"/>
              <w:adjustRightInd w:val="0"/>
              <w:spacing w:line="240" w:lineRule="auto"/>
              <w:jc w:val="left"/>
              <w:rPr>
                <w:rFonts w:cs="Open Sans"/>
                <w:color w:val="auto"/>
                <w:lang w:val="nl-NL"/>
              </w:rPr>
            </w:pPr>
          </w:p>
        </w:tc>
        <w:tc>
          <w:tcPr>
            <w:tcW w:w="1559" w:type="dxa"/>
            <w:vAlign w:val="top"/>
          </w:tcPr>
          <w:p w:rsidRPr="00175174" w:rsidR="0087580C" w:rsidP="00175174" w:rsidRDefault="0087580C" w14:paraId="3E3A023E" w14:textId="77777777">
            <w:pPr>
              <w:suppressAutoHyphens/>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r w:rsidRPr="00175174">
              <w:rPr>
                <w:rFonts w:cs="Open Sans"/>
                <w:color w:val="auto"/>
                <w:lang w:val="nl-NL"/>
              </w:rPr>
              <w:t>Verschil van inzicht over invulling eisen met de ANVS</w:t>
            </w:r>
          </w:p>
        </w:tc>
        <w:tc>
          <w:tcPr>
            <w:tcW w:w="3071" w:type="dxa"/>
            <w:vAlign w:val="top"/>
          </w:tcPr>
          <w:p w:rsidRPr="00175174" w:rsidR="0087580C" w:rsidP="00175174" w:rsidRDefault="0087580C" w14:paraId="5274DBBD" w14:textId="77777777">
            <w:pPr>
              <w:suppressAutoHyphens/>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r w:rsidRPr="00175174">
              <w:rPr>
                <w:rFonts w:cs="Open Sans"/>
                <w:color w:val="auto"/>
                <w:lang w:val="nl-NL"/>
              </w:rPr>
              <w:t>In verschillende gevallen heeft zich in het kader van toezicht op de Kernenergiewet een verschil van inzicht voorgedaan tussen NRG PALLAS B.V. en de ANVS, wat gevolgen heeft gehad voor het verloop van bepaalde zaken. Op dit moment lopen er gesprekken met de ANVS over nucleaire drukapparatuur en de machinerichtlijn. De uitkomst t.a.v. de wijze van toepassing van deze twee zaken kan tot aanzienlijke vertragingen en extra kosten leiden.</w:t>
            </w:r>
          </w:p>
        </w:tc>
        <w:tc>
          <w:tcPr>
            <w:tcW w:w="3072" w:type="dxa"/>
            <w:vAlign w:val="top"/>
          </w:tcPr>
          <w:p w:rsidRPr="00175174" w:rsidR="0087580C" w:rsidP="00175174" w:rsidRDefault="00800B11" w14:paraId="681ECBFB" w14:textId="24B3591A">
            <w:pPr>
              <w:suppressAutoHyphens/>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r w:rsidRPr="00175174">
              <w:rPr>
                <w:rFonts w:cs="Open Sans"/>
                <w:color w:val="auto"/>
                <w:lang w:val="nl-NL"/>
              </w:rPr>
              <w:t xml:space="preserve">NRG PALLAS is en blijft in contact met </w:t>
            </w:r>
            <w:proofErr w:type="spellStart"/>
            <w:r w:rsidRPr="00175174">
              <w:rPr>
                <w:rFonts w:cs="Open Sans"/>
                <w:color w:val="auto"/>
                <w:lang w:val="nl-NL"/>
              </w:rPr>
              <w:t>TüV</w:t>
            </w:r>
            <w:proofErr w:type="spellEnd"/>
            <w:r w:rsidRPr="00175174">
              <w:rPr>
                <w:rFonts w:cs="Open Sans"/>
                <w:color w:val="auto"/>
                <w:lang w:val="nl-NL"/>
              </w:rPr>
              <w:t>-R als AKI en de ANVS om de strekking, de documenten en de aanpak van de review te bespreken. Daarnaast blijft NRG PALLAS continu in nauw contact met de ANVS om verschil van inzicht te overbruggen, alsmede soortgelijke onderwerpen in een vroeg stadium te adresseren om verdere vertragingen op het kritieke pad te voorkomen.</w:t>
            </w:r>
          </w:p>
        </w:tc>
        <w:tc>
          <w:tcPr>
            <w:tcW w:w="3072" w:type="dxa"/>
            <w:vAlign w:val="top"/>
          </w:tcPr>
          <w:p w:rsidRPr="00175174" w:rsidR="0087580C" w:rsidP="00175174" w:rsidRDefault="00800B11" w14:paraId="6F664451" w14:textId="01671437">
            <w:pPr>
              <w:suppressAutoHyphens/>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r w:rsidRPr="00175174">
              <w:rPr>
                <w:rFonts w:ascii="Arial" w:hAnsi="Arial" w:cs="Arial"/>
                <w:spacing w:val="-10"/>
                <w:lang w:val="nl-NL"/>
              </w:rPr>
              <w:t>▼</w:t>
            </w:r>
          </w:p>
          <w:p w:rsidRPr="00175174" w:rsidR="00800B11" w:rsidP="00175174" w:rsidRDefault="00800B11" w14:paraId="5ECD54EB" w14:textId="77777777">
            <w:pPr>
              <w:suppressAutoHyphens/>
              <w:autoSpaceDE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r w:rsidRPr="00175174">
              <w:rPr>
                <w:rFonts w:cs="Open Sans"/>
                <w:color w:val="auto"/>
                <w:lang w:val="nl-NL"/>
              </w:rPr>
              <w:t xml:space="preserve">De </w:t>
            </w:r>
            <w:proofErr w:type="spellStart"/>
            <w:r w:rsidRPr="00175174">
              <w:rPr>
                <w:rFonts w:cs="Open Sans"/>
                <w:color w:val="auto"/>
                <w:lang w:val="nl-NL"/>
              </w:rPr>
              <w:t>graded</w:t>
            </w:r>
            <w:proofErr w:type="spellEnd"/>
            <w:r w:rsidRPr="00175174">
              <w:rPr>
                <w:rFonts w:cs="Open Sans"/>
                <w:color w:val="auto"/>
                <w:lang w:val="nl-NL"/>
              </w:rPr>
              <w:t xml:space="preserve"> approach is besproken in een overleg met AKI en ANVS. Naar aanleiding van dat overleg heeft het PALLAS-programma de aanpak aangepast en ter beoordeling aan AKI voorgelegd. Zodra AKI akkoord gaat, wordt deze doorgestuurd naar ANVS, die reeds een formele brief heeft voorbereid. ANVS zal vervolgens de </w:t>
            </w:r>
            <w:proofErr w:type="spellStart"/>
            <w:r w:rsidRPr="00175174">
              <w:rPr>
                <w:rFonts w:cs="Open Sans"/>
                <w:color w:val="auto"/>
                <w:lang w:val="nl-NL"/>
              </w:rPr>
              <w:t>graded</w:t>
            </w:r>
            <w:proofErr w:type="spellEnd"/>
            <w:r w:rsidRPr="00175174">
              <w:rPr>
                <w:rFonts w:cs="Open Sans"/>
                <w:color w:val="auto"/>
                <w:lang w:val="nl-NL"/>
              </w:rPr>
              <w:t xml:space="preserve"> approach toevoegen om de formele documentatie van de NPER-kwestie af te ronden.</w:t>
            </w:r>
          </w:p>
          <w:p w:rsidRPr="00175174" w:rsidR="00800B11" w:rsidP="00175174" w:rsidRDefault="00800B11" w14:paraId="063F94C4" w14:textId="77777777">
            <w:pPr>
              <w:suppressAutoHyphens/>
              <w:autoSpaceDE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p>
          <w:p w:rsidRPr="00175174" w:rsidR="0087580C" w:rsidP="00175174" w:rsidRDefault="00800B11" w14:paraId="4157D1B6" w14:textId="503ACB10">
            <w:pPr>
              <w:suppressAutoHyphens/>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r w:rsidRPr="00175174">
              <w:rPr>
                <w:rFonts w:cs="Open Sans"/>
                <w:color w:val="auto"/>
                <w:lang w:val="nl-NL"/>
              </w:rPr>
              <w:t xml:space="preserve">Overleggen op directieniveau tussen het PALLAS-programma en ANVS zijn nog gaande. Verdere escalatie lijkt waarschijnlijk vanwege zorgen dat de beoordeling door AKI breder en diepgaander is dan afgesproken binnen de </w:t>
            </w:r>
            <w:proofErr w:type="spellStart"/>
            <w:r w:rsidRPr="00175174">
              <w:rPr>
                <w:rFonts w:cs="Open Sans"/>
                <w:color w:val="auto"/>
                <w:lang w:val="nl-NL"/>
              </w:rPr>
              <w:t>graded</w:t>
            </w:r>
            <w:proofErr w:type="spellEnd"/>
            <w:r w:rsidRPr="00175174">
              <w:rPr>
                <w:rFonts w:cs="Open Sans"/>
                <w:color w:val="auto"/>
                <w:lang w:val="nl-NL"/>
              </w:rPr>
              <w:t xml:space="preserve"> approach. Eerste signalen van ANVS duiden erop dat </w:t>
            </w:r>
            <w:proofErr w:type="spellStart"/>
            <w:r w:rsidRPr="00175174">
              <w:rPr>
                <w:rFonts w:cs="Open Sans"/>
                <w:color w:val="auto"/>
                <w:lang w:val="nl-NL"/>
              </w:rPr>
              <w:t>safety</w:t>
            </w:r>
            <w:proofErr w:type="spellEnd"/>
            <w:r w:rsidRPr="00175174">
              <w:rPr>
                <w:rFonts w:cs="Open Sans"/>
                <w:color w:val="auto"/>
                <w:lang w:val="nl-NL"/>
              </w:rPr>
              <w:t xml:space="preserve"> class 1 </w:t>
            </w:r>
            <w:proofErr w:type="spellStart"/>
            <w:r w:rsidRPr="00175174">
              <w:rPr>
                <w:rFonts w:cs="Open Sans"/>
                <w:color w:val="auto"/>
                <w:lang w:val="nl-NL"/>
              </w:rPr>
              <w:t>Structures</w:t>
            </w:r>
            <w:proofErr w:type="spellEnd"/>
            <w:r w:rsidRPr="00175174">
              <w:rPr>
                <w:rFonts w:cs="Open Sans"/>
                <w:color w:val="auto"/>
                <w:lang w:val="nl-NL"/>
              </w:rPr>
              <w:t xml:space="preserve">, Systems </w:t>
            </w:r>
            <w:proofErr w:type="spellStart"/>
            <w:r w:rsidRPr="00175174">
              <w:rPr>
                <w:rFonts w:cs="Open Sans"/>
                <w:color w:val="auto"/>
                <w:lang w:val="nl-NL"/>
              </w:rPr>
              <w:t>and</w:t>
            </w:r>
            <w:proofErr w:type="spellEnd"/>
            <w:r w:rsidRPr="00175174">
              <w:rPr>
                <w:rFonts w:cs="Open Sans"/>
                <w:color w:val="auto"/>
                <w:lang w:val="nl-NL"/>
              </w:rPr>
              <w:t xml:space="preserve"> </w:t>
            </w:r>
            <w:proofErr w:type="spellStart"/>
            <w:r w:rsidRPr="00175174">
              <w:rPr>
                <w:rFonts w:cs="Open Sans"/>
                <w:color w:val="auto"/>
                <w:lang w:val="nl-NL"/>
              </w:rPr>
              <w:t>Components</w:t>
            </w:r>
            <w:proofErr w:type="spellEnd"/>
            <w:r w:rsidRPr="00175174">
              <w:rPr>
                <w:rFonts w:cs="Open Sans"/>
                <w:color w:val="auto"/>
                <w:lang w:val="nl-NL"/>
              </w:rPr>
              <w:t xml:space="preserve"> (</w:t>
            </w:r>
            <w:proofErr w:type="spellStart"/>
            <w:r w:rsidRPr="00175174">
              <w:rPr>
                <w:rFonts w:cs="Open Sans"/>
                <w:color w:val="auto"/>
                <w:lang w:val="nl-NL"/>
              </w:rPr>
              <w:t>SSC’s</w:t>
            </w:r>
            <w:proofErr w:type="spellEnd"/>
            <w:r w:rsidRPr="00175174">
              <w:rPr>
                <w:rFonts w:cs="Open Sans"/>
                <w:color w:val="auto"/>
                <w:lang w:val="nl-NL"/>
              </w:rPr>
              <w:t xml:space="preserve">) – inclusief mogelijke koppelingen met I&amp;C- en elektrische </w:t>
            </w:r>
            <w:proofErr w:type="spellStart"/>
            <w:r w:rsidRPr="00175174">
              <w:rPr>
                <w:rFonts w:cs="Open Sans"/>
                <w:color w:val="auto"/>
                <w:lang w:val="nl-NL"/>
              </w:rPr>
              <w:t>SSC’s</w:t>
            </w:r>
            <w:proofErr w:type="spellEnd"/>
            <w:r w:rsidRPr="00175174">
              <w:rPr>
                <w:rFonts w:cs="Open Sans"/>
                <w:color w:val="auto"/>
                <w:lang w:val="nl-NL"/>
              </w:rPr>
              <w:t xml:space="preserve"> – mogelijk worden toegevoegd aan de AKI-scope. Dit zou aanzienlijke gevolgen hebben voor de scope, planning, kosten en de algehele businesscase van BL9.</w:t>
            </w:r>
          </w:p>
        </w:tc>
      </w:tr>
      <w:tr w:rsidRPr="00175174" w:rsidR="0087580C" w:rsidTr="001A053C" w14:paraId="0EA5473C" w14:textId="77777777">
        <w:trPr>
          <w:cantSplit/>
        </w:trPr>
        <w:tc>
          <w:tcPr>
            <w:cnfStyle w:val="001000000000" w:firstRow="0" w:lastRow="0" w:firstColumn="1" w:lastColumn="0" w:oddVBand="0" w:evenVBand="0" w:oddHBand="0" w:evenHBand="0" w:firstRowFirstColumn="0" w:firstRowLastColumn="0" w:lastRowFirstColumn="0" w:lastRowLastColumn="0"/>
            <w:tcW w:w="420" w:type="dxa"/>
            <w:vAlign w:val="top"/>
          </w:tcPr>
          <w:p w:rsidRPr="00175174" w:rsidR="0087580C" w:rsidP="00175174" w:rsidRDefault="0087580C" w14:paraId="4ADA17CB" w14:textId="77777777">
            <w:pPr>
              <w:pStyle w:val="Lijstalinea"/>
              <w:numPr>
                <w:ilvl w:val="0"/>
                <w:numId w:val="19"/>
              </w:numPr>
              <w:suppressAutoHyphens/>
              <w:autoSpaceDE w:val="0"/>
              <w:adjustRightInd w:val="0"/>
              <w:spacing w:line="240" w:lineRule="auto"/>
              <w:jc w:val="left"/>
              <w:rPr>
                <w:rFonts w:cs="Open Sans"/>
                <w:color w:val="auto"/>
                <w:lang w:val="nl-NL"/>
              </w:rPr>
            </w:pPr>
          </w:p>
        </w:tc>
        <w:tc>
          <w:tcPr>
            <w:tcW w:w="1559" w:type="dxa"/>
            <w:vAlign w:val="top"/>
          </w:tcPr>
          <w:p w:rsidRPr="00175174" w:rsidR="0087580C" w:rsidP="00175174" w:rsidRDefault="0087580C" w14:paraId="2BCFA9F4" w14:textId="77777777">
            <w:pPr>
              <w:suppressAutoHyphens/>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r w:rsidRPr="00175174">
              <w:rPr>
                <w:rFonts w:cs="Open Sans"/>
                <w:color w:val="auto"/>
                <w:lang w:val="nl-NL"/>
              </w:rPr>
              <w:t>Een gebrek aan geïntegreerde data beperkt het geïntegreerde ontwerp en voortgang op constructie en kan leiden tot kosten voor herzien werk</w:t>
            </w:r>
          </w:p>
        </w:tc>
        <w:tc>
          <w:tcPr>
            <w:tcW w:w="3071" w:type="dxa"/>
            <w:vAlign w:val="top"/>
          </w:tcPr>
          <w:p w:rsidRPr="00175174" w:rsidR="0087580C" w:rsidP="00175174" w:rsidRDefault="0087580C" w14:paraId="58B7BBFF" w14:textId="77777777">
            <w:pPr>
              <w:suppressAutoHyphens/>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r w:rsidRPr="00175174">
              <w:rPr>
                <w:rFonts w:cs="Open Sans"/>
                <w:color w:val="auto"/>
                <w:lang w:val="nl-NL"/>
              </w:rPr>
              <w:t xml:space="preserve">De manier waarop data management momenteel is ingericht biedt ondersteuning aan het engineering review proces door het verbeteren van validatie en het verminderen van risico’s op ontwerp. Echter blijven systemische uitdagingen bestaan. </w:t>
            </w:r>
          </w:p>
        </w:tc>
        <w:tc>
          <w:tcPr>
            <w:tcW w:w="3072" w:type="dxa"/>
            <w:vAlign w:val="top"/>
          </w:tcPr>
          <w:p w:rsidRPr="00175174" w:rsidR="0087580C" w:rsidP="00175174" w:rsidRDefault="0087580C" w14:paraId="1BB414FC" w14:textId="77777777">
            <w:pPr>
              <w:suppressAutoHyphens/>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r w:rsidRPr="00175174">
              <w:rPr>
                <w:rFonts w:cs="Open Sans"/>
                <w:color w:val="auto"/>
                <w:lang w:val="nl-NL"/>
              </w:rPr>
              <w:t xml:space="preserve">Het DPP (Directie Pallas Program) heeft besloten om BIM leidend te maken voor constructie, en als ‘Single Source of </w:t>
            </w:r>
            <w:proofErr w:type="spellStart"/>
            <w:r w:rsidRPr="00175174">
              <w:rPr>
                <w:rFonts w:cs="Open Sans"/>
                <w:color w:val="auto"/>
                <w:lang w:val="nl-NL"/>
              </w:rPr>
              <w:t>Truth</w:t>
            </w:r>
            <w:proofErr w:type="spellEnd"/>
            <w:r w:rsidRPr="00175174">
              <w:rPr>
                <w:rFonts w:cs="Open Sans"/>
                <w:color w:val="auto"/>
                <w:lang w:val="nl-NL"/>
              </w:rPr>
              <w:t>’ (SSOT) te beschouwen. Dit zal toepasbaar zijn vanaf de ontwerpfase NI vloer -2 en NRG PALLAS heeft de verwachting dat dit een deel van het risico op data zal mitigeren. In de komende periode zullen er ook acties worden ondernomen om het fundament te versterken (governance, IT-infrastructuur, etc.). Ook zal er een beslissing genomen worden ten aanzien van het toekomstig IM-landschap. NRG PALLAS blijft maatregelen treffen voor verbetering van gestructureerde data.</w:t>
            </w:r>
          </w:p>
        </w:tc>
        <w:tc>
          <w:tcPr>
            <w:tcW w:w="3072" w:type="dxa"/>
            <w:vAlign w:val="top"/>
          </w:tcPr>
          <w:p w:rsidRPr="00175174" w:rsidR="0087580C" w:rsidP="00175174" w:rsidRDefault="0087580C" w14:paraId="6695B7E0" w14:textId="77777777">
            <w:pPr>
              <w:suppressAutoHyphens/>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r w:rsidRPr="00175174">
              <w:rPr>
                <w:rFonts w:cs="Open Sans"/>
                <w:b/>
                <w:bCs/>
                <w:color w:val="auto"/>
                <w:lang w:val="nl-NL"/>
              </w:rPr>
              <w:t>=</w:t>
            </w:r>
          </w:p>
          <w:p w:rsidRPr="00175174" w:rsidR="0087580C" w:rsidP="00175174" w:rsidRDefault="0087580C" w14:paraId="18BBEC49" w14:textId="77777777">
            <w:pPr>
              <w:suppressAutoHyphens/>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b/>
                <w:bCs/>
                <w:color w:val="auto"/>
                <w:lang w:val="nl-NL"/>
              </w:rPr>
            </w:pPr>
          </w:p>
          <w:p w:rsidRPr="00175174" w:rsidR="0087580C" w:rsidP="00175174" w:rsidRDefault="0087580C" w14:paraId="7C64732C" w14:textId="77777777">
            <w:pPr>
              <w:suppressAutoHyphens/>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r w:rsidRPr="00175174">
              <w:rPr>
                <w:rFonts w:cs="Open Sans"/>
                <w:color w:val="auto"/>
                <w:lang w:val="nl-NL"/>
              </w:rPr>
              <w:t xml:space="preserve">De geplande verbeteringen aan het ICHOS systeem zullen niet op tijd geïmplementeerd zijn om de risico’s op het PALLAS Programma te mitigeren. NRG PALLAS werkt daarom momenteel aan het ontwikkelen van gestructureerde data (door middel van een centraal beheerde asset breakdown </w:t>
            </w:r>
            <w:proofErr w:type="spellStart"/>
            <w:r w:rsidRPr="00175174">
              <w:rPr>
                <w:rFonts w:cs="Open Sans"/>
                <w:color w:val="auto"/>
                <w:lang w:val="nl-NL"/>
              </w:rPr>
              <w:t>structure</w:t>
            </w:r>
            <w:proofErr w:type="spellEnd"/>
            <w:r w:rsidRPr="00175174">
              <w:rPr>
                <w:rFonts w:cs="Open Sans"/>
                <w:color w:val="auto"/>
                <w:lang w:val="nl-NL"/>
              </w:rPr>
              <w:t>) met een focus op het bouwen van de meest accurate versie die mogelijk wordt geacht.</w:t>
            </w:r>
          </w:p>
          <w:p w:rsidRPr="00175174" w:rsidR="0087580C" w:rsidP="00175174" w:rsidRDefault="0087580C" w14:paraId="34A36A34" w14:textId="77777777">
            <w:pPr>
              <w:suppressAutoHyphens/>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r w:rsidRPr="00175174">
              <w:rPr>
                <w:rFonts w:cs="Open Sans"/>
                <w:color w:val="auto"/>
                <w:lang w:val="nl-NL"/>
              </w:rPr>
              <w:t>De inzichten opgedaan in de second opinion, alsmede het Information Management (IM) assessment uitgevoerd door Capgemini, bevestigen dat het adresseren van deze risico’s urgent is.</w:t>
            </w:r>
          </w:p>
          <w:p w:rsidRPr="00175174" w:rsidR="0087580C" w:rsidP="00175174" w:rsidRDefault="0087580C" w14:paraId="7C2E133F" w14:textId="77777777">
            <w:pPr>
              <w:suppressAutoHyphens/>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b/>
                <w:bCs/>
                <w:color w:val="auto"/>
                <w:lang w:val="nl-NL"/>
              </w:rPr>
            </w:pPr>
          </w:p>
        </w:tc>
      </w:tr>
      <w:tr w:rsidRPr="00175174" w:rsidR="0087580C" w:rsidTr="001A053C" w14:paraId="62B3C041" w14:textId="77777777">
        <w:trPr>
          <w:cantSplit/>
        </w:trPr>
        <w:tc>
          <w:tcPr>
            <w:cnfStyle w:val="001000000000" w:firstRow="0" w:lastRow="0" w:firstColumn="1" w:lastColumn="0" w:oddVBand="0" w:evenVBand="0" w:oddHBand="0" w:evenHBand="0" w:firstRowFirstColumn="0" w:firstRowLastColumn="0" w:lastRowFirstColumn="0" w:lastRowLastColumn="0"/>
            <w:tcW w:w="420" w:type="dxa"/>
            <w:vAlign w:val="top"/>
          </w:tcPr>
          <w:p w:rsidRPr="00175174" w:rsidR="0087580C" w:rsidP="00175174" w:rsidRDefault="0087580C" w14:paraId="5F1FA0A6" w14:textId="77777777">
            <w:pPr>
              <w:pStyle w:val="Lijstalinea"/>
              <w:numPr>
                <w:ilvl w:val="0"/>
                <w:numId w:val="19"/>
              </w:numPr>
              <w:suppressAutoHyphens/>
              <w:autoSpaceDE w:val="0"/>
              <w:adjustRightInd w:val="0"/>
              <w:spacing w:line="240" w:lineRule="auto"/>
              <w:jc w:val="left"/>
              <w:rPr>
                <w:rFonts w:cs="Open Sans"/>
                <w:color w:val="auto"/>
                <w:lang w:val="nl-NL"/>
              </w:rPr>
            </w:pPr>
          </w:p>
        </w:tc>
        <w:tc>
          <w:tcPr>
            <w:tcW w:w="1559" w:type="dxa"/>
            <w:vAlign w:val="top"/>
          </w:tcPr>
          <w:p w:rsidRPr="00175174" w:rsidR="0087580C" w:rsidP="00175174" w:rsidRDefault="0087580C" w14:paraId="5B62F677" w14:textId="77777777">
            <w:pPr>
              <w:suppressAutoHyphens/>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proofErr w:type="spellStart"/>
            <w:r w:rsidRPr="00175174">
              <w:rPr>
                <w:rFonts w:cs="Open Sans"/>
                <w:color w:val="auto"/>
                <w:lang w:val="nl-NL"/>
              </w:rPr>
              <w:t>Holdpoints</w:t>
            </w:r>
            <w:proofErr w:type="spellEnd"/>
            <w:r w:rsidRPr="00175174">
              <w:rPr>
                <w:rFonts w:cs="Open Sans"/>
                <w:color w:val="auto"/>
                <w:lang w:val="nl-NL"/>
              </w:rPr>
              <w:t xml:space="preserve"> van de ANVS en/of NRG PALLAS hebben invloed op de voortgang van constructie werkzaamheden</w:t>
            </w:r>
          </w:p>
        </w:tc>
        <w:tc>
          <w:tcPr>
            <w:tcW w:w="3071" w:type="dxa"/>
            <w:vAlign w:val="top"/>
          </w:tcPr>
          <w:p w:rsidRPr="00175174" w:rsidR="0087580C" w:rsidP="00175174" w:rsidRDefault="0087580C" w14:paraId="7E961E39" w14:textId="77777777">
            <w:pPr>
              <w:suppressAutoHyphens/>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r w:rsidRPr="00175174">
              <w:rPr>
                <w:rFonts w:cs="Open Sans"/>
                <w:color w:val="auto"/>
                <w:lang w:val="nl-NL"/>
              </w:rPr>
              <w:t xml:space="preserve">Als vergunninghouder loopt NRG PALLAS het risico niet te voldoen aan de strikte voorwaarden zoals gesteld in haar vergunningen, met name de Kernenergiewetvergunning tijdens de ontwerp- en bouwfase. Wijzigingen in het ontwerp, aanpassingen tijdens de bouw en het bepalen van het juiste moment voor aanpassingen aan de </w:t>
            </w:r>
            <w:proofErr w:type="spellStart"/>
            <w:r w:rsidRPr="00175174">
              <w:rPr>
                <w:rFonts w:cs="Open Sans"/>
                <w:color w:val="auto"/>
                <w:lang w:val="nl-NL"/>
              </w:rPr>
              <w:t>Kew</w:t>
            </w:r>
            <w:proofErr w:type="spellEnd"/>
            <w:r w:rsidRPr="00175174">
              <w:rPr>
                <w:rFonts w:cs="Open Sans"/>
                <w:color w:val="auto"/>
                <w:lang w:val="nl-NL"/>
              </w:rPr>
              <w:t xml:space="preserve">-vergunning vereisen nauwe afstemming met zowel het engineeringteam als de ANVS. Mogelijke afwijkingen die tijdens de bouwfase worden vastgesteld, kunnen eveneens ernstige gevolgen hebben voor de naleving van de </w:t>
            </w:r>
            <w:proofErr w:type="spellStart"/>
            <w:r w:rsidRPr="00175174">
              <w:rPr>
                <w:rFonts w:cs="Open Sans"/>
                <w:color w:val="auto"/>
                <w:lang w:val="nl-NL"/>
              </w:rPr>
              <w:t>Kew</w:t>
            </w:r>
            <w:proofErr w:type="spellEnd"/>
            <w:r w:rsidRPr="00175174">
              <w:rPr>
                <w:rFonts w:cs="Open Sans"/>
                <w:color w:val="auto"/>
                <w:lang w:val="nl-NL"/>
              </w:rPr>
              <w:t xml:space="preserve">-vergunning. Het kritieke moment voor potentiële wijzigingen ligt aan het einde van de ontwerpfase, ruim voordat de (pre-)inbedrijfstelling begint, en vraagt om waakzaam beheer. De dynamiek van ontwerpwijzigingen en aanpassingen in de bouw vraagt om een proactieve aanpak om te waarborgen dat wordt voldaan aan de eisen van de </w:t>
            </w:r>
            <w:proofErr w:type="spellStart"/>
            <w:r w:rsidRPr="00175174">
              <w:rPr>
                <w:rFonts w:cs="Open Sans"/>
                <w:color w:val="auto"/>
                <w:lang w:val="nl-NL"/>
              </w:rPr>
              <w:t>Kew</w:t>
            </w:r>
            <w:proofErr w:type="spellEnd"/>
            <w:r w:rsidRPr="00175174">
              <w:rPr>
                <w:rFonts w:cs="Open Sans"/>
                <w:color w:val="auto"/>
                <w:lang w:val="nl-NL"/>
              </w:rPr>
              <w:t xml:space="preserve">-vergunning. Afstemming met de ANVS is hierbij van essentieel belang om eventuele non-compliance tijdens de bouw te voorkomen. </w:t>
            </w:r>
          </w:p>
          <w:p w:rsidRPr="00175174" w:rsidR="0087580C" w:rsidP="00175174" w:rsidRDefault="0087580C" w14:paraId="60127F98" w14:textId="77777777">
            <w:pPr>
              <w:suppressAutoHyphens/>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p>
          <w:p w:rsidRPr="00175174" w:rsidR="0087580C" w:rsidP="00175174" w:rsidRDefault="0087580C" w14:paraId="40B5D30B" w14:textId="77777777">
            <w:pPr>
              <w:suppressAutoHyphens/>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r w:rsidRPr="00175174">
              <w:rPr>
                <w:rFonts w:cs="Open Sans"/>
                <w:color w:val="auto"/>
                <w:lang w:val="nl-NL"/>
              </w:rPr>
              <w:t>Daarnaast heeft dit risico ook consequenties en afhankelijkheden binnen het POSAR-traject, wat deze risicodynamiek verder compliceert.</w:t>
            </w:r>
          </w:p>
        </w:tc>
        <w:tc>
          <w:tcPr>
            <w:tcW w:w="3072" w:type="dxa"/>
            <w:vAlign w:val="top"/>
          </w:tcPr>
          <w:p w:rsidRPr="00175174" w:rsidR="0087580C" w:rsidP="00175174" w:rsidRDefault="0087580C" w14:paraId="1A6E2B42" w14:textId="77777777">
            <w:pPr>
              <w:suppressAutoHyphens/>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r w:rsidRPr="00175174">
              <w:rPr>
                <w:rFonts w:cs="Open Sans"/>
                <w:color w:val="auto"/>
                <w:lang w:val="nl-NL"/>
              </w:rPr>
              <w:t>In een evaluerend overleg in mei 2025 is ingezoomd op de samenwerking tussen de ANVS en NRG PALLAS sinds het in werking treden van de Kernenergiewetvergunning begin 2023. Hier zijn acties uitgekomen die de samenwerking verder kunnen versterken. Specifieke acties zijn geïdentificeerd om de informatiepositie van de ANVS goed te houden en te verbeteren en om duidelijkheid te vergroten omtrent wat ANVS van NRG PALLAS verwacht. In de komende periode wordt doorgegaan met het opvolgen van de gedefinieerde acties en worden effecten gemonitord.</w:t>
            </w:r>
          </w:p>
        </w:tc>
        <w:tc>
          <w:tcPr>
            <w:tcW w:w="3072" w:type="dxa"/>
            <w:vAlign w:val="top"/>
          </w:tcPr>
          <w:p w:rsidRPr="00175174" w:rsidR="0087580C" w:rsidP="00175174" w:rsidRDefault="00991FA7" w14:paraId="0F7E49C9" w14:textId="1A1888FE">
            <w:pPr>
              <w:suppressAutoHyphens/>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r w:rsidRPr="00175174">
              <w:rPr>
                <w:rFonts w:ascii="Arial" w:hAnsi="Arial" w:cs="Arial"/>
                <w:spacing w:val="-10"/>
                <w:lang w:val="nl-NL"/>
              </w:rPr>
              <w:t>▼</w:t>
            </w:r>
          </w:p>
          <w:p w:rsidRPr="00175174" w:rsidR="0087580C" w:rsidP="00175174" w:rsidRDefault="0087580C" w14:paraId="7AE17071" w14:textId="77777777">
            <w:pPr>
              <w:suppressAutoHyphens/>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p>
          <w:p w:rsidRPr="00175174" w:rsidR="00991FA7" w:rsidP="00175174" w:rsidRDefault="00991FA7" w14:paraId="13FAE2CA" w14:textId="77777777">
            <w:pPr>
              <w:suppressAutoHyphens/>
              <w:autoSpaceDE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r w:rsidRPr="00175174">
              <w:rPr>
                <w:rFonts w:cs="Open Sans"/>
                <w:color w:val="auto"/>
                <w:lang w:val="nl-NL"/>
              </w:rPr>
              <w:t xml:space="preserve">Op dit moment zijn er geen nieuwe geplande </w:t>
            </w:r>
            <w:proofErr w:type="spellStart"/>
            <w:r w:rsidRPr="00175174">
              <w:rPr>
                <w:rFonts w:cs="Open Sans"/>
                <w:color w:val="auto"/>
                <w:lang w:val="nl-NL"/>
              </w:rPr>
              <w:t>hold</w:t>
            </w:r>
            <w:proofErr w:type="spellEnd"/>
            <w:r w:rsidRPr="00175174">
              <w:rPr>
                <w:rFonts w:cs="Open Sans"/>
                <w:color w:val="auto"/>
                <w:lang w:val="nl-NL"/>
              </w:rPr>
              <w:t xml:space="preserve"> points door de ANVS of NRG PALLAS. Echter is de verwachting dat er nieuwe </w:t>
            </w:r>
            <w:proofErr w:type="spellStart"/>
            <w:r w:rsidRPr="00175174">
              <w:rPr>
                <w:rFonts w:cs="Open Sans"/>
                <w:color w:val="auto"/>
                <w:lang w:val="nl-NL"/>
              </w:rPr>
              <w:t>hold</w:t>
            </w:r>
            <w:proofErr w:type="spellEnd"/>
            <w:r w:rsidRPr="00175174">
              <w:rPr>
                <w:rFonts w:cs="Open Sans"/>
                <w:color w:val="auto"/>
                <w:lang w:val="nl-NL"/>
              </w:rPr>
              <w:t xml:space="preserve"> points gedefinieerd zullen worden door NRG PALLAS op verzoek van de ANVS, gebaseerd op de actuele planning en belangrijke mijlpalen.</w:t>
            </w:r>
          </w:p>
          <w:p w:rsidRPr="00175174" w:rsidR="0087580C" w:rsidP="00175174" w:rsidRDefault="00991FA7" w14:paraId="35A3A9BE" w14:textId="1ADB0F44">
            <w:pPr>
              <w:suppressAutoHyphens/>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r w:rsidRPr="00175174">
              <w:rPr>
                <w:rFonts w:cs="Open Sans"/>
                <w:color w:val="auto"/>
                <w:lang w:val="nl-NL"/>
              </w:rPr>
              <w:t xml:space="preserve">Het huidige </w:t>
            </w:r>
            <w:proofErr w:type="spellStart"/>
            <w:r w:rsidRPr="00175174">
              <w:rPr>
                <w:rFonts w:cs="Open Sans"/>
                <w:color w:val="auto"/>
                <w:lang w:val="nl-NL"/>
              </w:rPr>
              <w:t>holdpoint</w:t>
            </w:r>
            <w:proofErr w:type="spellEnd"/>
            <w:r w:rsidRPr="00175174">
              <w:rPr>
                <w:rFonts w:cs="Open Sans"/>
                <w:color w:val="auto"/>
                <w:lang w:val="nl-NL"/>
              </w:rPr>
              <w:t xml:space="preserve"> op dit moment zit op vloer -3, dit is gepland in Q2 2026 en zal opgeheven worden als alle entry criteria behaald zijn.</w:t>
            </w:r>
          </w:p>
        </w:tc>
      </w:tr>
      <w:tr w:rsidRPr="00175174" w:rsidR="00991FA7" w:rsidTr="001A053C" w14:paraId="3A44A53A" w14:textId="77777777">
        <w:trPr>
          <w:cantSplit/>
        </w:trPr>
        <w:tc>
          <w:tcPr>
            <w:cnfStyle w:val="001000000000" w:firstRow="0" w:lastRow="0" w:firstColumn="1" w:lastColumn="0" w:oddVBand="0" w:evenVBand="0" w:oddHBand="0" w:evenHBand="0" w:firstRowFirstColumn="0" w:firstRowLastColumn="0" w:lastRowFirstColumn="0" w:lastRowLastColumn="0"/>
            <w:tcW w:w="420" w:type="dxa"/>
            <w:vAlign w:val="top"/>
          </w:tcPr>
          <w:p w:rsidRPr="00175174" w:rsidR="00991FA7" w:rsidP="00175174" w:rsidRDefault="00991FA7" w14:paraId="2C0CA407" w14:textId="77777777">
            <w:pPr>
              <w:pStyle w:val="Lijstalinea"/>
              <w:numPr>
                <w:ilvl w:val="0"/>
                <w:numId w:val="19"/>
              </w:numPr>
              <w:suppressAutoHyphens/>
              <w:autoSpaceDE w:val="0"/>
              <w:adjustRightInd w:val="0"/>
              <w:spacing w:line="240" w:lineRule="auto"/>
              <w:jc w:val="left"/>
              <w:rPr>
                <w:rFonts w:cs="Open Sans"/>
                <w:color w:val="auto"/>
                <w:lang w:val="nl-NL"/>
              </w:rPr>
            </w:pPr>
          </w:p>
        </w:tc>
        <w:tc>
          <w:tcPr>
            <w:tcW w:w="1559" w:type="dxa"/>
            <w:vAlign w:val="top"/>
          </w:tcPr>
          <w:p w:rsidRPr="00175174" w:rsidR="00991FA7" w:rsidP="00175174" w:rsidRDefault="00991FA7" w14:paraId="7BFD5E0E" w14:textId="5F396701">
            <w:pPr>
              <w:suppressAutoHyphens/>
              <w:autoSpaceDE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r w:rsidRPr="00175174">
              <w:rPr>
                <w:rFonts w:cs="Open Sans"/>
                <w:color w:val="auto"/>
                <w:lang w:val="nl-NL"/>
              </w:rPr>
              <w:t>NRG PALLAS kan onvoldoende leveren in een snel veranderende markt</w:t>
            </w:r>
          </w:p>
        </w:tc>
        <w:tc>
          <w:tcPr>
            <w:tcW w:w="3071" w:type="dxa"/>
            <w:vAlign w:val="top"/>
          </w:tcPr>
          <w:p w:rsidRPr="00175174" w:rsidR="00991FA7" w:rsidP="00175174" w:rsidRDefault="00991FA7" w14:paraId="420E4429" w14:textId="383177DE">
            <w:pPr>
              <w:suppressAutoHyphens/>
              <w:autoSpaceDE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r w:rsidRPr="00175174">
              <w:rPr>
                <w:rFonts w:cs="Open Sans"/>
                <w:color w:val="auto"/>
                <w:lang w:val="nl-NL"/>
              </w:rPr>
              <w:t>PALLAS loopt het risico niet te kunnen voldoen aan de markverwachtingen wat betreft productkwaliteit en specifieke activiteit, wat de concurrentiepositie kan verzwakken. Veranderende marktomstandigheden hebben invloed op de businesscase van NRG PALLAS. Markt- en productieontwikkelingen maken het noodzakelijk om het reactorontwerp en de operationele aannames te herzien, zodat wordt voldaan aan de regelgeving, de veiligheid van medewerkers wordt gewaarborgd en de bedrijfscontinuïteit behouden blijft onder veranderende vraag- en procescondities.</w:t>
            </w:r>
          </w:p>
        </w:tc>
        <w:tc>
          <w:tcPr>
            <w:tcW w:w="3072" w:type="dxa"/>
            <w:vAlign w:val="top"/>
          </w:tcPr>
          <w:p w:rsidRPr="00175174" w:rsidR="00991FA7" w:rsidP="00175174" w:rsidRDefault="00991FA7" w14:paraId="3859A326" w14:textId="5CD045B4">
            <w:pPr>
              <w:suppressAutoHyphens/>
              <w:autoSpaceDE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r w:rsidRPr="00175174">
              <w:rPr>
                <w:rFonts w:cs="Open Sans"/>
                <w:color w:val="auto"/>
                <w:lang w:val="nl-NL"/>
              </w:rPr>
              <w:t>NRG PALLAS herijkt momenteel de businesscase vanwege de veranderende marktomstandigheden die de beoogde capaciteiten van de PALLAS-reactor beïnvloeden. De onderliggende aannames van de businesscase kunnen daardoor hun geldigheid verliezen, wat de financiële haalbaarheid in gevaar kan brengen.</w:t>
            </w:r>
          </w:p>
        </w:tc>
        <w:tc>
          <w:tcPr>
            <w:tcW w:w="3072" w:type="dxa"/>
            <w:vAlign w:val="top"/>
          </w:tcPr>
          <w:p w:rsidRPr="00175174" w:rsidR="00991FA7" w:rsidP="00175174" w:rsidRDefault="00991FA7" w14:paraId="3D0F0439" w14:textId="42B97745">
            <w:pPr>
              <w:suppressAutoHyphens/>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r w:rsidRPr="00175174">
              <w:rPr>
                <w:rFonts w:ascii="Arial" w:hAnsi="Arial" w:cs="Arial"/>
                <w:spacing w:val="-10"/>
                <w:lang w:val="nl-NL"/>
              </w:rPr>
              <w:t>▲</w:t>
            </w:r>
          </w:p>
          <w:p w:rsidRPr="00175174" w:rsidR="00991FA7" w:rsidP="00175174" w:rsidRDefault="00991FA7" w14:paraId="61D4C2DE" w14:textId="0421E5E3">
            <w:pPr>
              <w:suppressAutoHyphens/>
              <w:autoSpaceDE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b/>
                <w:color w:val="auto"/>
                <w:lang w:val="nl-NL"/>
              </w:rPr>
            </w:pPr>
            <w:r w:rsidRPr="00175174">
              <w:rPr>
                <w:rFonts w:cs="Open Sans"/>
                <w:color w:val="auto"/>
                <w:lang w:val="nl-NL"/>
              </w:rPr>
              <w:t>Markt- en productieontwikkelingen maken het noodzakelijk om het reactordesign en de operationele aannames te herzien, zodat wordt voldaan aan de regelgeving, de veiligheid van medewerkers wordt gewaarborgd en de bedrijfscontinuïteit behouden blijft onder veranderende vraag- en procescondities. De marktdynamiek is verschoven door veranderingen in producttypen, -volumes en toegenomen concurrentie. De flexibiliteit van de businesscase (</w:t>
            </w:r>
            <w:proofErr w:type="spellStart"/>
            <w:r w:rsidRPr="00175174">
              <w:rPr>
                <w:rFonts w:cs="Open Sans"/>
                <w:color w:val="auto"/>
                <w:lang w:val="nl-NL"/>
              </w:rPr>
              <w:t>BuCa</w:t>
            </w:r>
            <w:proofErr w:type="spellEnd"/>
            <w:r w:rsidRPr="00175174">
              <w:rPr>
                <w:rFonts w:cs="Open Sans"/>
                <w:color w:val="auto"/>
                <w:lang w:val="nl-NL"/>
              </w:rPr>
              <w:t>) om het productaanbod en de prijssensitiviteit aan te passen is hierbij van cruciaal belang.</w:t>
            </w:r>
          </w:p>
        </w:tc>
      </w:tr>
      <w:tr w:rsidRPr="00175174" w:rsidR="0087580C" w:rsidTr="001A053C" w14:paraId="7BB047A3" w14:textId="77777777">
        <w:trPr>
          <w:cantSplit/>
        </w:trPr>
        <w:tc>
          <w:tcPr>
            <w:cnfStyle w:val="001000000000" w:firstRow="0" w:lastRow="0" w:firstColumn="1" w:lastColumn="0" w:oddVBand="0" w:evenVBand="0" w:oddHBand="0" w:evenHBand="0" w:firstRowFirstColumn="0" w:firstRowLastColumn="0" w:lastRowFirstColumn="0" w:lastRowLastColumn="0"/>
            <w:tcW w:w="420" w:type="dxa"/>
            <w:vAlign w:val="top"/>
          </w:tcPr>
          <w:p w:rsidRPr="00175174" w:rsidR="0087580C" w:rsidP="00175174" w:rsidRDefault="0087580C" w14:paraId="24E35C79" w14:textId="77777777">
            <w:pPr>
              <w:pStyle w:val="Lijstalinea"/>
              <w:numPr>
                <w:ilvl w:val="0"/>
                <w:numId w:val="19"/>
              </w:numPr>
              <w:suppressAutoHyphens/>
              <w:autoSpaceDE w:val="0"/>
              <w:adjustRightInd w:val="0"/>
              <w:spacing w:line="240" w:lineRule="auto"/>
              <w:jc w:val="left"/>
              <w:rPr>
                <w:rFonts w:cs="Open Sans"/>
                <w:color w:val="auto"/>
                <w:lang w:val="nl-NL"/>
              </w:rPr>
            </w:pPr>
          </w:p>
        </w:tc>
        <w:tc>
          <w:tcPr>
            <w:tcW w:w="1559" w:type="dxa"/>
            <w:vAlign w:val="top"/>
          </w:tcPr>
          <w:p w:rsidRPr="00175174" w:rsidR="0087580C" w:rsidP="00175174" w:rsidRDefault="0087580C" w14:paraId="415F6626" w14:textId="77777777">
            <w:pPr>
              <w:suppressAutoHyphens/>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r w:rsidRPr="00175174">
              <w:rPr>
                <w:rFonts w:cs="Open Sans"/>
                <w:color w:val="auto"/>
                <w:lang w:val="nl-NL"/>
              </w:rPr>
              <w:t>Vertraagde onherroepelijke Kernenergiewetvergunning (</w:t>
            </w:r>
            <w:proofErr w:type="spellStart"/>
            <w:r w:rsidRPr="00175174">
              <w:rPr>
                <w:rFonts w:cs="Open Sans"/>
                <w:color w:val="auto"/>
                <w:lang w:val="nl-NL"/>
              </w:rPr>
              <w:t>Kew</w:t>
            </w:r>
            <w:proofErr w:type="spellEnd"/>
            <w:r w:rsidRPr="00175174">
              <w:rPr>
                <w:rFonts w:cs="Open Sans"/>
                <w:color w:val="auto"/>
                <w:lang w:val="nl-NL"/>
              </w:rPr>
              <w:t>)</w:t>
            </w:r>
          </w:p>
        </w:tc>
        <w:tc>
          <w:tcPr>
            <w:tcW w:w="3071" w:type="dxa"/>
            <w:vAlign w:val="top"/>
          </w:tcPr>
          <w:p w:rsidRPr="00175174" w:rsidR="0087580C" w:rsidP="00175174" w:rsidRDefault="0087580C" w14:paraId="03DE91A1" w14:textId="77777777">
            <w:pPr>
              <w:suppressAutoHyphens/>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r w:rsidRPr="00175174">
              <w:rPr>
                <w:rFonts w:cs="Open Sans"/>
                <w:color w:val="auto"/>
                <w:lang w:val="nl-NL"/>
              </w:rPr>
              <w:t>Op 15 februari 2023 Is de Kernenergiewetvergunning voor de oprichting van de PALLAS-reactor door de ANVS verstrekt aan NRG PALLAS. Hierop zijn verschillende beroepen ingesteld, waardoor de vergunning nog niet onherroepelijk is en er een zitting bij de Raad van State moet plaatsvinden. Dit risico betreft de Kernenergiewetvergunning van de constructiefase.</w:t>
            </w:r>
          </w:p>
        </w:tc>
        <w:tc>
          <w:tcPr>
            <w:tcW w:w="3072" w:type="dxa"/>
            <w:vAlign w:val="top"/>
          </w:tcPr>
          <w:p w:rsidRPr="00175174" w:rsidR="0087580C" w:rsidP="00175174" w:rsidRDefault="0087580C" w14:paraId="0C858E74" w14:textId="77777777">
            <w:pPr>
              <w:suppressAutoHyphens/>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r w:rsidRPr="00175174">
              <w:rPr>
                <w:rFonts w:cs="Open Sans"/>
                <w:color w:val="auto"/>
                <w:lang w:val="nl-NL"/>
              </w:rPr>
              <w:t>NRG PALLAS heeft de intentie te starten met constructie onder de nog niet onherroepelijke vergunning. In het worst case scenario, waarbij de Raad van State de bezwaren erkent, kan dat gevolgen hebben voor de reeds uitgevoerde werkzaamheden. Omdat de gronden voor de beroepen bekend zijn, was het mogelijk de waarschijnlijkheid in te schatten dat de beroepen stand zullen houden. Op dit moment worden ontwikkelingen ten aanzien van de review op de bezwaren door de Raad van State op de voet gevolgd.</w:t>
            </w:r>
          </w:p>
        </w:tc>
        <w:tc>
          <w:tcPr>
            <w:tcW w:w="3072" w:type="dxa"/>
            <w:vAlign w:val="top"/>
          </w:tcPr>
          <w:p w:rsidRPr="00175174" w:rsidR="0087580C" w:rsidP="00175174" w:rsidRDefault="0087580C" w14:paraId="4FA89E20" w14:textId="1E44D7D3">
            <w:pPr>
              <w:suppressAutoHyphens/>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r w:rsidRPr="00175174">
              <w:rPr>
                <w:rFonts w:cs="Open Sans"/>
                <w:b/>
                <w:bCs/>
                <w:color w:val="auto"/>
                <w:lang w:val="nl-NL"/>
              </w:rPr>
              <w:t>=</w:t>
            </w:r>
          </w:p>
          <w:p w:rsidRPr="00175174" w:rsidR="00991FA7" w:rsidP="00175174" w:rsidRDefault="00991FA7" w14:paraId="6F89E4FC" w14:textId="77777777">
            <w:pPr>
              <w:suppressAutoHyphens/>
              <w:autoSpaceDE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r w:rsidRPr="00175174">
              <w:rPr>
                <w:rFonts w:cs="Open Sans"/>
                <w:color w:val="auto"/>
                <w:lang w:val="nl-NL"/>
              </w:rPr>
              <w:t>Op dit moment is de vergunning nog niet onherroepelijk, tot de Raad van State de ingediende bezwaren heeft kunnen behandelen. De zitting is gehouden op 10 september 2025.</w:t>
            </w:r>
          </w:p>
          <w:p w:rsidRPr="00175174" w:rsidR="00991FA7" w:rsidP="00175174" w:rsidRDefault="00991FA7" w14:paraId="18228279" w14:textId="77777777">
            <w:pPr>
              <w:suppressAutoHyphens/>
              <w:autoSpaceDE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r w:rsidRPr="00175174">
              <w:rPr>
                <w:rFonts w:cs="Open Sans"/>
                <w:color w:val="auto"/>
                <w:lang w:val="nl-NL"/>
              </w:rPr>
              <w:t xml:space="preserve">De algemene indruk is dat de vergunningen (Kernenergiewet, Waterwet, </w:t>
            </w:r>
            <w:proofErr w:type="spellStart"/>
            <w:r w:rsidRPr="00175174">
              <w:rPr>
                <w:rFonts w:cs="Open Sans"/>
                <w:color w:val="auto"/>
                <w:lang w:val="nl-NL"/>
              </w:rPr>
              <w:t>Wabo</w:t>
            </w:r>
            <w:proofErr w:type="spellEnd"/>
            <w:r w:rsidRPr="00175174">
              <w:rPr>
                <w:rFonts w:cs="Open Sans"/>
                <w:color w:val="auto"/>
                <w:lang w:val="nl-NL"/>
              </w:rPr>
              <w:t>) waarschijnlijk onherroepelijk worden. De Raad van State heeft de behandeling van het beroep tegen de Kernenergiewet</w:t>
            </w:r>
            <w:r w:rsidRPr="00175174">
              <w:rPr>
                <w:rFonts w:cs="Open Sans"/>
                <w:color w:val="auto"/>
                <w:lang w:val="nl-NL"/>
              </w:rPr>
              <w:noBreakHyphen/>
              <w:t>bouwvergunning afgerond en besloten de gemeente om aanvullende onderbouwing te vragen. Het PALLAS</w:t>
            </w:r>
            <w:r w:rsidRPr="00175174">
              <w:rPr>
                <w:rFonts w:cs="Open Sans"/>
                <w:color w:val="auto"/>
                <w:lang w:val="nl-NL"/>
              </w:rPr>
              <w:noBreakHyphen/>
              <w:t>programma onderzoekt momenteel de impact van dit besluit en ondersteunt de gemeente bij het voldoen aan dit verzoek.</w:t>
            </w:r>
          </w:p>
          <w:p w:rsidRPr="00175174" w:rsidR="00991FA7" w:rsidP="00175174" w:rsidRDefault="00991FA7" w14:paraId="7EF41739" w14:textId="77777777">
            <w:pPr>
              <w:suppressAutoHyphens/>
              <w:autoSpaceDE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color w:val="auto"/>
                <w:lang w:val="nl-NL"/>
              </w:rPr>
            </w:pPr>
          </w:p>
          <w:p w:rsidRPr="00175174" w:rsidR="0087580C" w:rsidP="00175174" w:rsidRDefault="00991FA7" w14:paraId="12C71D00" w14:textId="09FA13B3">
            <w:pPr>
              <w:suppressAutoHyphens/>
              <w:autoSpaceDE w:val="0"/>
              <w:autoSpaceDN w:val="0"/>
              <w:adjustRightInd w:val="0"/>
              <w:spacing w:line="240" w:lineRule="auto"/>
              <w:jc w:val="left"/>
              <w:cnfStyle w:val="000000000000" w:firstRow="0" w:lastRow="0" w:firstColumn="0" w:lastColumn="0" w:oddVBand="0" w:evenVBand="0" w:oddHBand="0" w:evenHBand="0" w:firstRowFirstColumn="0" w:firstRowLastColumn="0" w:lastRowFirstColumn="0" w:lastRowLastColumn="0"/>
              <w:rPr>
                <w:rFonts w:cs="Open Sans"/>
                <w:b/>
                <w:bCs/>
                <w:color w:val="auto"/>
                <w:lang w:val="nl-NL"/>
              </w:rPr>
            </w:pPr>
            <w:r w:rsidRPr="00175174">
              <w:rPr>
                <w:rFonts w:cs="Open Sans"/>
                <w:color w:val="auto"/>
                <w:lang w:val="nl-NL"/>
              </w:rPr>
              <w:t>De Raad van State heeft in december 2025 aangegeven dat de uitspraak over de Kernenergiewet</w:t>
            </w:r>
            <w:r w:rsidRPr="00175174">
              <w:rPr>
                <w:rFonts w:cs="Open Sans"/>
                <w:color w:val="auto"/>
                <w:lang w:val="nl-NL"/>
              </w:rPr>
              <w:noBreakHyphen/>
              <w:t>vergunning wordt verwacht in het eerste kwartaal van 2026. Het beroep heeft geen schorsende werking op de bouwactiviteiten. Bovendien hebben de indieners van het beroep de rechter niet verzocht deze activiteiten op te schorten. De vergunningen blijven daardoor van kracht en kunnen worden gebruikt voor de bouw.</w:t>
            </w:r>
          </w:p>
        </w:tc>
      </w:tr>
    </w:tbl>
    <w:p w:rsidRPr="00175174" w:rsidR="0091645C" w:rsidP="00175174" w:rsidRDefault="0091645C" w14:paraId="7CE90380" w14:textId="77777777">
      <w:pPr>
        <w:pStyle w:val="Geenafstand"/>
        <w:suppressAutoHyphens/>
        <w:jc w:val="left"/>
      </w:pPr>
    </w:p>
    <w:p w:rsidRPr="00175174" w:rsidR="0087580C" w:rsidP="00175174" w:rsidRDefault="0087580C" w14:paraId="116513DE" w14:textId="7FD3F64D">
      <w:pPr>
        <w:pStyle w:val="Geenafstand"/>
        <w:suppressAutoHyphens/>
        <w:jc w:val="left"/>
      </w:pPr>
      <w:r w:rsidRPr="00175174">
        <w:br w:type="page"/>
      </w:r>
    </w:p>
    <w:p w:rsidRPr="00175174" w:rsidR="000D6ADE" w:rsidP="00175174" w:rsidRDefault="000D6ADE" w14:paraId="7A996284" w14:textId="549B28D6">
      <w:pPr>
        <w:pStyle w:val="Kop1"/>
        <w:suppressAutoHyphens/>
        <w:jc w:val="left"/>
        <w:rPr>
          <w:sz w:val="18"/>
          <w:szCs w:val="18"/>
        </w:rPr>
      </w:pPr>
      <w:bookmarkStart w:name="_Ref211849140" w:id="65"/>
      <w:bookmarkStart w:name="_Ref211849151" w:id="66"/>
      <w:bookmarkStart w:name="_Ref211849171" w:id="67"/>
      <w:bookmarkStart w:name="_Ref211849177" w:id="68"/>
      <w:bookmarkStart w:name="_Toc227050531" w:id="69"/>
      <w:r w:rsidRPr="00175174">
        <w:rPr>
          <w:sz w:val="18"/>
          <w:szCs w:val="18"/>
        </w:rPr>
        <w:t>A</w:t>
      </w:r>
      <w:bookmarkEnd w:id="65"/>
      <w:bookmarkEnd w:id="66"/>
      <w:bookmarkEnd w:id="67"/>
      <w:bookmarkEnd w:id="68"/>
      <w:r w:rsidRPr="00175174" w:rsidR="00B36296">
        <w:rPr>
          <w:sz w:val="18"/>
          <w:szCs w:val="18"/>
        </w:rPr>
        <w:t>fkortingen en begrippenlijst</w:t>
      </w:r>
      <w:bookmarkEnd w:id="69"/>
    </w:p>
    <w:p w:rsidRPr="00175174" w:rsidR="00EB7285" w:rsidP="00175174" w:rsidRDefault="00EB7285" w14:paraId="4787B9CD" w14:textId="5FDA10A1">
      <w:pPr>
        <w:suppressAutoHyphens/>
        <w:ind w:left="2124" w:hanging="2124"/>
        <w:jc w:val="left"/>
      </w:pPr>
      <w:r w:rsidRPr="00175174">
        <w:t>ANVS</w:t>
      </w:r>
      <w:r w:rsidRPr="00175174">
        <w:tab/>
        <w:t>Autoriteit Nucleaire Veiligheid en Stralingsbescherming.</w:t>
      </w:r>
    </w:p>
    <w:p w:rsidRPr="00175174" w:rsidR="00EB7285" w:rsidP="00175174" w:rsidRDefault="00EB7285" w14:paraId="3CEFBE3F" w14:textId="77777777">
      <w:pPr>
        <w:suppressAutoHyphens/>
        <w:ind w:left="2124" w:hanging="2124"/>
        <w:jc w:val="left"/>
      </w:pPr>
      <w:r w:rsidRPr="00175174">
        <w:t>Baseline</w:t>
      </w:r>
      <w:r w:rsidRPr="00175174">
        <w:tab/>
        <w:t>Rapportage waarin de aspecten scope, planning, geld (raming en budget) en risico’s - tezamen de baseline genoemd – zijn vastgelegd.</w:t>
      </w:r>
    </w:p>
    <w:p w:rsidRPr="00175174" w:rsidR="001F0D61" w:rsidP="00175174" w:rsidRDefault="001F0D61" w14:paraId="68251069" w14:textId="796E1F5A">
      <w:pPr>
        <w:suppressAutoHyphens/>
        <w:ind w:left="2124" w:hanging="2124"/>
        <w:jc w:val="left"/>
      </w:pPr>
      <w:r w:rsidRPr="00175174">
        <w:t>BR</w:t>
      </w:r>
      <w:r w:rsidRPr="00175174">
        <w:tab/>
        <w:t>Basisrapportage</w:t>
      </w:r>
    </w:p>
    <w:p w:rsidRPr="00175174" w:rsidR="00EB7285" w:rsidP="00175174" w:rsidRDefault="00EB7285" w14:paraId="54624962" w14:textId="77777777">
      <w:pPr>
        <w:suppressAutoHyphens/>
        <w:ind w:left="2124" w:hanging="2124"/>
        <w:jc w:val="left"/>
      </w:pPr>
      <w:r w:rsidRPr="00175174">
        <w:t>CPI</w:t>
      </w:r>
      <w:r w:rsidRPr="00175174">
        <w:tab/>
        <w:t xml:space="preserve">Consumentenprijsindex </w:t>
      </w:r>
    </w:p>
    <w:p w:rsidRPr="00175174" w:rsidR="00EB7285" w:rsidP="00175174" w:rsidRDefault="00EB7285" w14:paraId="59A60DEA" w14:textId="77777777">
      <w:pPr>
        <w:suppressAutoHyphens/>
        <w:ind w:left="2124" w:hanging="2124"/>
        <w:jc w:val="left"/>
      </w:pPr>
      <w:r w:rsidRPr="00175174">
        <w:t>EZK</w:t>
      </w:r>
      <w:r w:rsidRPr="00175174">
        <w:tab/>
        <w:t>Het ministerie van Economische Zaken en Klimaat</w:t>
      </w:r>
    </w:p>
    <w:p w:rsidRPr="00175174" w:rsidR="00EB7285" w:rsidP="00175174" w:rsidRDefault="00EB7285" w14:paraId="5270B7A1" w14:textId="762624EC">
      <w:pPr>
        <w:suppressAutoHyphens/>
        <w:ind w:left="2124" w:hanging="2124"/>
        <w:jc w:val="left"/>
      </w:pPr>
      <w:r w:rsidRPr="00175174">
        <w:t>FCC</w:t>
      </w:r>
      <w:r w:rsidRPr="00175174">
        <w:tab/>
      </w:r>
      <w:proofErr w:type="spellStart"/>
      <w:r w:rsidRPr="00175174">
        <w:t>Fomento</w:t>
      </w:r>
      <w:proofErr w:type="spellEnd"/>
      <w:r w:rsidRPr="00175174">
        <w:t xml:space="preserve"> de </w:t>
      </w:r>
      <w:proofErr w:type="spellStart"/>
      <w:r w:rsidRPr="00175174">
        <w:t>Construcciones</w:t>
      </w:r>
      <w:proofErr w:type="spellEnd"/>
      <w:r w:rsidRPr="00175174">
        <w:t xml:space="preserve"> y Contratas, internationaal bedrijf op het gebied van milieu, integraal waterbeheer en infrastructuurdiensten afkomstig uit Spanje. Vervult de rol van hoofdaannemer (General Contractor) bij de bouw van de PALLAS-reactor. </w:t>
      </w:r>
    </w:p>
    <w:p w:rsidRPr="00175174" w:rsidR="00EB7285" w:rsidP="00175174" w:rsidRDefault="00EB7285" w14:paraId="49416B5D" w14:textId="338CBF7C">
      <w:pPr>
        <w:suppressAutoHyphens/>
        <w:ind w:left="2124" w:hanging="2124"/>
        <w:jc w:val="left"/>
      </w:pPr>
      <w:r w:rsidRPr="00175174">
        <w:t>GWW</w:t>
      </w:r>
      <w:r w:rsidRPr="00175174">
        <w:tab/>
        <w:t>Prijsindexcijfer voor Grond-, Water- en Wegenbouw.</w:t>
      </w:r>
    </w:p>
    <w:p w:rsidRPr="00175174" w:rsidR="00EB7285" w:rsidP="00175174" w:rsidRDefault="00EB7285" w14:paraId="6DC09A63" w14:textId="77777777">
      <w:pPr>
        <w:suppressAutoHyphens/>
        <w:ind w:left="2124" w:hanging="2124"/>
        <w:jc w:val="left"/>
      </w:pPr>
      <w:r w:rsidRPr="00175174">
        <w:t>HFR</w:t>
      </w:r>
      <w:r w:rsidRPr="00175174">
        <w:tab/>
        <w:t>Hoge Flux Reactor</w:t>
      </w:r>
    </w:p>
    <w:p w:rsidRPr="00175174" w:rsidR="00EB7285" w:rsidP="00175174" w:rsidRDefault="00EB7285" w14:paraId="5327459F" w14:textId="7CDFDF76">
      <w:pPr>
        <w:suppressAutoHyphens/>
        <w:ind w:left="2124" w:hanging="2124"/>
        <w:jc w:val="left"/>
      </w:pPr>
      <w:r w:rsidRPr="00175174">
        <w:t xml:space="preserve">Hot </w:t>
      </w:r>
      <w:proofErr w:type="spellStart"/>
      <w:r w:rsidRPr="00175174">
        <w:t>cell</w:t>
      </w:r>
      <w:proofErr w:type="spellEnd"/>
      <w:r w:rsidRPr="00175174">
        <w:tab/>
        <w:t>Een zwaar afgeschermde, gecontroleerde laboratoriumruimte, gebruikt voor het veilig verwerken van hoogradioactieve materialen.</w:t>
      </w:r>
    </w:p>
    <w:p w:rsidRPr="00175174" w:rsidR="00EB7285" w:rsidP="00175174" w:rsidRDefault="00EB7285" w14:paraId="10EFAC5F" w14:textId="77777777">
      <w:pPr>
        <w:suppressAutoHyphens/>
        <w:ind w:left="2124" w:hanging="2124"/>
        <w:jc w:val="left"/>
      </w:pPr>
      <w:r w:rsidRPr="00175174">
        <w:t>IBOI</w:t>
      </w:r>
      <w:r w:rsidRPr="00175174">
        <w:tab/>
        <w:t>Index Bruto Overheidsinvesteringen</w:t>
      </w:r>
    </w:p>
    <w:p w:rsidRPr="00175174" w:rsidR="00EB7285" w:rsidP="00175174" w:rsidRDefault="00EB7285" w14:paraId="55B47B46" w14:textId="77777777">
      <w:pPr>
        <w:suppressAutoHyphens/>
        <w:ind w:left="2124" w:hanging="2124"/>
        <w:jc w:val="left"/>
      </w:pPr>
      <w:r w:rsidRPr="00175174">
        <w:t>ICHOS</w:t>
      </w:r>
      <w:r w:rsidRPr="00175174">
        <w:tab/>
        <w:t xml:space="preserve">Consortium dat in is opgericht door het Argentijnse INVAP en de Nederlandse TBI bouw- en installatiebedrijven </w:t>
      </w:r>
      <w:proofErr w:type="spellStart"/>
      <w:r w:rsidRPr="00175174">
        <w:t>Croonwolter&amp;dros</w:t>
      </w:r>
      <w:proofErr w:type="spellEnd"/>
      <w:r w:rsidRPr="00175174">
        <w:t xml:space="preserve"> en </w:t>
      </w:r>
      <w:proofErr w:type="spellStart"/>
      <w:r w:rsidRPr="00175174">
        <w:t>Mobilis</w:t>
      </w:r>
      <w:proofErr w:type="spellEnd"/>
      <w:r w:rsidRPr="00175174">
        <w:t>. Na het vertrekken van de TBI bedrijven uit het consortium in 2020, bestaat dit consortium alleen nog uit INVAP.</w:t>
      </w:r>
    </w:p>
    <w:p w:rsidRPr="00175174" w:rsidR="00EB7285" w:rsidP="00175174" w:rsidRDefault="00EB7285" w14:paraId="07EA0034" w14:textId="77777777">
      <w:pPr>
        <w:suppressAutoHyphens/>
        <w:ind w:left="2124" w:hanging="2124"/>
        <w:jc w:val="left"/>
      </w:pPr>
      <w:r w:rsidRPr="00175174">
        <w:t>KGG</w:t>
      </w:r>
      <w:r w:rsidRPr="00175174">
        <w:tab/>
        <w:t>Het ministerie van Klimaat en Groene Groei</w:t>
      </w:r>
    </w:p>
    <w:p w:rsidRPr="00175174" w:rsidR="00EB7285" w:rsidP="00175174" w:rsidRDefault="00EB7285" w14:paraId="37168137" w14:textId="77777777">
      <w:pPr>
        <w:suppressAutoHyphens/>
        <w:ind w:left="2124" w:hanging="2124"/>
        <w:jc w:val="left"/>
      </w:pPr>
      <w:r w:rsidRPr="00175174">
        <w:t>INVAP</w:t>
      </w:r>
      <w:r w:rsidRPr="00175174">
        <w:tab/>
        <w:t>INVAP S.E. is een Argentijns hightechbedrijf dat zich toelegt op het ontwerp, de integratie en de constructie van faciliteiten en apparatuur in zeer complexe gebieden. Het bedrijf heeft ruime ervaring met nucleaire projecten en levert diensten aan de nucleaire, ruimtevaart-, industriële, medische en wetenschappelijke sectoren.</w:t>
      </w:r>
    </w:p>
    <w:p w:rsidRPr="00175174" w:rsidR="00EB7285" w:rsidP="00175174" w:rsidRDefault="00EB7285" w14:paraId="7567E8E7" w14:textId="77777777">
      <w:pPr>
        <w:suppressAutoHyphens/>
        <w:ind w:left="2124" w:hanging="2124"/>
        <w:jc w:val="left"/>
      </w:pPr>
      <w:proofErr w:type="spellStart"/>
      <w:r w:rsidRPr="00175174">
        <w:t>IenW</w:t>
      </w:r>
      <w:proofErr w:type="spellEnd"/>
      <w:r w:rsidRPr="00175174">
        <w:tab/>
        <w:t>Het ministerie van Infrastructuur en Waterstaat</w:t>
      </w:r>
    </w:p>
    <w:p w:rsidRPr="00175174" w:rsidR="00EB7285" w:rsidP="00175174" w:rsidRDefault="00EB7285" w14:paraId="2E5EE286" w14:textId="77777777">
      <w:pPr>
        <w:suppressAutoHyphens/>
        <w:ind w:left="2124" w:hanging="2124"/>
        <w:jc w:val="left"/>
      </w:pPr>
      <w:r w:rsidRPr="00175174">
        <w:t>Long Lead Items</w:t>
      </w:r>
      <w:r w:rsidRPr="00175174">
        <w:tab/>
        <w:t xml:space="preserve">Onderdelen die een dusdanig lange levertijd hebben dat het niet tijdig aanbesteden van deze onderdelen negatieve gevolgen kan hebben voor de planning. </w:t>
      </w:r>
    </w:p>
    <w:p w:rsidRPr="00175174" w:rsidR="00EB7285" w:rsidP="00175174" w:rsidRDefault="00EB7285" w14:paraId="09250B38" w14:textId="77777777">
      <w:pPr>
        <w:suppressAutoHyphens/>
        <w:ind w:left="2124" w:hanging="2124"/>
        <w:jc w:val="left"/>
        <w:rPr>
          <w:lang w:val="en-US"/>
        </w:rPr>
      </w:pPr>
      <w:r w:rsidRPr="00175174">
        <w:t>NHC</w:t>
      </w:r>
      <w:r w:rsidRPr="00175174">
        <w:tab/>
      </w:r>
      <w:proofErr w:type="spellStart"/>
      <w:r w:rsidRPr="00175174">
        <w:t>Nuclear</w:t>
      </w:r>
      <w:proofErr w:type="spellEnd"/>
      <w:r w:rsidRPr="00175174">
        <w:t xml:space="preserve"> Health Centre, een verwerkingsfaciliteit voor medische isotopen. </w:t>
      </w:r>
      <w:proofErr w:type="spellStart"/>
      <w:r w:rsidRPr="00175174">
        <w:rPr>
          <w:lang w:val="en-US"/>
        </w:rPr>
        <w:t>Deze</w:t>
      </w:r>
      <w:proofErr w:type="spellEnd"/>
      <w:r w:rsidRPr="00175174">
        <w:rPr>
          <w:lang w:val="en-US"/>
        </w:rPr>
        <w:t xml:space="preserve"> is </w:t>
      </w:r>
      <w:proofErr w:type="spellStart"/>
      <w:r w:rsidRPr="00175174">
        <w:rPr>
          <w:lang w:val="en-US"/>
        </w:rPr>
        <w:t>vervangen</w:t>
      </w:r>
      <w:proofErr w:type="spellEnd"/>
      <w:r w:rsidRPr="00175174">
        <w:rPr>
          <w:lang w:val="en-US"/>
        </w:rPr>
        <w:t xml:space="preserve"> door het Processing Facilities project.</w:t>
      </w:r>
    </w:p>
    <w:p w:rsidRPr="00175174" w:rsidR="00EB7285" w:rsidP="00175174" w:rsidRDefault="00EB7285" w14:paraId="6D2C2355" w14:textId="77777777">
      <w:pPr>
        <w:suppressAutoHyphens/>
        <w:ind w:left="2124" w:hanging="2124"/>
        <w:jc w:val="left"/>
        <w:rPr>
          <w:lang w:val="en-US"/>
        </w:rPr>
      </w:pPr>
      <w:r w:rsidRPr="00175174">
        <w:rPr>
          <w:lang w:val="en-US"/>
        </w:rPr>
        <w:t>NRG</w:t>
      </w:r>
      <w:r w:rsidRPr="00175174">
        <w:rPr>
          <w:lang w:val="en-US"/>
        </w:rPr>
        <w:tab/>
        <w:t>Nuclear Research and consultancy Group</w:t>
      </w:r>
    </w:p>
    <w:p w:rsidRPr="00175174" w:rsidR="00EB7285" w:rsidP="00175174" w:rsidRDefault="00EB7285" w14:paraId="5154525D" w14:textId="77777777">
      <w:pPr>
        <w:suppressAutoHyphens/>
        <w:ind w:left="2124" w:hanging="2124"/>
        <w:jc w:val="left"/>
      </w:pPr>
      <w:r w:rsidRPr="00175174">
        <w:t>Prognose eindstand</w:t>
      </w:r>
      <w:r w:rsidRPr="00175174">
        <w:tab/>
        <w:t xml:space="preserve">Prognose van de uiteindelijke kosten, gebaseerd op actuele en historische informatie. </w:t>
      </w:r>
    </w:p>
    <w:p w:rsidRPr="00175174" w:rsidR="00EB7285" w:rsidP="00175174" w:rsidRDefault="00EB7285" w14:paraId="2AE89593" w14:textId="77777777">
      <w:pPr>
        <w:suppressAutoHyphens/>
        <w:ind w:left="2124" w:hanging="2124"/>
        <w:jc w:val="left"/>
      </w:pPr>
      <w:r w:rsidRPr="00175174">
        <w:t>P-waarde</w:t>
      </w:r>
      <w:r w:rsidRPr="00175174">
        <w:tab/>
        <w:t>een waarde die aangeeft met welke kans een project binnen een bepaald budget of bepaalde planning blijft. De P90-waarde geeft aan dat er een kans van 90% is dat een project binnen budget of planning blijft en er dus een overschrijdingskans is van 10%. Bij een P10-waarde is dit andersom: een kans van 10% dat een project binnen budget of planning blijft en een overschrijdingskans van 90%. Kortom, een hogere P-waarde leidt tot hogere geraamde kosten dan wel een later geraamde einddatum van het project dan een lagere P-waarde, maar biedt meer zekerheid dan een lagere P-waarde dat het project binnen budget of planning wordt afgerond.</w:t>
      </w:r>
    </w:p>
    <w:p w:rsidRPr="00175174" w:rsidR="001F0D61" w:rsidP="00175174" w:rsidRDefault="001F0D61" w14:paraId="29477871" w14:textId="74705365">
      <w:pPr>
        <w:suppressAutoHyphens/>
        <w:ind w:left="2124" w:hanging="2124"/>
        <w:jc w:val="left"/>
      </w:pPr>
      <w:r w:rsidRPr="00175174">
        <w:t>VGR</w:t>
      </w:r>
      <w:r w:rsidRPr="00175174">
        <w:tab/>
        <w:t>Voortgangsrapportage</w:t>
      </w:r>
    </w:p>
    <w:p w:rsidRPr="00175174" w:rsidR="00EB7285" w:rsidP="00175174" w:rsidRDefault="00EB7285" w14:paraId="37BEEF6F" w14:textId="77777777">
      <w:pPr>
        <w:suppressAutoHyphens/>
        <w:ind w:left="2124" w:hanging="2124"/>
        <w:jc w:val="left"/>
      </w:pPr>
      <w:r w:rsidRPr="00175174">
        <w:t>VWS</w:t>
      </w:r>
      <w:r w:rsidRPr="00175174">
        <w:tab/>
        <w:t>Het ministerie van Volksgezondheid, Welzijn en Sport</w:t>
      </w:r>
    </w:p>
    <w:p w:rsidRPr="00175174" w:rsidR="00EB7285" w:rsidP="00175174" w:rsidRDefault="00EB7285" w14:paraId="52656D98" w14:textId="77777777">
      <w:pPr>
        <w:suppressAutoHyphens/>
        <w:jc w:val="left"/>
      </w:pPr>
    </w:p>
    <w:p w:rsidRPr="00175174" w:rsidR="00EB7285" w:rsidP="00175174" w:rsidRDefault="00EB7285" w14:paraId="2AB0F8B4" w14:textId="77777777">
      <w:pPr>
        <w:suppressAutoHyphens/>
        <w:jc w:val="left"/>
      </w:pPr>
    </w:p>
    <w:p w:rsidRPr="00175174" w:rsidR="00EB7285" w:rsidP="00175174" w:rsidRDefault="00EB7285" w14:paraId="147FD867" w14:textId="77777777">
      <w:pPr>
        <w:suppressAutoHyphens/>
        <w:jc w:val="left"/>
      </w:pPr>
    </w:p>
    <w:p w:rsidRPr="00175174" w:rsidR="00EB7285" w:rsidP="00175174" w:rsidRDefault="00EB7285" w14:paraId="474E7234" w14:textId="77777777">
      <w:pPr>
        <w:suppressAutoHyphens/>
        <w:jc w:val="left"/>
      </w:pPr>
    </w:p>
    <w:p w:rsidRPr="00175174" w:rsidR="00EB7285" w:rsidP="00175174" w:rsidRDefault="00EB7285" w14:paraId="77E72069" w14:textId="77777777">
      <w:pPr>
        <w:suppressAutoHyphens/>
        <w:jc w:val="left"/>
      </w:pPr>
    </w:p>
    <w:p w:rsidRPr="00175174" w:rsidR="00EB7285" w:rsidP="00175174" w:rsidRDefault="00EB7285" w14:paraId="5FB89202" w14:textId="77777777">
      <w:pPr>
        <w:suppressAutoHyphens/>
        <w:jc w:val="left"/>
      </w:pPr>
    </w:p>
    <w:p w:rsidRPr="00175174" w:rsidR="00EB7285" w:rsidP="00175174" w:rsidRDefault="00EB7285" w14:paraId="3EDCDE58" w14:textId="77777777">
      <w:pPr>
        <w:suppressAutoHyphens/>
        <w:jc w:val="left"/>
      </w:pPr>
    </w:p>
    <w:p w:rsidRPr="00175174" w:rsidR="00EB7285" w:rsidP="00175174" w:rsidRDefault="00EB7285" w14:paraId="5EA92579" w14:textId="77777777">
      <w:pPr>
        <w:suppressAutoHyphens/>
        <w:jc w:val="left"/>
      </w:pPr>
    </w:p>
    <w:p w:rsidRPr="00175174" w:rsidR="00EB7285" w:rsidP="00175174" w:rsidRDefault="00EB7285" w14:paraId="5EBC0989" w14:textId="77777777">
      <w:pPr>
        <w:suppressAutoHyphens/>
        <w:jc w:val="left"/>
      </w:pPr>
    </w:p>
    <w:sectPr w:rsidRPr="00175174" w:rsidR="00EB7285">
      <w:headerReference w:type="default" r:id="rId8"/>
      <w:headerReference w:type="first" r:id="rId9"/>
      <w:pgSz w:w="11905" w:h="16837"/>
      <w:pgMar w:top="2381" w:right="963" w:bottom="1133" w:left="323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A032E" w14:textId="77777777" w:rsidR="000D2717" w:rsidRDefault="000D2717" w:rsidP="00C0621F">
      <w:r>
        <w:separator/>
      </w:r>
    </w:p>
  </w:endnote>
  <w:endnote w:type="continuationSeparator" w:id="0">
    <w:p w14:paraId="005EFCD2" w14:textId="77777777" w:rsidR="000D2717" w:rsidRDefault="000D2717" w:rsidP="00C0621F">
      <w:r>
        <w:continuationSeparator/>
      </w:r>
    </w:p>
  </w:endnote>
  <w:endnote w:type="continuationNotice" w:id="1">
    <w:p w14:paraId="7984F15D" w14:textId="77777777" w:rsidR="000D2717" w:rsidRDefault="000D2717" w:rsidP="00C062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ohit Hindi">
    <w:altName w:val="Calibri"/>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DejaVu Sans">
    <w:altName w:val="Sylfaen"/>
    <w:charset w:val="00"/>
    <w:family w:val="swiss"/>
    <w:pitch w:val="variable"/>
    <w:sig w:usb0="E7000EFF" w:usb1="5200FDFF" w:usb2="0A042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627F0" w14:textId="77777777" w:rsidR="000D2717" w:rsidRDefault="000D2717" w:rsidP="00C0621F">
      <w:r>
        <w:separator/>
      </w:r>
    </w:p>
  </w:footnote>
  <w:footnote w:type="continuationSeparator" w:id="0">
    <w:p w14:paraId="7E744600" w14:textId="77777777" w:rsidR="000D2717" w:rsidRDefault="000D2717" w:rsidP="00C0621F">
      <w:r>
        <w:continuationSeparator/>
      </w:r>
    </w:p>
  </w:footnote>
  <w:footnote w:type="continuationNotice" w:id="1">
    <w:p w14:paraId="37425896" w14:textId="77777777" w:rsidR="000D2717" w:rsidRDefault="000D2717" w:rsidP="00C0621F"/>
  </w:footnote>
  <w:footnote w:id="2">
    <w:p w14:paraId="0FF69F4D" w14:textId="282A05D1" w:rsidR="00C946E0" w:rsidRPr="0023581F" w:rsidRDefault="00C946E0" w:rsidP="00C0621F">
      <w:pPr>
        <w:pStyle w:val="Voetnoottekst"/>
        <w:rPr>
          <w:lang w:val="en-US"/>
        </w:rPr>
      </w:pPr>
      <w:r>
        <w:rPr>
          <w:rStyle w:val="Voetnootmarkering"/>
        </w:rPr>
        <w:footnoteRef/>
      </w:r>
      <w:r w:rsidRPr="0023581F">
        <w:rPr>
          <w:lang w:val="en-US"/>
        </w:rPr>
        <w:t xml:space="preserve"> </w:t>
      </w:r>
      <w:r w:rsidRPr="0023581F">
        <w:rPr>
          <w:rStyle w:val="voetnootChar"/>
          <w:lang w:val="en-US"/>
        </w:rPr>
        <w:t>NucAdvisor 2021. Mario N., Kolmayer A., Turquet G., Vallée A., Goethals P.E. Co-ordinated Approach to the Development and Supply of Radionuclides in the EU - N°ENER/D3/2019- 231 - Final Report Vallée A. and Jerrige L. reviewer(s), EUR 30690 EN, Publications Office of the European Union, Luxembourg, 2021, doi:10.2833/120792</w:t>
      </w:r>
    </w:p>
  </w:footnote>
  <w:footnote w:id="3">
    <w:p w14:paraId="503D99CD" w14:textId="77777777" w:rsidR="006A5CBD" w:rsidRDefault="006A5CBD" w:rsidP="006A5CBD">
      <w:pPr>
        <w:pStyle w:val="Voetnoottekst"/>
        <w:spacing w:after="0"/>
      </w:pPr>
      <w:r w:rsidRPr="00B1163D">
        <w:rPr>
          <w:rStyle w:val="Voetnootmarkering"/>
          <w:sz w:val="16"/>
          <w:szCs w:val="16"/>
        </w:rPr>
        <w:footnoteRef/>
      </w:r>
      <w:r w:rsidRPr="00B1163D">
        <w:rPr>
          <w:sz w:val="16"/>
          <w:szCs w:val="16"/>
        </w:rPr>
        <w:t xml:space="preserve"> Uitspraak Raad van State, </w:t>
      </w:r>
      <w:hyperlink r:id="rId1" w:anchor="highlight=202207124%2f1%2fR4" w:history="1">
        <w:r w:rsidRPr="00B1163D">
          <w:rPr>
            <w:rStyle w:val="Hyperlink"/>
            <w:sz w:val="16"/>
            <w:szCs w:val="16"/>
          </w:rPr>
          <w:t>Uitspraak 202207124/1/R4</w:t>
        </w:r>
      </w:hyperlink>
    </w:p>
  </w:footnote>
  <w:footnote w:id="4">
    <w:p w14:paraId="1A9818B6" w14:textId="63115BE0" w:rsidR="008F741D" w:rsidRDefault="008F741D" w:rsidP="008F741D">
      <w:pPr>
        <w:pStyle w:val="Voetnoottekst"/>
        <w:spacing w:after="0"/>
      </w:pPr>
      <w:r w:rsidRPr="008F741D">
        <w:rPr>
          <w:rStyle w:val="Voetnootmarkering"/>
          <w:sz w:val="16"/>
          <w:szCs w:val="16"/>
        </w:rPr>
        <w:footnoteRef/>
      </w:r>
      <w:r w:rsidRPr="008F741D">
        <w:rPr>
          <w:sz w:val="16"/>
          <w:szCs w:val="16"/>
        </w:rPr>
        <w:t xml:space="preserve"> Overleggen op maand- en kwartaalbasis</w:t>
      </w:r>
    </w:p>
  </w:footnote>
  <w:footnote w:id="5">
    <w:p w14:paraId="64781326" w14:textId="77777777" w:rsidR="002860C3" w:rsidRPr="005C5229" w:rsidRDefault="002860C3" w:rsidP="002860C3">
      <w:pPr>
        <w:pStyle w:val="Voetnoottekst"/>
        <w:spacing w:after="0"/>
        <w:rPr>
          <w:sz w:val="16"/>
          <w:szCs w:val="16"/>
        </w:rPr>
      </w:pPr>
      <w:r w:rsidRPr="005C5229">
        <w:rPr>
          <w:rStyle w:val="Voetnootmarkering"/>
          <w:sz w:val="16"/>
          <w:szCs w:val="16"/>
        </w:rPr>
        <w:footnoteRef/>
      </w:r>
      <w:r w:rsidRPr="005C5229">
        <w:rPr>
          <w:sz w:val="16"/>
          <w:szCs w:val="16"/>
        </w:rPr>
        <w:t xml:space="preserve"> Bijlage bij kamerstuk 33 626, nr. 35</w:t>
      </w:r>
    </w:p>
  </w:footnote>
  <w:footnote w:id="6">
    <w:p w14:paraId="6FB6A1EE" w14:textId="77777777" w:rsidR="0002274E" w:rsidRDefault="0002274E" w:rsidP="0002274E">
      <w:pPr>
        <w:pStyle w:val="Voetnoottekst"/>
      </w:pPr>
      <w:r w:rsidRPr="001F1E47">
        <w:rPr>
          <w:rStyle w:val="Voetnootmarkering"/>
          <w:sz w:val="16"/>
          <w:szCs w:val="16"/>
        </w:rPr>
        <w:footnoteRef/>
      </w:r>
      <w:r w:rsidRPr="001F1E47">
        <w:t xml:space="preserve"> </w:t>
      </w:r>
      <w:r w:rsidRPr="001F0D61">
        <w:rPr>
          <w:sz w:val="16"/>
          <w:szCs w:val="16"/>
        </w:rPr>
        <w:t>In 2022 heeft het kabinet besloten om te investeren in het PALLAS-nieuwbouwprogramma.</w:t>
      </w:r>
    </w:p>
  </w:footnote>
  <w:footnote w:id="7">
    <w:p w14:paraId="1B2B5FE9" w14:textId="4C2D92DC" w:rsidR="00EF4B59" w:rsidRDefault="00EF4B59">
      <w:pPr>
        <w:pStyle w:val="Voetnoottekst"/>
      </w:pPr>
      <w:r>
        <w:rPr>
          <w:rStyle w:val="Voetnootmarkering"/>
        </w:rPr>
        <w:footnoteRef/>
      </w:r>
      <w:r>
        <w:t xml:space="preserve"> </w:t>
      </w:r>
      <w:r w:rsidRPr="00EF4B59">
        <w:rPr>
          <w:sz w:val="16"/>
          <w:szCs w:val="16"/>
        </w:rPr>
        <w:t>Bijlage bij kamerstuk 33 626, nr. 35</w:t>
      </w:r>
    </w:p>
  </w:footnote>
  <w:footnote w:id="8">
    <w:p w14:paraId="1F8BC3F6" w14:textId="7EC6E19D" w:rsidR="0081145E" w:rsidRPr="0081145E" w:rsidRDefault="0081145E" w:rsidP="00C0621F">
      <w:pPr>
        <w:pStyle w:val="Voetnoottekst"/>
      </w:pPr>
      <w:r w:rsidRPr="0081145E">
        <w:rPr>
          <w:rStyle w:val="Voetnootmarkering"/>
          <w:sz w:val="16"/>
          <w:szCs w:val="16"/>
        </w:rPr>
        <w:footnoteRef/>
      </w:r>
      <w:r w:rsidRPr="0081145E">
        <w:t xml:space="preserve"> </w:t>
      </w:r>
      <w:hyperlink r:id="rId2" w:history="1">
        <w:r w:rsidRPr="0081145E">
          <w:rPr>
            <w:rStyle w:val="Hyperlink"/>
            <w:sz w:val="16"/>
            <w:szCs w:val="16"/>
          </w:rPr>
          <w:t>Overeenkomst tussen het Koninkrijk der Nederlanden en de Europese Gemeenschap voor Atoomenergie (Euratom) betreffende de vestiging te Petten van een inrichting van het Gemeenschappelijk Centrum voor Onderzoek op het gebied van de Kernenergie.</w:t>
        </w:r>
      </w:hyperlink>
    </w:p>
  </w:footnote>
  <w:footnote w:id="9">
    <w:p w14:paraId="22D667BF" w14:textId="06B9F75D" w:rsidR="0081145E" w:rsidRDefault="0081145E" w:rsidP="00C0621F">
      <w:pPr>
        <w:pStyle w:val="Voetnoottekst"/>
      </w:pPr>
      <w:r w:rsidRPr="0081145E">
        <w:rPr>
          <w:rStyle w:val="Voetnootmarkering"/>
          <w:sz w:val="16"/>
          <w:szCs w:val="16"/>
        </w:rPr>
        <w:footnoteRef/>
      </w:r>
      <w:r w:rsidRPr="0081145E">
        <w:t xml:space="preserve"> </w:t>
      </w:r>
      <w:hyperlink r:id="rId3" w:history="1">
        <w:r w:rsidRPr="0081145E">
          <w:rPr>
            <w:rStyle w:val="Hyperlink"/>
            <w:sz w:val="16"/>
            <w:szCs w:val="16"/>
          </w:rPr>
          <w:t>VERORDENING (Euratom) 2021/100 VAN DE RAAD</w:t>
        </w:r>
        <w:r>
          <w:rPr>
            <w:rStyle w:val="Hyperlink"/>
            <w:sz w:val="16"/>
            <w:szCs w:val="16"/>
          </w:rPr>
          <w:t xml:space="preserve"> </w:t>
        </w:r>
        <w:r w:rsidRPr="0081145E">
          <w:rPr>
            <w:rStyle w:val="Hyperlink"/>
            <w:sz w:val="16"/>
            <w:szCs w:val="16"/>
          </w:rPr>
          <w:t>van 25 januari 2021 tot vaststelling van een specifiek financieel programma voor de ontmanteling van kerninstallaties en het beheer van radioactief afval, en tot intrekking van Verordening (Euratom) nr. 1368/2013</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94354" w14:textId="2657BFD5" w:rsidR="009868DB" w:rsidRDefault="006610A2">
    <w:pPr>
      <w:pStyle w:val="MarginlessContainer"/>
    </w:pPr>
    <w:r>
      <w:rPr>
        <w:noProof/>
      </w:rPr>
      <mc:AlternateContent>
        <mc:Choice Requires="wps">
          <w:drawing>
            <wp:anchor distT="0" distB="0" distL="0" distR="0" simplePos="0" relativeHeight="251658240" behindDoc="0" locked="1" layoutInCell="1" allowOverlap="1" wp14:anchorId="55A529EB" wp14:editId="068E90DA">
              <wp:simplePos x="0" y="0"/>
              <wp:positionH relativeFrom="page">
                <wp:posOffset>4333875</wp:posOffset>
              </wp:positionH>
              <wp:positionV relativeFrom="page">
                <wp:posOffset>10270490</wp:posOffset>
              </wp:positionV>
              <wp:extent cx="1257300" cy="142875"/>
              <wp:effectExtent l="0" t="0" r="0" b="0"/>
              <wp:wrapNone/>
              <wp:docPr id="7"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142875"/>
                      </a:xfrm>
                      <a:prstGeom prst="rect">
                        <a:avLst/>
                      </a:prstGeom>
                      <a:noFill/>
                    </wps:spPr>
                    <wps:txbx>
                      <w:txbxContent>
                        <w:p w14:paraId="739C60FF" w14:textId="340B9DD7" w:rsidR="009868DB" w:rsidRDefault="009D54B2" w:rsidP="00C0621F">
                          <w:pPr>
                            <w:pStyle w:val="StandaardReferentiegegevens"/>
                          </w:pPr>
                          <w:r>
                            <w:t xml:space="preserve">Pagina </w:t>
                          </w:r>
                          <w:r>
                            <w:fldChar w:fldCharType="begin"/>
                          </w:r>
                          <w:r>
                            <w:instrText>PAGE</w:instrText>
                          </w:r>
                          <w:r>
                            <w:fldChar w:fldCharType="separate"/>
                          </w:r>
                          <w:r w:rsidR="00FF73B8">
                            <w:rPr>
                              <w:noProof/>
                            </w:rPr>
                            <w:t>2</w:t>
                          </w:r>
                          <w:r>
                            <w:fldChar w:fldCharType="end"/>
                          </w:r>
                          <w:r>
                            <w:t xml:space="preserve"> van </w:t>
                          </w:r>
                          <w:r>
                            <w:fldChar w:fldCharType="begin"/>
                          </w:r>
                          <w:r>
                            <w:instrText>NUMPAGES</w:instrText>
                          </w:r>
                          <w:r>
                            <w:fldChar w:fldCharType="separate"/>
                          </w:r>
                          <w:r w:rsidR="00FF73B8">
                            <w:rPr>
                              <w:noProof/>
                            </w:rPr>
                            <w:t>3</w:t>
                          </w:r>
                          <w:r>
                            <w:fldChar w:fldCharType="end"/>
                          </w:r>
                        </w:p>
                        <w:p w14:paraId="51420501" w14:textId="77777777" w:rsidR="009868DB" w:rsidRDefault="009868DB" w:rsidP="00C0621F"/>
                        <w:p w14:paraId="6CC6E6A1" w14:textId="77777777" w:rsidR="009868DB" w:rsidRDefault="009D54B2" w:rsidP="00C0621F">
                          <w:pPr>
                            <w:pStyle w:val="StandaardReferentiegegevens"/>
                          </w:pPr>
                          <w:r>
                            <w:t xml:space="preserve">Pagina </w:t>
                          </w:r>
                          <w:r>
                            <w:fldChar w:fldCharType="begin"/>
                          </w:r>
                          <w:r>
                            <w:instrText>PAGE</w:instrText>
                          </w:r>
                          <w:r>
                            <w:fldChar w:fldCharType="separate"/>
                          </w:r>
                          <w:r w:rsidR="00FF73B8">
                            <w:rPr>
                              <w:noProof/>
                            </w:rPr>
                            <w:t>2</w:t>
                          </w:r>
                          <w:r>
                            <w:fldChar w:fldCharType="end"/>
                          </w:r>
                          <w:r>
                            <w:t xml:space="preserve"> van </w:t>
                          </w:r>
                          <w:r>
                            <w:fldChar w:fldCharType="begin"/>
                          </w:r>
                          <w:r>
                            <w:instrText>NUMPAGES</w:instrText>
                          </w:r>
                          <w:r>
                            <w:fldChar w:fldCharType="separate"/>
                          </w:r>
                          <w:r w:rsidR="00FF73B8">
                            <w:rPr>
                              <w:noProof/>
                            </w:rPr>
                            <w:t>3</w:t>
                          </w:r>
                          <w:r>
                            <w:fldChar w:fldCharType="end"/>
                          </w:r>
                        </w:p>
                        <w:p w14:paraId="258AA494" w14:textId="77777777" w:rsidR="009868DB" w:rsidRDefault="009868DB" w:rsidP="00C0621F"/>
                        <w:p w14:paraId="56787F92" w14:textId="52D87F6E" w:rsidR="009868DB" w:rsidRDefault="009D54B2" w:rsidP="00C0621F">
                          <w:r>
                            <w:t xml:space="preserve">Pagina </w:t>
                          </w:r>
                          <w:r>
                            <w:fldChar w:fldCharType="begin"/>
                          </w:r>
                          <w:r>
                            <w:instrText>PAGE</w:instrText>
                          </w:r>
                          <w:r>
                            <w:fldChar w:fldCharType="separate"/>
                          </w:r>
                          <w:r w:rsidR="00FF73B8">
                            <w:rPr>
                              <w:noProof/>
                            </w:rPr>
                            <w:t>2</w:t>
                          </w:r>
                          <w:r>
                            <w:fldChar w:fldCharType="end"/>
                          </w:r>
                          <w:r>
                            <w:t xml:space="preserve"> van </w:t>
                          </w:r>
                          <w:r>
                            <w:fldChar w:fldCharType="begin"/>
                          </w:r>
                          <w:r>
                            <w:instrText>NUMPAGES</w:instrText>
                          </w:r>
                          <w:r>
                            <w:fldChar w:fldCharType="separate"/>
                          </w:r>
                          <w:r w:rsidR="00FF73B8">
                            <w:rPr>
                              <w:noProof/>
                            </w:rPr>
                            <w:t>3</w:t>
                          </w:r>
                          <w:r>
                            <w:fldChar w:fldCharType="end"/>
                          </w:r>
                        </w:p>
                        <w:p w14:paraId="67C2DE8D" w14:textId="77777777" w:rsidR="009868DB" w:rsidRDefault="009868DB" w:rsidP="00C0621F"/>
                        <w:p w14:paraId="23FE48D9" w14:textId="39E0B13F" w:rsidR="009868DB" w:rsidRDefault="009D54B2" w:rsidP="00C0621F">
                          <w:r>
                            <w:t xml:space="preserve">Pagina </w:t>
                          </w:r>
                          <w:r>
                            <w:fldChar w:fldCharType="begin"/>
                          </w:r>
                          <w:r>
                            <w:instrText>PAGE</w:instrText>
                          </w:r>
                          <w:r>
                            <w:fldChar w:fldCharType="separate"/>
                          </w:r>
                          <w:r w:rsidR="00FF73B8">
                            <w:rPr>
                              <w:noProof/>
                            </w:rPr>
                            <w:t>2</w:t>
                          </w:r>
                          <w:r>
                            <w:fldChar w:fldCharType="end"/>
                          </w:r>
                          <w:r>
                            <w:t xml:space="preserve"> van </w:t>
                          </w:r>
                          <w:r>
                            <w:fldChar w:fldCharType="begin"/>
                          </w:r>
                          <w:r>
                            <w:instrText>NUMPAGES</w:instrText>
                          </w:r>
                          <w:r>
                            <w:fldChar w:fldCharType="separate"/>
                          </w:r>
                          <w:r w:rsidR="00FF73B8">
                            <w:rPr>
                              <w:noProof/>
                            </w:rPr>
                            <w:t>3</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55A529EB" id="_x0000_t202" coordsize="21600,21600" o:spt="202" path="m,l,21600r21600,l21600,xe">
              <v:stroke joinstyle="miter"/>
              <v:path gradientshapeok="t" o:connecttype="rect"/>
            </v:shapetype>
            <v:shape id="Tekstvak 7" o:spid="_x0000_s1026" type="#_x0000_t202" style="position:absolute;margin-left:341.25pt;margin-top:808.7pt;width:99pt;height:11.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" filled="f" stroked="f">
              <v:textbox inset="0,0,0,0">
                <w:txbxContent>
                  <w:p w14:paraId="739C60FF" w14:textId="340B9DD7" w:rsidR="009868DB" w:rsidRDefault="009D54B2" w:rsidP="00C0621F">
                    <w:pPr>
                      <w:pStyle w:val="StandaardReferentiegegevens"/>
                    </w:pPr>
                    <w:r>
                      <w:t xml:space="preserve">Pagina </w:t>
                    </w:r>
                    <w:r>
                      <w:fldChar w:fldCharType="begin"/>
                    </w:r>
                    <w:r>
                      <w:instrText>PAGE</w:instrText>
                    </w:r>
                    <w:r>
                      <w:fldChar w:fldCharType="separate"/>
                    </w:r>
                    <w:r w:rsidR="00FF73B8">
                      <w:rPr>
                        <w:noProof/>
                      </w:rPr>
                      <w:t>2</w:t>
                    </w:r>
                    <w:r>
                      <w:fldChar w:fldCharType="end"/>
                    </w:r>
                    <w:r>
                      <w:t xml:space="preserve"> van </w:t>
                    </w:r>
                    <w:r>
                      <w:fldChar w:fldCharType="begin"/>
                    </w:r>
                    <w:r>
                      <w:instrText>NUMPAGES</w:instrText>
                    </w:r>
                    <w:r>
                      <w:fldChar w:fldCharType="separate"/>
                    </w:r>
                    <w:r w:rsidR="00FF73B8">
                      <w:rPr>
                        <w:noProof/>
                      </w:rPr>
                      <w:t>3</w:t>
                    </w:r>
                    <w:r>
                      <w:fldChar w:fldCharType="end"/>
                    </w:r>
                  </w:p>
                  <w:p w14:paraId="51420501" w14:textId="77777777" w:rsidR="009868DB" w:rsidRDefault="009868DB" w:rsidP="00C0621F"/>
                  <w:p w14:paraId="6CC6E6A1" w14:textId="77777777" w:rsidR="009868DB" w:rsidRDefault="009D54B2" w:rsidP="00C0621F">
                    <w:pPr>
                      <w:pStyle w:val="StandaardReferentiegegevens"/>
                    </w:pPr>
                    <w:r>
                      <w:t xml:space="preserve">Pagina </w:t>
                    </w:r>
                    <w:r>
                      <w:fldChar w:fldCharType="begin"/>
                    </w:r>
                    <w:r>
                      <w:instrText>PAGE</w:instrText>
                    </w:r>
                    <w:r>
                      <w:fldChar w:fldCharType="separate"/>
                    </w:r>
                    <w:r w:rsidR="00FF73B8">
                      <w:rPr>
                        <w:noProof/>
                      </w:rPr>
                      <w:t>2</w:t>
                    </w:r>
                    <w:r>
                      <w:fldChar w:fldCharType="end"/>
                    </w:r>
                    <w:r>
                      <w:t xml:space="preserve"> van </w:t>
                    </w:r>
                    <w:r>
                      <w:fldChar w:fldCharType="begin"/>
                    </w:r>
                    <w:r>
                      <w:instrText>NUMPAGES</w:instrText>
                    </w:r>
                    <w:r>
                      <w:fldChar w:fldCharType="separate"/>
                    </w:r>
                    <w:r w:rsidR="00FF73B8">
                      <w:rPr>
                        <w:noProof/>
                      </w:rPr>
                      <w:t>3</w:t>
                    </w:r>
                    <w:r>
                      <w:fldChar w:fldCharType="end"/>
                    </w:r>
                  </w:p>
                  <w:p w14:paraId="258AA494" w14:textId="77777777" w:rsidR="009868DB" w:rsidRDefault="009868DB" w:rsidP="00C0621F"/>
                  <w:p w14:paraId="56787F92" w14:textId="52D87F6E" w:rsidR="009868DB" w:rsidRDefault="009D54B2" w:rsidP="00C0621F">
                    <w:r>
                      <w:t xml:space="preserve">Pagina </w:t>
                    </w:r>
                    <w:r>
                      <w:fldChar w:fldCharType="begin"/>
                    </w:r>
                    <w:r>
                      <w:instrText>PAGE</w:instrText>
                    </w:r>
                    <w:r>
                      <w:fldChar w:fldCharType="separate"/>
                    </w:r>
                    <w:r w:rsidR="00FF73B8">
                      <w:rPr>
                        <w:noProof/>
                      </w:rPr>
                      <w:t>2</w:t>
                    </w:r>
                    <w:r>
                      <w:fldChar w:fldCharType="end"/>
                    </w:r>
                    <w:r>
                      <w:t xml:space="preserve"> van </w:t>
                    </w:r>
                    <w:r>
                      <w:fldChar w:fldCharType="begin"/>
                    </w:r>
                    <w:r>
                      <w:instrText>NUMPAGES</w:instrText>
                    </w:r>
                    <w:r>
                      <w:fldChar w:fldCharType="separate"/>
                    </w:r>
                    <w:r w:rsidR="00FF73B8">
                      <w:rPr>
                        <w:noProof/>
                      </w:rPr>
                      <w:t>3</w:t>
                    </w:r>
                    <w:r>
                      <w:fldChar w:fldCharType="end"/>
                    </w:r>
                  </w:p>
                  <w:p w14:paraId="67C2DE8D" w14:textId="77777777" w:rsidR="009868DB" w:rsidRDefault="009868DB" w:rsidP="00C0621F"/>
                  <w:p w14:paraId="23FE48D9" w14:textId="39E0B13F" w:rsidR="009868DB" w:rsidRDefault="009D54B2" w:rsidP="00C0621F">
                    <w:r>
                      <w:t xml:space="preserve">Pagina </w:t>
                    </w:r>
                    <w:r>
                      <w:fldChar w:fldCharType="begin"/>
                    </w:r>
                    <w:r>
                      <w:instrText>PAGE</w:instrText>
                    </w:r>
                    <w:r>
                      <w:fldChar w:fldCharType="separate"/>
                    </w:r>
                    <w:r w:rsidR="00FF73B8">
                      <w:rPr>
                        <w:noProof/>
                      </w:rPr>
                      <w:t>2</w:t>
                    </w:r>
                    <w:r>
                      <w:fldChar w:fldCharType="end"/>
                    </w:r>
                    <w:r>
                      <w:t xml:space="preserve"> van </w:t>
                    </w:r>
                    <w:r>
                      <w:fldChar w:fldCharType="begin"/>
                    </w:r>
                    <w:r>
                      <w:instrText>NUMPAGES</w:instrText>
                    </w:r>
                    <w:r>
                      <w:fldChar w:fldCharType="separate"/>
                    </w:r>
                    <w:r w:rsidR="00FF73B8">
                      <w:rPr>
                        <w:noProof/>
                      </w:rPr>
                      <w:t>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712BF6F8" wp14:editId="69D9D1F4">
              <wp:simplePos x="0" y="0"/>
              <wp:positionH relativeFrom="page">
                <wp:posOffset>2051685</wp:posOffset>
              </wp:positionH>
              <wp:positionV relativeFrom="page">
                <wp:posOffset>276860</wp:posOffset>
              </wp:positionV>
              <wp:extent cx="3962400" cy="332740"/>
              <wp:effectExtent l="0" t="0" r="0" b="0"/>
              <wp:wrapNone/>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2400" cy="332740"/>
                      </a:xfrm>
                      <a:prstGeom prst="rect">
                        <a:avLst/>
                      </a:prstGeom>
                      <a:noFill/>
                    </wps:spPr>
                    <wps:txbx>
                      <w:txbxContent>
                        <w:p w14:paraId="7C8A1ED9" w14:textId="7FDA220E" w:rsidR="009868DB" w:rsidRDefault="009D54B2" w:rsidP="00C0621F">
                          <w:pPr>
                            <w:pStyle w:val="StandaardReferentiegegevens"/>
                          </w:pPr>
                          <w:r>
                            <w:t xml:space="preserve"> </w:t>
                          </w:r>
                          <w:r w:rsidR="00472484">
                            <w:t>Derde</w:t>
                          </w:r>
                          <w:r w:rsidR="00F52B94">
                            <w:t xml:space="preserve"> </w:t>
                          </w:r>
                          <w:r w:rsidR="00472484">
                            <w:t>voortgangs</w:t>
                          </w:r>
                          <w:r w:rsidR="00F52B94">
                            <w:t>rapportage</w:t>
                          </w:r>
                          <w:r w:rsidR="00CD3042">
                            <w:t xml:space="preserve"> </w:t>
                          </w:r>
                          <w:r>
                            <w:t xml:space="preserve">PALLAS-nieuwbouwprogramma | </w:t>
                          </w:r>
                          <w:sdt>
                            <w:sdtPr>
                              <w:id w:val="816306735"/>
                              <w:date w:fullDate="2026-04-14T00:00:00Z">
                                <w:dateFormat w:val="d MMMM yyyy"/>
                                <w:lid w:val="nl-NL"/>
                                <w:storeMappedDataAs w:val="dateTime"/>
                                <w:calendar w:val="gregorian"/>
                              </w:date>
                            </w:sdtPr>
                            <w:sdtContent>
                              <w:r w:rsidR="00923317">
                                <w:t>14 april 2026</w:t>
                              </w:r>
                            </w:sdtContent>
                          </w:sdt>
                        </w:p>
                        <w:p w14:paraId="59CE73E0" w14:textId="77777777" w:rsidR="009868DB" w:rsidRDefault="009868DB" w:rsidP="00C0621F"/>
                        <w:p w14:paraId="60403AC1" w14:textId="77777777" w:rsidR="009868DB" w:rsidRDefault="009D54B2" w:rsidP="00C0621F">
                          <w:pPr>
                            <w:pStyle w:val="StandaardReferentiegegevens"/>
                          </w:pPr>
                          <w:r w:rsidRPr="00BD4DCF">
                            <w:rPr>
                              <w:highlight w:val="yellow"/>
                            </w:rPr>
                            <w:t>Concept</w:t>
                          </w:r>
                          <w:r>
                            <w:t xml:space="preserve"> | PALLAS-nieuwbouwprogramma | </w:t>
                          </w:r>
                          <w:sdt>
                            <w:sdtPr>
                              <w:id w:val="-1276936044"/>
                              <w:date w:fullDate="2025-10-17T00:00:00Z">
                                <w:dateFormat w:val="d MMMM yyyy"/>
                                <w:lid w:val="nl-NL"/>
                                <w:storeMappedDataAs w:val="dateTime"/>
                                <w:calendar w:val="gregorian"/>
                              </w:date>
                            </w:sdtPr>
                            <w:sdtContent>
                              <w:r w:rsidR="002530C9" w:rsidRPr="00BD4DCF">
                                <w:rPr>
                                  <w:highlight w:val="yellow"/>
                                </w:rPr>
                                <w:t>17</w:t>
                              </w:r>
                              <w:r w:rsidR="002530C9">
                                <w:t xml:space="preserve"> </w:t>
                              </w:r>
                              <w:r w:rsidR="00BD4DCF">
                                <w:t>oktober</w:t>
                              </w:r>
                              <w:r w:rsidR="002530C9">
                                <w:t xml:space="preserve"> 2025</w:t>
                              </w:r>
                            </w:sdtContent>
                          </w:sdt>
                        </w:p>
                        <w:p w14:paraId="1B1AEAE9" w14:textId="77777777" w:rsidR="009868DB" w:rsidRDefault="009868DB" w:rsidP="00C0621F"/>
                        <w:p w14:paraId="5C39704A" w14:textId="77777777" w:rsidR="009868DB" w:rsidRDefault="009D54B2" w:rsidP="00C0621F">
                          <w:r w:rsidRPr="00BD4DCF">
                            <w:rPr>
                              <w:highlight w:val="yellow"/>
                            </w:rPr>
                            <w:t>Concept</w:t>
                          </w:r>
                          <w:r>
                            <w:t xml:space="preserve"> | PALLAS-nieuwbouwprogramma | </w:t>
                          </w:r>
                          <w:sdt>
                            <w:sdtPr>
                              <w:id w:val="-1957938265"/>
                              <w:date w:fullDate="2025-10-17T00:00:00Z">
                                <w:dateFormat w:val="d MMMM yyyy"/>
                                <w:lid w:val="nl-NL"/>
                                <w:storeMappedDataAs w:val="dateTime"/>
                                <w:calendar w:val="gregorian"/>
                              </w:date>
                            </w:sdtPr>
                            <w:sdtContent>
                              <w:r w:rsidR="002530C9" w:rsidRPr="00BD4DCF">
                                <w:rPr>
                                  <w:highlight w:val="yellow"/>
                                </w:rPr>
                                <w:t>17</w:t>
                              </w:r>
                              <w:r w:rsidR="002530C9">
                                <w:t xml:space="preserve"> </w:t>
                              </w:r>
                              <w:r w:rsidR="00BD4DCF">
                                <w:t>oktober</w:t>
                              </w:r>
                              <w:r w:rsidR="002530C9">
                                <w:t xml:space="preserve"> 2025</w:t>
                              </w:r>
                            </w:sdtContent>
                          </w:sdt>
                        </w:p>
                        <w:p w14:paraId="2295ADB0" w14:textId="77777777" w:rsidR="009868DB" w:rsidRDefault="009868DB" w:rsidP="00C0621F"/>
                        <w:p w14:paraId="6AA6BA33" w14:textId="77777777" w:rsidR="009868DB" w:rsidRDefault="009D54B2" w:rsidP="00C0621F">
                          <w:r w:rsidRPr="00BD4DCF">
                            <w:rPr>
                              <w:highlight w:val="yellow"/>
                            </w:rPr>
                            <w:t>Concept</w:t>
                          </w:r>
                          <w:r>
                            <w:t xml:space="preserve"> | PALLAS-nieuwbouwprogramma | </w:t>
                          </w:r>
                          <w:sdt>
                            <w:sdtPr>
                              <w:id w:val="316077790"/>
                              <w:date w:fullDate="2025-10-17T00:00:00Z">
                                <w:dateFormat w:val="d MMMM yyyy"/>
                                <w:lid w:val="nl-NL"/>
                                <w:storeMappedDataAs w:val="dateTime"/>
                                <w:calendar w:val="gregorian"/>
                              </w:date>
                            </w:sdtPr>
                            <w:sdtContent>
                              <w:r w:rsidR="002530C9" w:rsidRPr="00BD4DCF">
                                <w:rPr>
                                  <w:highlight w:val="yellow"/>
                                </w:rPr>
                                <w:t>17</w:t>
                              </w:r>
                              <w:r w:rsidR="002530C9">
                                <w:t xml:space="preserve"> </w:t>
                              </w:r>
                              <w:r w:rsidR="00BD4DCF">
                                <w:t>oktober</w:t>
                              </w:r>
                              <w:r w:rsidR="002530C9">
                                <w:t xml:space="preserve"> 2025</w:t>
                              </w:r>
                            </w:sdtContent>
                          </w:sdt>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712BF6F8" id="Tekstvak 6" o:spid="_x0000_s1027" type="#_x0000_t202" style="position:absolute;margin-left:161.55pt;margin-top:21.8pt;width:312pt;height:26.2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" filled="f" stroked="f">
              <v:textbox inset="0,0,0,0">
                <w:txbxContent>
                  <w:p w14:paraId="7C8A1ED9" w14:textId="7FDA220E" w:rsidR="009868DB" w:rsidRDefault="009D54B2" w:rsidP="00C0621F">
                    <w:pPr>
                      <w:pStyle w:val="StandaardReferentiegegevens"/>
                    </w:pPr>
                    <w:r>
                      <w:t xml:space="preserve"> </w:t>
                    </w:r>
                    <w:r w:rsidR="00472484">
                      <w:t>Derde</w:t>
                    </w:r>
                    <w:r w:rsidR="00F52B94">
                      <w:t xml:space="preserve"> </w:t>
                    </w:r>
                    <w:r w:rsidR="00472484">
                      <w:t>voortgangs</w:t>
                    </w:r>
                    <w:r w:rsidR="00F52B94">
                      <w:t>rapportage</w:t>
                    </w:r>
                    <w:r w:rsidR="00CD3042">
                      <w:t xml:space="preserve"> </w:t>
                    </w:r>
                    <w:r>
                      <w:t xml:space="preserve">PALLAS-nieuwbouwprogramma | </w:t>
                    </w:r>
                    <w:sdt>
                      <w:sdtPr>
                        <w:id w:val="816306735"/>
                        <w:date w:fullDate="2026-04-14T00:00:00Z">
                          <w:dateFormat w:val="d MMMM yyyy"/>
                          <w:lid w:val="nl-NL"/>
                          <w:storeMappedDataAs w:val="dateTime"/>
                          <w:calendar w:val="gregorian"/>
                        </w:date>
                      </w:sdtPr>
                      <w:sdtContent>
                        <w:r w:rsidR="00923317">
                          <w:t>14 april 2026</w:t>
                        </w:r>
                      </w:sdtContent>
                    </w:sdt>
                  </w:p>
                  <w:p w14:paraId="59CE73E0" w14:textId="77777777" w:rsidR="009868DB" w:rsidRDefault="009868DB" w:rsidP="00C0621F"/>
                  <w:p w14:paraId="60403AC1" w14:textId="77777777" w:rsidR="009868DB" w:rsidRDefault="009D54B2" w:rsidP="00C0621F">
                    <w:pPr>
                      <w:pStyle w:val="StandaardReferentiegegevens"/>
                    </w:pPr>
                    <w:r w:rsidRPr="00BD4DCF">
                      <w:rPr>
                        <w:highlight w:val="yellow"/>
                      </w:rPr>
                      <w:t>Concept</w:t>
                    </w:r>
                    <w:r>
                      <w:t xml:space="preserve"> | PALLAS-nieuwbouwprogramma | </w:t>
                    </w:r>
                    <w:sdt>
                      <w:sdtPr>
                        <w:id w:val="-1276936044"/>
                        <w:date w:fullDate="2025-10-17T00:00:00Z">
                          <w:dateFormat w:val="d MMMM yyyy"/>
                          <w:lid w:val="nl-NL"/>
                          <w:storeMappedDataAs w:val="dateTime"/>
                          <w:calendar w:val="gregorian"/>
                        </w:date>
                      </w:sdtPr>
                      <w:sdtContent>
                        <w:r w:rsidR="002530C9" w:rsidRPr="00BD4DCF">
                          <w:rPr>
                            <w:highlight w:val="yellow"/>
                          </w:rPr>
                          <w:t>17</w:t>
                        </w:r>
                        <w:r w:rsidR="002530C9">
                          <w:t xml:space="preserve"> </w:t>
                        </w:r>
                        <w:r w:rsidR="00BD4DCF">
                          <w:t>oktober</w:t>
                        </w:r>
                        <w:r w:rsidR="002530C9">
                          <w:t xml:space="preserve"> 2025</w:t>
                        </w:r>
                      </w:sdtContent>
                    </w:sdt>
                  </w:p>
                  <w:p w14:paraId="1B1AEAE9" w14:textId="77777777" w:rsidR="009868DB" w:rsidRDefault="009868DB" w:rsidP="00C0621F"/>
                  <w:p w14:paraId="5C39704A" w14:textId="77777777" w:rsidR="009868DB" w:rsidRDefault="009D54B2" w:rsidP="00C0621F">
                    <w:r w:rsidRPr="00BD4DCF">
                      <w:rPr>
                        <w:highlight w:val="yellow"/>
                      </w:rPr>
                      <w:t>Concept</w:t>
                    </w:r>
                    <w:r>
                      <w:t xml:space="preserve"> | PALLAS-nieuwbouwprogramma | </w:t>
                    </w:r>
                    <w:sdt>
                      <w:sdtPr>
                        <w:id w:val="-1957938265"/>
                        <w:date w:fullDate="2025-10-17T00:00:00Z">
                          <w:dateFormat w:val="d MMMM yyyy"/>
                          <w:lid w:val="nl-NL"/>
                          <w:storeMappedDataAs w:val="dateTime"/>
                          <w:calendar w:val="gregorian"/>
                        </w:date>
                      </w:sdtPr>
                      <w:sdtContent>
                        <w:r w:rsidR="002530C9" w:rsidRPr="00BD4DCF">
                          <w:rPr>
                            <w:highlight w:val="yellow"/>
                          </w:rPr>
                          <w:t>17</w:t>
                        </w:r>
                        <w:r w:rsidR="002530C9">
                          <w:t xml:space="preserve"> </w:t>
                        </w:r>
                        <w:r w:rsidR="00BD4DCF">
                          <w:t>oktober</w:t>
                        </w:r>
                        <w:r w:rsidR="002530C9">
                          <w:t xml:space="preserve"> 2025</w:t>
                        </w:r>
                      </w:sdtContent>
                    </w:sdt>
                  </w:p>
                  <w:p w14:paraId="2295ADB0" w14:textId="77777777" w:rsidR="009868DB" w:rsidRDefault="009868DB" w:rsidP="00C0621F"/>
                  <w:p w14:paraId="6AA6BA33" w14:textId="77777777" w:rsidR="009868DB" w:rsidRDefault="009D54B2" w:rsidP="00C0621F">
                    <w:r w:rsidRPr="00BD4DCF">
                      <w:rPr>
                        <w:highlight w:val="yellow"/>
                      </w:rPr>
                      <w:t>Concept</w:t>
                    </w:r>
                    <w:r>
                      <w:t xml:space="preserve"> | PALLAS-nieuwbouwprogramma | </w:t>
                    </w:r>
                    <w:sdt>
                      <w:sdtPr>
                        <w:id w:val="316077790"/>
                        <w:date w:fullDate="2025-10-17T00:00:00Z">
                          <w:dateFormat w:val="d MMMM yyyy"/>
                          <w:lid w:val="nl-NL"/>
                          <w:storeMappedDataAs w:val="dateTime"/>
                          <w:calendar w:val="gregorian"/>
                        </w:date>
                      </w:sdtPr>
                      <w:sdtContent>
                        <w:r w:rsidR="002530C9" w:rsidRPr="00BD4DCF">
                          <w:rPr>
                            <w:highlight w:val="yellow"/>
                          </w:rPr>
                          <w:t>17</w:t>
                        </w:r>
                        <w:r w:rsidR="002530C9">
                          <w:t xml:space="preserve"> </w:t>
                        </w:r>
                        <w:r w:rsidR="00BD4DCF">
                          <w:t>oktober</w:t>
                        </w:r>
                        <w:r w:rsidR="002530C9">
                          <w:t xml:space="preserve"> 2025</w:t>
                        </w:r>
                      </w:sdtContent>
                    </w:sdt>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6DC19" w14:textId="471AD6FE" w:rsidR="009868DB" w:rsidRDefault="006610A2">
    <w:pPr>
      <w:pStyle w:val="MarginlessContainer"/>
      <w:spacing w:after="3855" w:line="14" w:lineRule="exact"/>
    </w:pPr>
    <w:r>
      <w:rPr>
        <w:noProof/>
      </w:rPr>
      <mc:AlternateContent>
        <mc:Choice Requires="wps">
          <w:drawing>
            <wp:anchor distT="0" distB="0" distL="0" distR="0" simplePos="0" relativeHeight="251658242" behindDoc="0" locked="1" layoutInCell="1" allowOverlap="1" wp14:anchorId="7A3AF596" wp14:editId="45180F96">
              <wp:simplePos x="0" y="0"/>
              <wp:positionH relativeFrom="page">
                <wp:posOffset>3527425</wp:posOffset>
              </wp:positionH>
              <wp:positionV relativeFrom="page">
                <wp:posOffset>0</wp:posOffset>
              </wp:positionV>
              <wp:extent cx="467995" cy="1583690"/>
              <wp:effectExtent l="0" t="0" r="0" b="0"/>
              <wp:wrapNone/>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995" cy="1583690"/>
                      </a:xfrm>
                      <a:prstGeom prst="rect">
                        <a:avLst/>
                      </a:prstGeom>
                      <a:noFill/>
                    </wps:spPr>
                    <wps:txbx>
                      <w:txbxContent>
                        <w:p w14:paraId="1A298D67" w14:textId="77777777" w:rsidR="009868DB" w:rsidRDefault="009D54B2">
                          <w:pPr>
                            <w:pStyle w:val="MarginlessContainer"/>
                          </w:pPr>
                          <w:r>
                            <w:rPr>
                              <w:noProof/>
                            </w:rPr>
                            <w:drawing>
                              <wp:inline distT="0" distB="0" distL="0" distR="0" wp14:anchorId="581ACD3A" wp14:editId="17401E83">
                                <wp:extent cx="467995" cy="1583865"/>
                                <wp:effectExtent l="0" t="0" r="0" b="0"/>
                                <wp:docPr id="1580720926" name="Lint"/>
                                <wp:cNvGraphicFramePr/>
                                <a:graphic xmlns:a="http://schemas.openxmlformats.org/drawingml/2006/main">
                                  <a:graphicData uri="http://schemas.openxmlformats.org/drawingml/2006/picture">
                                    <pic:pic xmlns:pic="http://schemas.openxmlformats.org/drawingml/2006/picture">
                                      <pic:nvPicPr>
                                        <pic:cNvPr id="2" name="Lint"/>
                                        <pic:cNvPicPr/>
                                      </pic:nvPicPr>
                                      <pic:blipFill>
                                        <a:blip r:embed="rId1"/>
                                        <a:stretch>
                                          <a:fillRect/>
                                        </a:stretch>
                                      </pic:blipFill>
                                      <pic:spPr bwMode="auto">
                                        <a:xfrm>
                                          <a:off x="0" y="0"/>
                                          <a:ext cx="467995" cy="1583865"/>
                                        </a:xfrm>
                                        <a:prstGeom prst="rect">
                                          <a:avLst/>
                                        </a:prstGeom>
                                      </pic:spPr>
                                    </pic:pic>
                                  </a:graphicData>
                                </a:graphic>
                              </wp:inline>
                            </w:drawing>
                          </w:r>
                        </w:p>
                        <w:p w14:paraId="0B35729E" w14:textId="77777777" w:rsidR="009868DB" w:rsidRDefault="009868DB" w:rsidP="00C0621F"/>
                        <w:p w14:paraId="1C7AC808" w14:textId="77777777" w:rsidR="009868DB" w:rsidRDefault="009868DB" w:rsidP="00C0621F"/>
                        <w:p w14:paraId="130E988F" w14:textId="77777777" w:rsidR="009868DB" w:rsidRDefault="009868DB" w:rsidP="00C0621F"/>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7A3AF596" id="_x0000_t202" coordsize="21600,21600" o:spt="202" path="m,l,21600r21600,l21600,xe">
              <v:stroke joinstyle="miter"/>
              <v:path gradientshapeok="t" o:connecttype="rect"/>
            </v:shapetype>
            <v:shape id="Tekstvak 5" o:spid="_x0000_s1028" type="#_x0000_t202" style="position:absolute;margin-left:277.75pt;margin-top:0;width:36.85pt;height:124.7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" filled="f" stroked="f">
              <v:textbox inset="0,0,0,0">
                <w:txbxContent>
                  <w:p w14:paraId="1A298D67" w14:textId="77777777" w:rsidR="009868DB" w:rsidRDefault="009D54B2">
                    <w:pPr>
                      <w:pStyle w:val="MarginlessContainer"/>
                    </w:pPr>
                    <w:r>
                      <w:rPr>
                        <w:noProof/>
                      </w:rPr>
                      <w:drawing>
                        <wp:inline distT="0" distB="0" distL="0" distR="0" wp14:anchorId="581ACD3A" wp14:editId="17401E83">
                          <wp:extent cx="467995" cy="1583865"/>
                          <wp:effectExtent l="0" t="0" r="0" b="0"/>
                          <wp:docPr id="1580720926" name="Lint"/>
                          <wp:cNvGraphicFramePr/>
                          <a:graphic xmlns:a="http://schemas.openxmlformats.org/drawingml/2006/main">
                            <a:graphicData uri="http://schemas.openxmlformats.org/drawingml/2006/picture">
                              <pic:pic xmlns:pic="http://schemas.openxmlformats.org/drawingml/2006/picture">
                                <pic:nvPicPr>
                                  <pic:cNvPr id="2" name="Lint"/>
                                  <pic:cNvPicPr/>
                                </pic:nvPicPr>
                                <pic:blipFill>
                                  <a:blip r:embed="rId1"/>
                                  <a:stretch>
                                    <a:fillRect/>
                                  </a:stretch>
                                </pic:blipFill>
                                <pic:spPr bwMode="auto">
                                  <a:xfrm>
                                    <a:off x="0" y="0"/>
                                    <a:ext cx="467995" cy="1583865"/>
                                  </a:xfrm>
                                  <a:prstGeom prst="rect">
                                    <a:avLst/>
                                  </a:prstGeom>
                                </pic:spPr>
                              </pic:pic>
                            </a:graphicData>
                          </a:graphic>
                        </wp:inline>
                      </w:drawing>
                    </w:r>
                  </w:p>
                  <w:p w14:paraId="0B35729E" w14:textId="77777777" w:rsidR="009868DB" w:rsidRDefault="009868DB" w:rsidP="00C0621F"/>
                  <w:p w14:paraId="1C7AC808" w14:textId="77777777" w:rsidR="009868DB" w:rsidRDefault="009868DB" w:rsidP="00C0621F"/>
                  <w:p w14:paraId="130E988F" w14:textId="77777777" w:rsidR="009868DB" w:rsidRDefault="009868DB" w:rsidP="00C0621F"/>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0EBC40F3" wp14:editId="5F40A52E">
              <wp:simplePos x="0" y="0"/>
              <wp:positionH relativeFrom="page">
                <wp:posOffset>3995420</wp:posOffset>
              </wp:positionH>
              <wp:positionV relativeFrom="page">
                <wp:posOffset>0</wp:posOffset>
              </wp:positionV>
              <wp:extent cx="2339975" cy="1778000"/>
              <wp:effectExtent l="0" t="0" r="0" b="0"/>
              <wp:wrapNone/>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975" cy="1778000"/>
                      </a:xfrm>
                      <a:prstGeom prst="rect">
                        <a:avLst/>
                      </a:prstGeom>
                      <a:noFill/>
                    </wps:spPr>
                    <wps:txbx>
                      <w:txbxContent>
                        <w:p w14:paraId="1081BFF2" w14:textId="77777777" w:rsidR="009868DB" w:rsidRDefault="009D54B2">
                          <w:pPr>
                            <w:pStyle w:val="MarginlessContainer"/>
                          </w:pPr>
                          <w:r>
                            <w:rPr>
                              <w:noProof/>
                            </w:rPr>
                            <w:drawing>
                              <wp:inline distT="0" distB="0" distL="0" distR="0" wp14:anchorId="11DF4569" wp14:editId="3D767B00">
                                <wp:extent cx="2339975" cy="1582834"/>
                                <wp:effectExtent l="0" t="0" r="0" b="0"/>
                                <wp:docPr id="593830065" name="VWS_Standaard"/>
                                <wp:cNvGraphicFramePr/>
                                <a:graphic xmlns:a="http://schemas.openxmlformats.org/drawingml/2006/main">
                                  <a:graphicData uri="http://schemas.openxmlformats.org/drawingml/2006/picture">
                                    <pic:pic xmlns:pic="http://schemas.openxmlformats.org/drawingml/2006/picture">
                                      <pic:nvPicPr>
                                        <pic:cNvPr id="4" name="VWS_Standaard"/>
                                        <pic:cNvPicPr/>
                                      </pic:nvPicPr>
                                      <pic:blipFill>
                                        <a:blip r:embed="rId2"/>
                                        <a:stretch>
                                          <a:fillRect/>
                                        </a:stretch>
                                      </pic:blipFill>
                                      <pic:spPr bwMode="auto">
                                        <a:xfrm>
                                          <a:off x="0" y="0"/>
                                          <a:ext cx="2339975" cy="1582834"/>
                                        </a:xfrm>
                                        <a:prstGeom prst="rect">
                                          <a:avLst/>
                                        </a:prstGeom>
                                      </pic:spPr>
                                    </pic:pic>
                                  </a:graphicData>
                                </a:graphic>
                              </wp:inline>
                            </w:drawing>
                          </w:r>
                        </w:p>
                        <w:p w14:paraId="418BBAFD" w14:textId="77777777" w:rsidR="009868DB" w:rsidRDefault="009868DB" w:rsidP="00C0621F"/>
                        <w:p w14:paraId="289147D1" w14:textId="77777777" w:rsidR="009868DB" w:rsidRDefault="009868DB" w:rsidP="00C0621F"/>
                        <w:p w14:paraId="3ECDAE4A" w14:textId="687CDBF0" w:rsidR="009868DB" w:rsidRDefault="009868DB" w:rsidP="00C0621F"/>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0EBC40F3" id="Tekstvak 3" o:spid="_x0000_s1029" type="#_x0000_t202" style="position:absolute;margin-left:314.6pt;margin-top:0;width:184.25pt;height:140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" filled="f" stroked="f">
              <v:textbox inset="0,0,0,0">
                <w:txbxContent>
                  <w:p w14:paraId="1081BFF2" w14:textId="77777777" w:rsidR="009868DB" w:rsidRDefault="009D54B2">
                    <w:pPr>
                      <w:pStyle w:val="MarginlessContainer"/>
                    </w:pPr>
                    <w:r>
                      <w:rPr>
                        <w:noProof/>
                      </w:rPr>
                      <w:drawing>
                        <wp:inline distT="0" distB="0" distL="0" distR="0" wp14:anchorId="11DF4569" wp14:editId="3D767B00">
                          <wp:extent cx="2339975" cy="1582834"/>
                          <wp:effectExtent l="0" t="0" r="0" b="0"/>
                          <wp:docPr id="593830065" name="VWS_Standaard"/>
                          <wp:cNvGraphicFramePr/>
                          <a:graphic xmlns:a="http://schemas.openxmlformats.org/drawingml/2006/main">
                            <a:graphicData uri="http://schemas.openxmlformats.org/drawingml/2006/picture">
                              <pic:pic xmlns:pic="http://schemas.openxmlformats.org/drawingml/2006/picture">
                                <pic:nvPicPr>
                                  <pic:cNvPr id="4" name="VWS_Standaard"/>
                                  <pic:cNvPicPr/>
                                </pic:nvPicPr>
                                <pic:blipFill>
                                  <a:blip r:embed="rId2"/>
                                  <a:stretch>
                                    <a:fillRect/>
                                  </a:stretch>
                                </pic:blipFill>
                                <pic:spPr bwMode="auto">
                                  <a:xfrm>
                                    <a:off x="0" y="0"/>
                                    <a:ext cx="2339975" cy="1582834"/>
                                  </a:xfrm>
                                  <a:prstGeom prst="rect">
                                    <a:avLst/>
                                  </a:prstGeom>
                                </pic:spPr>
                              </pic:pic>
                            </a:graphicData>
                          </a:graphic>
                        </wp:inline>
                      </w:drawing>
                    </w:r>
                  </w:p>
                  <w:p w14:paraId="418BBAFD" w14:textId="77777777" w:rsidR="009868DB" w:rsidRDefault="009868DB" w:rsidP="00C0621F"/>
                  <w:p w14:paraId="289147D1" w14:textId="77777777" w:rsidR="009868DB" w:rsidRDefault="009868DB" w:rsidP="00C0621F"/>
                  <w:p w14:paraId="3ECDAE4A" w14:textId="687CDBF0" w:rsidR="009868DB" w:rsidRDefault="009868DB" w:rsidP="00C0621F"/>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0D9F2EAB" wp14:editId="288A73B1">
              <wp:simplePos x="0" y="0"/>
              <wp:positionH relativeFrom="page">
                <wp:posOffset>4333875</wp:posOffset>
              </wp:positionH>
              <wp:positionV relativeFrom="page">
                <wp:posOffset>10270490</wp:posOffset>
              </wp:positionV>
              <wp:extent cx="1257300" cy="142875"/>
              <wp:effectExtent l="0" t="0" r="0" b="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142875"/>
                      </a:xfrm>
                      <a:prstGeom prst="rect">
                        <a:avLst/>
                      </a:prstGeom>
                      <a:noFill/>
                    </wps:spPr>
                    <wps:txbx>
                      <w:txbxContent>
                        <w:p w14:paraId="75898745" w14:textId="3DC04B41" w:rsidR="009868DB" w:rsidRDefault="009D54B2" w:rsidP="00C0621F">
                          <w:pPr>
                            <w:pStyle w:val="StandaardReferentiegegevens"/>
                          </w:pPr>
                          <w:r>
                            <w:t xml:space="preserve">Pagina </w:t>
                          </w:r>
                          <w:r>
                            <w:fldChar w:fldCharType="begin"/>
                          </w:r>
                          <w:r>
                            <w:instrText>PAGE</w:instrText>
                          </w:r>
                          <w:r>
                            <w:fldChar w:fldCharType="separate"/>
                          </w:r>
                          <w:r w:rsidR="00FF73B8">
                            <w:rPr>
                              <w:noProof/>
                            </w:rPr>
                            <w:t>1</w:t>
                          </w:r>
                          <w:r>
                            <w:fldChar w:fldCharType="end"/>
                          </w:r>
                          <w:r>
                            <w:t xml:space="preserve"> van </w:t>
                          </w:r>
                          <w:r>
                            <w:fldChar w:fldCharType="begin"/>
                          </w:r>
                          <w:r>
                            <w:instrText>NUMPAGES</w:instrText>
                          </w:r>
                          <w:r>
                            <w:fldChar w:fldCharType="separate"/>
                          </w:r>
                          <w:r w:rsidR="00FF73B8">
                            <w:rPr>
                              <w:noProof/>
                            </w:rPr>
                            <w:t>2</w:t>
                          </w:r>
                          <w:r>
                            <w:fldChar w:fldCharType="end"/>
                          </w:r>
                        </w:p>
                        <w:p w14:paraId="381754B5" w14:textId="77777777" w:rsidR="009868DB" w:rsidRDefault="009868DB" w:rsidP="00C0621F"/>
                        <w:p w14:paraId="72197A4B" w14:textId="77777777" w:rsidR="009868DB" w:rsidRDefault="009D54B2" w:rsidP="00C0621F">
                          <w:pPr>
                            <w:pStyle w:val="StandaardReferentiegegevens"/>
                          </w:pPr>
                          <w:r>
                            <w:t xml:space="preserve">Pagina </w:t>
                          </w:r>
                          <w:r>
                            <w:fldChar w:fldCharType="begin"/>
                          </w:r>
                          <w:r>
                            <w:instrText>PAGE</w:instrText>
                          </w:r>
                          <w:r>
                            <w:fldChar w:fldCharType="separate"/>
                          </w:r>
                          <w:r w:rsidR="00FF73B8">
                            <w:rPr>
                              <w:noProof/>
                            </w:rPr>
                            <w:t>1</w:t>
                          </w:r>
                          <w:r>
                            <w:fldChar w:fldCharType="end"/>
                          </w:r>
                          <w:r>
                            <w:t xml:space="preserve"> van </w:t>
                          </w:r>
                          <w:r>
                            <w:fldChar w:fldCharType="begin"/>
                          </w:r>
                          <w:r>
                            <w:instrText>NUMPAGES</w:instrText>
                          </w:r>
                          <w:r>
                            <w:fldChar w:fldCharType="separate"/>
                          </w:r>
                          <w:r w:rsidR="00FF73B8">
                            <w:rPr>
                              <w:noProof/>
                            </w:rPr>
                            <w:t>2</w:t>
                          </w:r>
                          <w:r>
                            <w:fldChar w:fldCharType="end"/>
                          </w:r>
                        </w:p>
                        <w:p w14:paraId="56758794" w14:textId="77777777" w:rsidR="009868DB" w:rsidRDefault="009868DB" w:rsidP="00C0621F"/>
                        <w:p w14:paraId="58997B1B" w14:textId="77777777" w:rsidR="009868DB" w:rsidRDefault="009D54B2" w:rsidP="00C0621F">
                          <w:r>
                            <w:t xml:space="preserve">Pagina </w:t>
                          </w:r>
                          <w:r>
                            <w:fldChar w:fldCharType="begin"/>
                          </w:r>
                          <w:r>
                            <w:instrText>PAGE</w:instrText>
                          </w:r>
                          <w:r>
                            <w:fldChar w:fldCharType="separate"/>
                          </w:r>
                          <w:r w:rsidR="00FF73B8">
                            <w:rPr>
                              <w:noProof/>
                            </w:rPr>
                            <w:t>1</w:t>
                          </w:r>
                          <w:r>
                            <w:fldChar w:fldCharType="end"/>
                          </w:r>
                          <w:r>
                            <w:t xml:space="preserve"> van </w:t>
                          </w:r>
                          <w:r>
                            <w:fldChar w:fldCharType="begin"/>
                          </w:r>
                          <w:r>
                            <w:instrText>NUMPAGES</w:instrText>
                          </w:r>
                          <w:r>
                            <w:fldChar w:fldCharType="separate"/>
                          </w:r>
                          <w:r w:rsidR="00FF73B8">
                            <w:rPr>
                              <w:noProof/>
                            </w:rPr>
                            <w:t>2</w:t>
                          </w:r>
                          <w:r>
                            <w:fldChar w:fldCharType="end"/>
                          </w:r>
                        </w:p>
                        <w:p w14:paraId="1314AB34" w14:textId="77777777" w:rsidR="009868DB" w:rsidRDefault="009868DB" w:rsidP="00C0621F"/>
                        <w:p w14:paraId="0473DD58" w14:textId="77777777" w:rsidR="009868DB" w:rsidRDefault="009D54B2" w:rsidP="00C0621F">
                          <w:r>
                            <w:t xml:space="preserve">Pagina </w:t>
                          </w:r>
                          <w:r>
                            <w:fldChar w:fldCharType="begin"/>
                          </w:r>
                          <w:r>
                            <w:instrText>PAGE</w:instrText>
                          </w:r>
                          <w:r>
                            <w:fldChar w:fldCharType="separate"/>
                          </w:r>
                          <w:r w:rsidR="00FF73B8">
                            <w:rPr>
                              <w:noProof/>
                            </w:rPr>
                            <w:t>1</w:t>
                          </w:r>
                          <w:r>
                            <w:fldChar w:fldCharType="end"/>
                          </w:r>
                          <w:r>
                            <w:t xml:space="preserve"> van </w:t>
                          </w:r>
                          <w:r>
                            <w:fldChar w:fldCharType="begin"/>
                          </w:r>
                          <w:r>
                            <w:instrText>NUMPAGES</w:instrText>
                          </w:r>
                          <w:r>
                            <w:fldChar w:fldCharType="separate"/>
                          </w:r>
                          <w:r w:rsidR="00FF73B8">
                            <w:rPr>
                              <w:noProof/>
                            </w:rPr>
                            <w:t>2</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0D9F2EAB" id="Tekstvak 1" o:spid="_x0000_s1030" type="#_x0000_t202" style="position:absolute;margin-left:341.25pt;margin-top:808.7pt;width:99pt;height:11.25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" filled="f" stroked="f">
              <v:textbox inset="0,0,0,0">
                <w:txbxContent>
                  <w:p w14:paraId="75898745" w14:textId="3DC04B41" w:rsidR="009868DB" w:rsidRDefault="009D54B2" w:rsidP="00C0621F">
                    <w:pPr>
                      <w:pStyle w:val="StandaardReferentiegegevens"/>
                    </w:pPr>
                    <w:r>
                      <w:t xml:space="preserve">Pagina </w:t>
                    </w:r>
                    <w:r>
                      <w:fldChar w:fldCharType="begin"/>
                    </w:r>
                    <w:r>
                      <w:instrText>PAGE</w:instrText>
                    </w:r>
                    <w:r>
                      <w:fldChar w:fldCharType="separate"/>
                    </w:r>
                    <w:r w:rsidR="00FF73B8">
                      <w:rPr>
                        <w:noProof/>
                      </w:rPr>
                      <w:t>1</w:t>
                    </w:r>
                    <w:r>
                      <w:fldChar w:fldCharType="end"/>
                    </w:r>
                    <w:r>
                      <w:t xml:space="preserve"> van </w:t>
                    </w:r>
                    <w:r>
                      <w:fldChar w:fldCharType="begin"/>
                    </w:r>
                    <w:r>
                      <w:instrText>NUMPAGES</w:instrText>
                    </w:r>
                    <w:r>
                      <w:fldChar w:fldCharType="separate"/>
                    </w:r>
                    <w:r w:rsidR="00FF73B8">
                      <w:rPr>
                        <w:noProof/>
                      </w:rPr>
                      <w:t>2</w:t>
                    </w:r>
                    <w:r>
                      <w:fldChar w:fldCharType="end"/>
                    </w:r>
                  </w:p>
                  <w:p w14:paraId="381754B5" w14:textId="77777777" w:rsidR="009868DB" w:rsidRDefault="009868DB" w:rsidP="00C0621F"/>
                  <w:p w14:paraId="72197A4B" w14:textId="77777777" w:rsidR="009868DB" w:rsidRDefault="009D54B2" w:rsidP="00C0621F">
                    <w:pPr>
                      <w:pStyle w:val="StandaardReferentiegegevens"/>
                    </w:pPr>
                    <w:r>
                      <w:t xml:space="preserve">Pagina </w:t>
                    </w:r>
                    <w:r>
                      <w:fldChar w:fldCharType="begin"/>
                    </w:r>
                    <w:r>
                      <w:instrText>PAGE</w:instrText>
                    </w:r>
                    <w:r>
                      <w:fldChar w:fldCharType="separate"/>
                    </w:r>
                    <w:r w:rsidR="00FF73B8">
                      <w:rPr>
                        <w:noProof/>
                      </w:rPr>
                      <w:t>1</w:t>
                    </w:r>
                    <w:r>
                      <w:fldChar w:fldCharType="end"/>
                    </w:r>
                    <w:r>
                      <w:t xml:space="preserve"> van </w:t>
                    </w:r>
                    <w:r>
                      <w:fldChar w:fldCharType="begin"/>
                    </w:r>
                    <w:r>
                      <w:instrText>NUMPAGES</w:instrText>
                    </w:r>
                    <w:r>
                      <w:fldChar w:fldCharType="separate"/>
                    </w:r>
                    <w:r w:rsidR="00FF73B8">
                      <w:rPr>
                        <w:noProof/>
                      </w:rPr>
                      <w:t>2</w:t>
                    </w:r>
                    <w:r>
                      <w:fldChar w:fldCharType="end"/>
                    </w:r>
                  </w:p>
                  <w:p w14:paraId="56758794" w14:textId="77777777" w:rsidR="009868DB" w:rsidRDefault="009868DB" w:rsidP="00C0621F"/>
                  <w:p w14:paraId="58997B1B" w14:textId="77777777" w:rsidR="009868DB" w:rsidRDefault="009D54B2" w:rsidP="00C0621F">
                    <w:r>
                      <w:t xml:space="preserve">Pagina </w:t>
                    </w:r>
                    <w:r>
                      <w:fldChar w:fldCharType="begin"/>
                    </w:r>
                    <w:r>
                      <w:instrText>PAGE</w:instrText>
                    </w:r>
                    <w:r>
                      <w:fldChar w:fldCharType="separate"/>
                    </w:r>
                    <w:r w:rsidR="00FF73B8">
                      <w:rPr>
                        <w:noProof/>
                      </w:rPr>
                      <w:t>1</w:t>
                    </w:r>
                    <w:r>
                      <w:fldChar w:fldCharType="end"/>
                    </w:r>
                    <w:r>
                      <w:t xml:space="preserve"> van </w:t>
                    </w:r>
                    <w:r>
                      <w:fldChar w:fldCharType="begin"/>
                    </w:r>
                    <w:r>
                      <w:instrText>NUMPAGES</w:instrText>
                    </w:r>
                    <w:r>
                      <w:fldChar w:fldCharType="separate"/>
                    </w:r>
                    <w:r w:rsidR="00FF73B8">
                      <w:rPr>
                        <w:noProof/>
                      </w:rPr>
                      <w:t>2</w:t>
                    </w:r>
                    <w:r>
                      <w:fldChar w:fldCharType="end"/>
                    </w:r>
                  </w:p>
                  <w:p w14:paraId="1314AB34" w14:textId="77777777" w:rsidR="009868DB" w:rsidRDefault="009868DB" w:rsidP="00C0621F"/>
                  <w:p w14:paraId="0473DD58" w14:textId="77777777" w:rsidR="009868DB" w:rsidRDefault="009D54B2" w:rsidP="00C0621F">
                    <w:r>
                      <w:t xml:space="preserve">Pagina </w:t>
                    </w:r>
                    <w:r>
                      <w:fldChar w:fldCharType="begin"/>
                    </w:r>
                    <w:r>
                      <w:instrText>PAGE</w:instrText>
                    </w:r>
                    <w:r>
                      <w:fldChar w:fldCharType="separate"/>
                    </w:r>
                    <w:r w:rsidR="00FF73B8">
                      <w:rPr>
                        <w:noProof/>
                      </w:rPr>
                      <w:t>1</w:t>
                    </w:r>
                    <w:r>
                      <w:fldChar w:fldCharType="end"/>
                    </w:r>
                    <w:r>
                      <w:t xml:space="preserve"> van </w:t>
                    </w:r>
                    <w:r>
                      <w:fldChar w:fldCharType="begin"/>
                    </w:r>
                    <w:r>
                      <w:instrText>NUMPAGES</w:instrText>
                    </w:r>
                    <w:r>
                      <w:fldChar w:fldCharType="separate"/>
                    </w:r>
                    <w:r w:rsidR="00FF73B8">
                      <w:rPr>
                        <w:noProof/>
                      </w:rPr>
                      <w:t>2</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5A8973"/>
    <w:multiLevelType w:val="multilevel"/>
    <w:tmpl w:val="62E9B6BE"/>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F5B7D97"/>
    <w:multiLevelType w:val="multilevel"/>
    <w:tmpl w:val="B67E72D8"/>
    <w:name w:val="Communicatie Lijst"/>
    <w:lvl w:ilvl="0">
      <w:start w:val="1"/>
      <w:numFmt w:val="decimal"/>
      <w:pStyle w:val="Communicatieopsommingkop1"/>
      <w:lvlText w:val="%1"/>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75DEFF3"/>
    <w:multiLevelType w:val="multilevel"/>
    <w:tmpl w:val="72A16537"/>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AB2AEDC"/>
    <w:multiLevelType w:val="multilevel"/>
    <w:tmpl w:val="43A2E438"/>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BFE42BA"/>
    <w:multiLevelType w:val="multilevel"/>
    <w:tmpl w:val="3EB9FEF4"/>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A429F54"/>
    <w:multiLevelType w:val="multilevel"/>
    <w:tmpl w:val="EA86D3BE"/>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76BBCF4"/>
    <w:multiLevelType w:val="multilevel"/>
    <w:tmpl w:val="02FCF02A"/>
    <w:lvl w:ilvl="0">
      <w:start w:val="1"/>
      <w:numFmt w:val="decimal"/>
      <w:pStyle w:val="Kop1"/>
      <w:lvlText w:val="%1"/>
      <w:lvlJc w:val="left"/>
      <w:pPr>
        <w:ind w:left="0" w:firstLine="0"/>
      </w:pPr>
      <w:rPr>
        <w:rFonts w:hint="default"/>
        <w:color w:val="002060"/>
      </w:rPr>
    </w:lvl>
    <w:lvl w:ilvl="1">
      <w:start w:val="1"/>
      <w:numFmt w:val="decimal"/>
      <w:pStyle w:val="Kop2"/>
      <w:lvlText w:val="%1.%2"/>
      <w:lvlJc w:val="left"/>
      <w:pPr>
        <w:ind w:left="0" w:firstLine="0"/>
      </w:pPr>
      <w:rPr>
        <w:sz w:val="18"/>
        <w:szCs w:val="18"/>
      </w:rPr>
    </w:lvl>
    <w:lvl w:ilvl="2">
      <w:start w:val="1"/>
      <w:numFmt w:val="decimal"/>
      <w:pStyle w:val="Kop3"/>
      <w:lvlText w:val="%1.%2.%3"/>
      <w:lvlJc w:val="left"/>
      <w:pPr>
        <w:ind w:left="0" w:firstLine="0"/>
      </w:pPr>
      <w:rPr>
        <w:rFonts w:hint="default"/>
      </w:rPr>
    </w:lvl>
    <w:lvl w:ilvl="3">
      <w:start w:val="1"/>
      <w:numFmt w:val="decimal"/>
      <w:lvlText w:val="%1.%2.%3.%4"/>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0CADC0B6"/>
    <w:multiLevelType w:val="multilevel"/>
    <w:tmpl w:val="CC2D46B7"/>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F8C7D7"/>
    <w:multiLevelType w:val="multilevel"/>
    <w:tmpl w:val="07009C1B"/>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color w:val="FFFFFF"/>
      </w:rPr>
    </w:lvl>
    <w:lvl w:ilvl="2">
      <w:start w:val="1"/>
      <w:numFmt w:val="bullet"/>
      <w:pStyle w:val="VWSAdviesMinisterraad3"/>
      <w:lvlText w:val="●"/>
      <w:lvlJc w:val="left"/>
      <w:pPr>
        <w:ind w:left="720" w:hanging="360"/>
      </w:pPr>
    </w:lvl>
    <w:lvl w:ilvl="3">
      <w:start w:val="1"/>
      <w:numFmt w:val="bullet"/>
      <w:pStyle w:val="VWSAdviesMinisterraad4"/>
      <w:lvlText w:val="●"/>
      <w:lvlJc w:val="left"/>
      <w:pPr>
        <w:ind w:left="720" w:hanging="36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9D445C"/>
    <w:multiLevelType w:val="multilevel"/>
    <w:tmpl w:val="2715D2CE"/>
    <w:name w:val="Communicatie nummering"/>
    <w:lvl w:ilvl="0">
      <w:start w:val="1"/>
      <w:numFmt w:val="decimal"/>
      <w:pStyle w:val="Communicatiekop"/>
      <w:lvlText w:val="%1."/>
      <w:lvlJc w:val="left"/>
      <w:pPr>
        <w:ind w:left="560" w:hanging="5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7564DA"/>
    <w:multiLevelType w:val="hybridMultilevel"/>
    <w:tmpl w:val="AC0CFE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2486525"/>
    <w:multiLevelType w:val="hybridMultilevel"/>
    <w:tmpl w:val="41D052EA"/>
    <w:lvl w:ilvl="0" w:tplc="4E86DBD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457A0B4"/>
    <w:multiLevelType w:val="multilevel"/>
    <w:tmpl w:val="F82CC343"/>
    <w:name w:val="Huisstijl Inhoudsopgave colofon en inleiding"/>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A821B7"/>
    <w:multiLevelType w:val="hybridMultilevel"/>
    <w:tmpl w:val="56F2E4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7771873"/>
    <w:multiLevelType w:val="hybridMultilevel"/>
    <w:tmpl w:val="6C8475E4"/>
    <w:lvl w:ilvl="0" w:tplc="EDF0B6CE">
      <w:start w:val="1"/>
      <w:numFmt w:val="bullet"/>
      <w:lvlText w:val="-"/>
      <w:lvlJc w:val="left"/>
      <w:pPr>
        <w:ind w:left="360" w:hanging="360"/>
      </w:pPr>
      <w:rPr>
        <w:rFonts w:ascii="Calibri" w:hAnsi="Calibri" w:hint="default"/>
        <w:b/>
        <w:bCs/>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B6305C0"/>
    <w:multiLevelType w:val="hybridMultilevel"/>
    <w:tmpl w:val="5FCC8E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34D2B38"/>
    <w:multiLevelType w:val="hybridMultilevel"/>
    <w:tmpl w:val="8EB658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77A4CCD"/>
    <w:multiLevelType w:val="hybridMultilevel"/>
    <w:tmpl w:val="2EE68ED8"/>
    <w:name w:val="Huisstijl Inhoudsopgave colofon en inleiding2"/>
    <w:lvl w:ilvl="0" w:tplc="E6C81CD0">
      <w:start w:val="1"/>
      <w:numFmt w:val="bullet"/>
      <w:lvlText w:val="•"/>
      <w:lvlJc w:val="left"/>
      <w:pPr>
        <w:ind w:left="720" w:hanging="360"/>
      </w:pPr>
      <w:rPr>
        <w:rFonts w:ascii="Verdana" w:hAnsi="Verdana" w:hint="default"/>
        <w:u w:color="00B05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A502577"/>
    <w:multiLevelType w:val="hybridMultilevel"/>
    <w:tmpl w:val="AF2CCD0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DDC340A"/>
    <w:multiLevelType w:val="hybridMultilevel"/>
    <w:tmpl w:val="1D2809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38C6D74"/>
    <w:multiLevelType w:val="hybridMultilevel"/>
    <w:tmpl w:val="494675AC"/>
    <w:lvl w:ilvl="0" w:tplc="E6140FEC">
      <w:start w:val="1"/>
      <w:numFmt w:val="decimal"/>
      <w:pStyle w:val="BIJLAGE"/>
      <w:lvlText w:val="BIJLAGE %1."/>
      <w:lvlJc w:val="left"/>
      <w:pPr>
        <w:ind w:left="1920" w:hanging="360"/>
      </w:pPr>
      <w:rPr>
        <w:rFonts w:hint="default"/>
      </w:rPr>
    </w:lvl>
    <w:lvl w:ilvl="1" w:tplc="04130019" w:tentative="1">
      <w:start w:val="1"/>
      <w:numFmt w:val="lowerLetter"/>
      <w:lvlText w:val="%2."/>
      <w:lvlJc w:val="left"/>
      <w:pPr>
        <w:ind w:left="2640" w:hanging="360"/>
      </w:pPr>
    </w:lvl>
    <w:lvl w:ilvl="2" w:tplc="0413001B" w:tentative="1">
      <w:start w:val="1"/>
      <w:numFmt w:val="lowerRoman"/>
      <w:lvlText w:val="%3."/>
      <w:lvlJc w:val="right"/>
      <w:pPr>
        <w:ind w:left="3360" w:hanging="180"/>
      </w:pPr>
    </w:lvl>
    <w:lvl w:ilvl="3" w:tplc="0413000F" w:tentative="1">
      <w:start w:val="1"/>
      <w:numFmt w:val="decimal"/>
      <w:lvlText w:val="%4."/>
      <w:lvlJc w:val="left"/>
      <w:pPr>
        <w:ind w:left="4080" w:hanging="360"/>
      </w:pPr>
    </w:lvl>
    <w:lvl w:ilvl="4" w:tplc="04130019" w:tentative="1">
      <w:start w:val="1"/>
      <w:numFmt w:val="lowerLetter"/>
      <w:lvlText w:val="%5."/>
      <w:lvlJc w:val="left"/>
      <w:pPr>
        <w:ind w:left="4800" w:hanging="360"/>
      </w:pPr>
    </w:lvl>
    <w:lvl w:ilvl="5" w:tplc="0413001B" w:tentative="1">
      <w:start w:val="1"/>
      <w:numFmt w:val="lowerRoman"/>
      <w:lvlText w:val="%6."/>
      <w:lvlJc w:val="right"/>
      <w:pPr>
        <w:ind w:left="5520" w:hanging="180"/>
      </w:pPr>
    </w:lvl>
    <w:lvl w:ilvl="6" w:tplc="0413000F" w:tentative="1">
      <w:start w:val="1"/>
      <w:numFmt w:val="decimal"/>
      <w:lvlText w:val="%7."/>
      <w:lvlJc w:val="left"/>
      <w:pPr>
        <w:ind w:left="6240" w:hanging="360"/>
      </w:pPr>
    </w:lvl>
    <w:lvl w:ilvl="7" w:tplc="04130019" w:tentative="1">
      <w:start w:val="1"/>
      <w:numFmt w:val="lowerLetter"/>
      <w:lvlText w:val="%8."/>
      <w:lvlJc w:val="left"/>
      <w:pPr>
        <w:ind w:left="6960" w:hanging="360"/>
      </w:pPr>
    </w:lvl>
    <w:lvl w:ilvl="8" w:tplc="0413001B" w:tentative="1">
      <w:start w:val="1"/>
      <w:numFmt w:val="lowerRoman"/>
      <w:lvlText w:val="%9."/>
      <w:lvlJc w:val="right"/>
      <w:pPr>
        <w:ind w:left="7680" w:hanging="180"/>
      </w:pPr>
    </w:lvl>
  </w:abstractNum>
  <w:abstractNum w:abstractNumId="21" w15:restartNumberingAfterBreak="0">
    <w:nsid w:val="55072B02"/>
    <w:multiLevelType w:val="hybridMultilevel"/>
    <w:tmpl w:val="4A947D34"/>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840FA99"/>
    <w:multiLevelType w:val="multilevel"/>
    <w:tmpl w:val="71452297"/>
    <w:name w:val="VWS Ntb - inspringen klik nummer"/>
    <w:lvl w:ilvl="0">
      <w:start w:val="1"/>
      <w:numFmt w:val="bullet"/>
      <w:pStyle w:val="VWSNtbinspringenklik"/>
      <w:lvlText w:val="●"/>
      <w:lvlJc w:val="left"/>
      <w:pPr>
        <w:ind w:left="425" w:hanging="425"/>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7CACEDD"/>
    <w:multiLevelType w:val="multilevel"/>
    <w:tmpl w:val="47001F1E"/>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E1D183"/>
    <w:multiLevelType w:val="multilevel"/>
    <w:tmpl w:val="40B3E33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9754D24"/>
    <w:multiLevelType w:val="hybridMultilevel"/>
    <w:tmpl w:val="8028DD00"/>
    <w:lvl w:ilvl="0" w:tplc="F2AC36C4">
      <w:start w:val="1"/>
      <w:numFmt w:val="decimal"/>
      <w:lvlText w:val="%1."/>
      <w:lvlJc w:val="left"/>
      <w:pPr>
        <w:ind w:left="502" w:hanging="360"/>
      </w:pPr>
      <w:rPr>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FE89A70"/>
    <w:multiLevelType w:val="multilevel"/>
    <w:tmpl w:val="C7FCB40D"/>
    <w:name w:val="IGJ Voorhangnota Lijst"/>
    <w:lvl w:ilvl="0">
      <w:start w:val="1"/>
      <w:numFmt w:val="decimal"/>
      <w:pStyle w:val="IGJVoorhangnota"/>
      <w:lvlText w:val="%1."/>
      <w:lvlJc w:val="left"/>
      <w:pPr>
        <w:ind w:left="1120" w:hanging="1120"/>
      </w:pPr>
    </w:lvl>
    <w:lvl w:ilvl="1">
      <w:start w:val="1"/>
      <w:numFmt w:val="decimal"/>
      <w:pStyle w:val="IGJVoorhangnota11"/>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81601030">
    <w:abstractNumId w:val="23"/>
  </w:num>
  <w:num w:numId="2" w16cid:durableId="1095514005">
    <w:abstractNumId w:val="1"/>
  </w:num>
  <w:num w:numId="3" w16cid:durableId="1606185902">
    <w:abstractNumId w:val="9"/>
  </w:num>
  <w:num w:numId="4" w16cid:durableId="472865869">
    <w:abstractNumId w:val="12"/>
  </w:num>
  <w:num w:numId="5" w16cid:durableId="1270166324">
    <w:abstractNumId w:val="4"/>
  </w:num>
  <w:num w:numId="6" w16cid:durableId="92752096">
    <w:abstractNumId w:val="5"/>
  </w:num>
  <w:num w:numId="7" w16cid:durableId="1333025884">
    <w:abstractNumId w:val="7"/>
  </w:num>
  <w:num w:numId="8" w16cid:durableId="1041247795">
    <w:abstractNumId w:val="26"/>
  </w:num>
  <w:num w:numId="9" w16cid:durableId="1766800893">
    <w:abstractNumId w:val="2"/>
  </w:num>
  <w:num w:numId="10" w16cid:durableId="1607887113">
    <w:abstractNumId w:val="24"/>
  </w:num>
  <w:num w:numId="11" w16cid:durableId="1449353075">
    <w:abstractNumId w:val="8"/>
  </w:num>
  <w:num w:numId="12" w16cid:durableId="936133045">
    <w:abstractNumId w:val="22"/>
  </w:num>
  <w:num w:numId="13" w16cid:durableId="2129199516">
    <w:abstractNumId w:val="0"/>
  </w:num>
  <w:num w:numId="14" w16cid:durableId="1517845516">
    <w:abstractNumId w:val="3"/>
  </w:num>
  <w:num w:numId="15" w16cid:durableId="1449622150">
    <w:abstractNumId w:val="6"/>
  </w:num>
  <w:num w:numId="16" w16cid:durableId="1166553499">
    <w:abstractNumId w:val="14"/>
  </w:num>
  <w:num w:numId="17" w16cid:durableId="1839467508">
    <w:abstractNumId w:val="20"/>
  </w:num>
  <w:num w:numId="18" w16cid:durableId="905846857">
    <w:abstractNumId w:val="16"/>
  </w:num>
  <w:num w:numId="19" w16cid:durableId="324893571">
    <w:abstractNumId w:val="11"/>
  </w:num>
  <w:num w:numId="20" w16cid:durableId="345060373">
    <w:abstractNumId w:val="21"/>
  </w:num>
  <w:num w:numId="21" w16cid:durableId="647974832">
    <w:abstractNumId w:val="19"/>
  </w:num>
  <w:num w:numId="22" w16cid:durableId="179512773">
    <w:abstractNumId w:val="10"/>
  </w:num>
  <w:num w:numId="23" w16cid:durableId="664668045">
    <w:abstractNumId w:val="18"/>
  </w:num>
  <w:num w:numId="24" w16cid:durableId="1836651495">
    <w:abstractNumId w:val="15"/>
  </w:num>
  <w:num w:numId="25" w16cid:durableId="2086146899">
    <w:abstractNumId w:val="25"/>
  </w:num>
  <w:num w:numId="26" w16cid:durableId="951788370">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371"/>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3B8"/>
    <w:rsid w:val="00000360"/>
    <w:rsid w:val="00000472"/>
    <w:rsid w:val="00000AE6"/>
    <w:rsid w:val="00001A78"/>
    <w:rsid w:val="00003A63"/>
    <w:rsid w:val="00004255"/>
    <w:rsid w:val="00004CAB"/>
    <w:rsid w:val="00007E40"/>
    <w:rsid w:val="00011607"/>
    <w:rsid w:val="00011C0E"/>
    <w:rsid w:val="00011D6B"/>
    <w:rsid w:val="000126FA"/>
    <w:rsid w:val="00013E74"/>
    <w:rsid w:val="0001617D"/>
    <w:rsid w:val="00016374"/>
    <w:rsid w:val="00016C1A"/>
    <w:rsid w:val="00017577"/>
    <w:rsid w:val="00020226"/>
    <w:rsid w:val="00020573"/>
    <w:rsid w:val="0002196F"/>
    <w:rsid w:val="0002274E"/>
    <w:rsid w:val="00024932"/>
    <w:rsid w:val="0002519E"/>
    <w:rsid w:val="00025821"/>
    <w:rsid w:val="00027595"/>
    <w:rsid w:val="00027B8D"/>
    <w:rsid w:val="00027ED3"/>
    <w:rsid w:val="000301E6"/>
    <w:rsid w:val="0003115A"/>
    <w:rsid w:val="00031AC0"/>
    <w:rsid w:val="00031CDA"/>
    <w:rsid w:val="00037028"/>
    <w:rsid w:val="00042A86"/>
    <w:rsid w:val="00043C84"/>
    <w:rsid w:val="00044D86"/>
    <w:rsid w:val="00046246"/>
    <w:rsid w:val="00046EFD"/>
    <w:rsid w:val="0004703F"/>
    <w:rsid w:val="000518A6"/>
    <w:rsid w:val="000521C5"/>
    <w:rsid w:val="000523BE"/>
    <w:rsid w:val="00052E39"/>
    <w:rsid w:val="00053906"/>
    <w:rsid w:val="000540D2"/>
    <w:rsid w:val="00054F7E"/>
    <w:rsid w:val="00055289"/>
    <w:rsid w:val="00055F4F"/>
    <w:rsid w:val="00056C43"/>
    <w:rsid w:val="0005704A"/>
    <w:rsid w:val="000603ED"/>
    <w:rsid w:val="000605CE"/>
    <w:rsid w:val="00062ADB"/>
    <w:rsid w:val="000670ED"/>
    <w:rsid w:val="00067E80"/>
    <w:rsid w:val="000706EC"/>
    <w:rsid w:val="00070EB1"/>
    <w:rsid w:val="0007149F"/>
    <w:rsid w:val="000717F9"/>
    <w:rsid w:val="00072C64"/>
    <w:rsid w:val="00074052"/>
    <w:rsid w:val="00080894"/>
    <w:rsid w:val="00085C23"/>
    <w:rsid w:val="00091F8A"/>
    <w:rsid w:val="000933A8"/>
    <w:rsid w:val="000939CD"/>
    <w:rsid w:val="00094915"/>
    <w:rsid w:val="00096DF3"/>
    <w:rsid w:val="00097C80"/>
    <w:rsid w:val="000A22CF"/>
    <w:rsid w:val="000A2882"/>
    <w:rsid w:val="000A2E32"/>
    <w:rsid w:val="000A3935"/>
    <w:rsid w:val="000A4A56"/>
    <w:rsid w:val="000A5B3A"/>
    <w:rsid w:val="000A6DA9"/>
    <w:rsid w:val="000B133E"/>
    <w:rsid w:val="000B19F2"/>
    <w:rsid w:val="000B1EDC"/>
    <w:rsid w:val="000B316D"/>
    <w:rsid w:val="000B326B"/>
    <w:rsid w:val="000B3ECC"/>
    <w:rsid w:val="000B473C"/>
    <w:rsid w:val="000B7128"/>
    <w:rsid w:val="000B7523"/>
    <w:rsid w:val="000B77CA"/>
    <w:rsid w:val="000C0E02"/>
    <w:rsid w:val="000C20C1"/>
    <w:rsid w:val="000D00C9"/>
    <w:rsid w:val="000D05EB"/>
    <w:rsid w:val="000D1BCD"/>
    <w:rsid w:val="000D1FF0"/>
    <w:rsid w:val="000D2420"/>
    <w:rsid w:val="000D2717"/>
    <w:rsid w:val="000D3A71"/>
    <w:rsid w:val="000D3BAB"/>
    <w:rsid w:val="000D4334"/>
    <w:rsid w:val="000D56BD"/>
    <w:rsid w:val="000D6ADE"/>
    <w:rsid w:val="000D6B0F"/>
    <w:rsid w:val="000D7027"/>
    <w:rsid w:val="000D7C27"/>
    <w:rsid w:val="000E20EF"/>
    <w:rsid w:val="000E3DB1"/>
    <w:rsid w:val="000E554E"/>
    <w:rsid w:val="000E5C83"/>
    <w:rsid w:val="000E6399"/>
    <w:rsid w:val="000E7248"/>
    <w:rsid w:val="000F0963"/>
    <w:rsid w:val="000F1C7D"/>
    <w:rsid w:val="000F5AED"/>
    <w:rsid w:val="000F72E6"/>
    <w:rsid w:val="001002FF"/>
    <w:rsid w:val="00100E11"/>
    <w:rsid w:val="00101167"/>
    <w:rsid w:val="00101E71"/>
    <w:rsid w:val="001033E2"/>
    <w:rsid w:val="001034D3"/>
    <w:rsid w:val="00103C8F"/>
    <w:rsid w:val="001040A3"/>
    <w:rsid w:val="001046E9"/>
    <w:rsid w:val="00104DF9"/>
    <w:rsid w:val="00105506"/>
    <w:rsid w:val="00105BBB"/>
    <w:rsid w:val="00107FDF"/>
    <w:rsid w:val="00110A0B"/>
    <w:rsid w:val="0011101B"/>
    <w:rsid w:val="0011188F"/>
    <w:rsid w:val="001127B8"/>
    <w:rsid w:val="00113EC0"/>
    <w:rsid w:val="00115E6A"/>
    <w:rsid w:val="0011648E"/>
    <w:rsid w:val="00116FEF"/>
    <w:rsid w:val="00117462"/>
    <w:rsid w:val="00117568"/>
    <w:rsid w:val="00121829"/>
    <w:rsid w:val="00127393"/>
    <w:rsid w:val="00127ED8"/>
    <w:rsid w:val="00130295"/>
    <w:rsid w:val="00130CB1"/>
    <w:rsid w:val="001311C2"/>
    <w:rsid w:val="00131748"/>
    <w:rsid w:val="00131DE5"/>
    <w:rsid w:val="0013234D"/>
    <w:rsid w:val="001336DD"/>
    <w:rsid w:val="00135FD4"/>
    <w:rsid w:val="00136439"/>
    <w:rsid w:val="00137082"/>
    <w:rsid w:val="00137662"/>
    <w:rsid w:val="00142055"/>
    <w:rsid w:val="0014399F"/>
    <w:rsid w:val="00150E7A"/>
    <w:rsid w:val="001515D5"/>
    <w:rsid w:val="00151A56"/>
    <w:rsid w:val="00151B5C"/>
    <w:rsid w:val="001534D8"/>
    <w:rsid w:val="00153CE4"/>
    <w:rsid w:val="00154D0D"/>
    <w:rsid w:val="001552E9"/>
    <w:rsid w:val="0015538E"/>
    <w:rsid w:val="001561F3"/>
    <w:rsid w:val="00160013"/>
    <w:rsid w:val="0016306D"/>
    <w:rsid w:val="0016345F"/>
    <w:rsid w:val="001644AE"/>
    <w:rsid w:val="00166996"/>
    <w:rsid w:val="00167A77"/>
    <w:rsid w:val="00175174"/>
    <w:rsid w:val="00175C40"/>
    <w:rsid w:val="0017680C"/>
    <w:rsid w:val="0018083A"/>
    <w:rsid w:val="00182870"/>
    <w:rsid w:val="00182F1B"/>
    <w:rsid w:val="001847EA"/>
    <w:rsid w:val="0018495E"/>
    <w:rsid w:val="00184AFA"/>
    <w:rsid w:val="00185FFB"/>
    <w:rsid w:val="00187138"/>
    <w:rsid w:val="0019099F"/>
    <w:rsid w:val="001911E1"/>
    <w:rsid w:val="0019183C"/>
    <w:rsid w:val="00192A22"/>
    <w:rsid w:val="001938FA"/>
    <w:rsid w:val="001948B1"/>
    <w:rsid w:val="00194B03"/>
    <w:rsid w:val="001950F3"/>
    <w:rsid w:val="001977B8"/>
    <w:rsid w:val="001A01A4"/>
    <w:rsid w:val="001A0F88"/>
    <w:rsid w:val="001A3D8B"/>
    <w:rsid w:val="001A53FF"/>
    <w:rsid w:val="001A72DC"/>
    <w:rsid w:val="001A77B9"/>
    <w:rsid w:val="001A79CD"/>
    <w:rsid w:val="001B0CA8"/>
    <w:rsid w:val="001B1752"/>
    <w:rsid w:val="001B2646"/>
    <w:rsid w:val="001B3598"/>
    <w:rsid w:val="001B4980"/>
    <w:rsid w:val="001B4DD3"/>
    <w:rsid w:val="001B5064"/>
    <w:rsid w:val="001C0620"/>
    <w:rsid w:val="001C146B"/>
    <w:rsid w:val="001C29E4"/>
    <w:rsid w:val="001C2A6D"/>
    <w:rsid w:val="001C300F"/>
    <w:rsid w:val="001C5504"/>
    <w:rsid w:val="001C5674"/>
    <w:rsid w:val="001C594E"/>
    <w:rsid w:val="001C5E29"/>
    <w:rsid w:val="001C7078"/>
    <w:rsid w:val="001D3A1B"/>
    <w:rsid w:val="001D5828"/>
    <w:rsid w:val="001E0F50"/>
    <w:rsid w:val="001E12CE"/>
    <w:rsid w:val="001E2CDF"/>
    <w:rsid w:val="001E343E"/>
    <w:rsid w:val="001E35FA"/>
    <w:rsid w:val="001E4857"/>
    <w:rsid w:val="001E4FD5"/>
    <w:rsid w:val="001E6840"/>
    <w:rsid w:val="001E76C8"/>
    <w:rsid w:val="001F0048"/>
    <w:rsid w:val="001F0D61"/>
    <w:rsid w:val="001F1E47"/>
    <w:rsid w:val="001F269E"/>
    <w:rsid w:val="001F319A"/>
    <w:rsid w:val="001F46C8"/>
    <w:rsid w:val="001F47CF"/>
    <w:rsid w:val="001F497D"/>
    <w:rsid w:val="001F70A0"/>
    <w:rsid w:val="001F7181"/>
    <w:rsid w:val="001F74D6"/>
    <w:rsid w:val="002001A2"/>
    <w:rsid w:val="00200763"/>
    <w:rsid w:val="002019D2"/>
    <w:rsid w:val="00202482"/>
    <w:rsid w:val="002053A2"/>
    <w:rsid w:val="00210316"/>
    <w:rsid w:val="00211CD0"/>
    <w:rsid w:val="002122CF"/>
    <w:rsid w:val="0021378B"/>
    <w:rsid w:val="0021396A"/>
    <w:rsid w:val="00214C9A"/>
    <w:rsid w:val="0021655E"/>
    <w:rsid w:val="00217505"/>
    <w:rsid w:val="00221C80"/>
    <w:rsid w:val="00221DDD"/>
    <w:rsid w:val="00222123"/>
    <w:rsid w:val="00231343"/>
    <w:rsid w:val="00233C2C"/>
    <w:rsid w:val="00234DC8"/>
    <w:rsid w:val="00235797"/>
    <w:rsid w:val="0023581F"/>
    <w:rsid w:val="00237E5F"/>
    <w:rsid w:val="002405FE"/>
    <w:rsid w:val="00241BC0"/>
    <w:rsid w:val="0024354D"/>
    <w:rsid w:val="002435E8"/>
    <w:rsid w:val="00245109"/>
    <w:rsid w:val="00246938"/>
    <w:rsid w:val="002503FB"/>
    <w:rsid w:val="002530C9"/>
    <w:rsid w:val="00255366"/>
    <w:rsid w:val="00256DD7"/>
    <w:rsid w:val="00256FA1"/>
    <w:rsid w:val="00257438"/>
    <w:rsid w:val="002609EA"/>
    <w:rsid w:val="00261061"/>
    <w:rsid w:val="00261EA0"/>
    <w:rsid w:val="00262BB6"/>
    <w:rsid w:val="00264A94"/>
    <w:rsid w:val="00265A3D"/>
    <w:rsid w:val="002668BD"/>
    <w:rsid w:val="00266C30"/>
    <w:rsid w:val="0026741B"/>
    <w:rsid w:val="00270019"/>
    <w:rsid w:val="002706CE"/>
    <w:rsid w:val="00270B86"/>
    <w:rsid w:val="00271147"/>
    <w:rsid w:val="0027204D"/>
    <w:rsid w:val="002753E8"/>
    <w:rsid w:val="0027692F"/>
    <w:rsid w:val="002769AF"/>
    <w:rsid w:val="00276A38"/>
    <w:rsid w:val="00281F55"/>
    <w:rsid w:val="00282788"/>
    <w:rsid w:val="00282D57"/>
    <w:rsid w:val="00282F17"/>
    <w:rsid w:val="002860C3"/>
    <w:rsid w:val="00286348"/>
    <w:rsid w:val="002901CE"/>
    <w:rsid w:val="002913E8"/>
    <w:rsid w:val="0029150A"/>
    <w:rsid w:val="00294C14"/>
    <w:rsid w:val="00295D40"/>
    <w:rsid w:val="002A06A9"/>
    <w:rsid w:val="002A1FF2"/>
    <w:rsid w:val="002A22A3"/>
    <w:rsid w:val="002A341E"/>
    <w:rsid w:val="002A51E5"/>
    <w:rsid w:val="002A58E2"/>
    <w:rsid w:val="002A718D"/>
    <w:rsid w:val="002B1213"/>
    <w:rsid w:val="002B2695"/>
    <w:rsid w:val="002B4AA8"/>
    <w:rsid w:val="002B541E"/>
    <w:rsid w:val="002C04E5"/>
    <w:rsid w:val="002C0B9C"/>
    <w:rsid w:val="002C2344"/>
    <w:rsid w:val="002C27B8"/>
    <w:rsid w:val="002C27C9"/>
    <w:rsid w:val="002C3F37"/>
    <w:rsid w:val="002C461F"/>
    <w:rsid w:val="002C48FF"/>
    <w:rsid w:val="002D04FA"/>
    <w:rsid w:val="002D0AAA"/>
    <w:rsid w:val="002D22D5"/>
    <w:rsid w:val="002D31B5"/>
    <w:rsid w:val="002D4D2F"/>
    <w:rsid w:val="002D4E70"/>
    <w:rsid w:val="002D6C4D"/>
    <w:rsid w:val="002E2465"/>
    <w:rsid w:val="002E4114"/>
    <w:rsid w:val="002E4260"/>
    <w:rsid w:val="002E442D"/>
    <w:rsid w:val="002E470E"/>
    <w:rsid w:val="002E583B"/>
    <w:rsid w:val="002E5C8D"/>
    <w:rsid w:val="002E7AE8"/>
    <w:rsid w:val="002F178C"/>
    <w:rsid w:val="002F179D"/>
    <w:rsid w:val="002F1D23"/>
    <w:rsid w:val="002F244C"/>
    <w:rsid w:val="002F266B"/>
    <w:rsid w:val="002F2AC0"/>
    <w:rsid w:val="002F2EF2"/>
    <w:rsid w:val="002F49B0"/>
    <w:rsid w:val="002F5112"/>
    <w:rsid w:val="002F60B5"/>
    <w:rsid w:val="002F69A7"/>
    <w:rsid w:val="003001C8"/>
    <w:rsid w:val="003001D0"/>
    <w:rsid w:val="00301121"/>
    <w:rsid w:val="0030127A"/>
    <w:rsid w:val="00302572"/>
    <w:rsid w:val="00304C7C"/>
    <w:rsid w:val="00305147"/>
    <w:rsid w:val="00307C8D"/>
    <w:rsid w:val="003115F8"/>
    <w:rsid w:val="00311B67"/>
    <w:rsid w:val="00311D10"/>
    <w:rsid w:val="00314A49"/>
    <w:rsid w:val="00316676"/>
    <w:rsid w:val="0031750A"/>
    <w:rsid w:val="00317838"/>
    <w:rsid w:val="00317C18"/>
    <w:rsid w:val="0032261D"/>
    <w:rsid w:val="0032304E"/>
    <w:rsid w:val="00323401"/>
    <w:rsid w:val="00324BC0"/>
    <w:rsid w:val="00324C97"/>
    <w:rsid w:val="0032691B"/>
    <w:rsid w:val="00330149"/>
    <w:rsid w:val="003305F5"/>
    <w:rsid w:val="003358B9"/>
    <w:rsid w:val="00335D32"/>
    <w:rsid w:val="003360F1"/>
    <w:rsid w:val="003370F4"/>
    <w:rsid w:val="00337126"/>
    <w:rsid w:val="00340D08"/>
    <w:rsid w:val="003430EC"/>
    <w:rsid w:val="00343C51"/>
    <w:rsid w:val="00344E65"/>
    <w:rsid w:val="003457A7"/>
    <w:rsid w:val="00345A9B"/>
    <w:rsid w:val="00346046"/>
    <w:rsid w:val="003461A4"/>
    <w:rsid w:val="00351C49"/>
    <w:rsid w:val="00352102"/>
    <w:rsid w:val="003550B0"/>
    <w:rsid w:val="00355444"/>
    <w:rsid w:val="00360361"/>
    <w:rsid w:val="00365304"/>
    <w:rsid w:val="00366AFF"/>
    <w:rsid w:val="003671F9"/>
    <w:rsid w:val="00367DB3"/>
    <w:rsid w:val="00370638"/>
    <w:rsid w:val="0037315D"/>
    <w:rsid w:val="003738D6"/>
    <w:rsid w:val="00374663"/>
    <w:rsid w:val="00374CDD"/>
    <w:rsid w:val="00375707"/>
    <w:rsid w:val="00375C73"/>
    <w:rsid w:val="00381B3A"/>
    <w:rsid w:val="00381DEB"/>
    <w:rsid w:val="00384BDA"/>
    <w:rsid w:val="00386117"/>
    <w:rsid w:val="00386193"/>
    <w:rsid w:val="003861AF"/>
    <w:rsid w:val="00386ADC"/>
    <w:rsid w:val="00387D63"/>
    <w:rsid w:val="00390DD5"/>
    <w:rsid w:val="00392078"/>
    <w:rsid w:val="003A0D27"/>
    <w:rsid w:val="003A1E31"/>
    <w:rsid w:val="003A27EF"/>
    <w:rsid w:val="003A4C16"/>
    <w:rsid w:val="003A6DBD"/>
    <w:rsid w:val="003A6F44"/>
    <w:rsid w:val="003A7E6C"/>
    <w:rsid w:val="003B0E3D"/>
    <w:rsid w:val="003B0F56"/>
    <w:rsid w:val="003B4598"/>
    <w:rsid w:val="003B5C4C"/>
    <w:rsid w:val="003B6E68"/>
    <w:rsid w:val="003B74B6"/>
    <w:rsid w:val="003B75BA"/>
    <w:rsid w:val="003B7685"/>
    <w:rsid w:val="003B78C9"/>
    <w:rsid w:val="003C0939"/>
    <w:rsid w:val="003C2A3D"/>
    <w:rsid w:val="003C3E25"/>
    <w:rsid w:val="003C41D0"/>
    <w:rsid w:val="003C4BA8"/>
    <w:rsid w:val="003C4F93"/>
    <w:rsid w:val="003C61EB"/>
    <w:rsid w:val="003C6BE6"/>
    <w:rsid w:val="003C6DD8"/>
    <w:rsid w:val="003C7090"/>
    <w:rsid w:val="003C7CC1"/>
    <w:rsid w:val="003D0848"/>
    <w:rsid w:val="003D128F"/>
    <w:rsid w:val="003D525C"/>
    <w:rsid w:val="003D6601"/>
    <w:rsid w:val="003D7BA3"/>
    <w:rsid w:val="003E1BF4"/>
    <w:rsid w:val="003E42C5"/>
    <w:rsid w:val="003E539F"/>
    <w:rsid w:val="003E7EFD"/>
    <w:rsid w:val="003F14E7"/>
    <w:rsid w:val="003F1513"/>
    <w:rsid w:val="003F19ED"/>
    <w:rsid w:val="003F3BC2"/>
    <w:rsid w:val="003F691C"/>
    <w:rsid w:val="003F6A11"/>
    <w:rsid w:val="003F71A2"/>
    <w:rsid w:val="004000BA"/>
    <w:rsid w:val="0040267A"/>
    <w:rsid w:val="0040318F"/>
    <w:rsid w:val="004051A2"/>
    <w:rsid w:val="00405901"/>
    <w:rsid w:val="00406C4B"/>
    <w:rsid w:val="00410256"/>
    <w:rsid w:val="00412F6B"/>
    <w:rsid w:val="00415F6A"/>
    <w:rsid w:val="00417099"/>
    <w:rsid w:val="004175AA"/>
    <w:rsid w:val="0042031A"/>
    <w:rsid w:val="004203AA"/>
    <w:rsid w:val="00420AD7"/>
    <w:rsid w:val="0042142F"/>
    <w:rsid w:val="00422527"/>
    <w:rsid w:val="00422BF4"/>
    <w:rsid w:val="00422DD8"/>
    <w:rsid w:val="00424893"/>
    <w:rsid w:val="004248C1"/>
    <w:rsid w:val="00424912"/>
    <w:rsid w:val="004301C0"/>
    <w:rsid w:val="00430493"/>
    <w:rsid w:val="00437414"/>
    <w:rsid w:val="0043785B"/>
    <w:rsid w:val="00441526"/>
    <w:rsid w:val="00441846"/>
    <w:rsid w:val="00441E7B"/>
    <w:rsid w:val="00442F23"/>
    <w:rsid w:val="0044644A"/>
    <w:rsid w:val="004465B9"/>
    <w:rsid w:val="00446AA0"/>
    <w:rsid w:val="00446E51"/>
    <w:rsid w:val="00450D18"/>
    <w:rsid w:val="00453BE8"/>
    <w:rsid w:val="00455D55"/>
    <w:rsid w:val="0045761F"/>
    <w:rsid w:val="00457AD8"/>
    <w:rsid w:val="004606DA"/>
    <w:rsid w:val="004608FA"/>
    <w:rsid w:val="004610F9"/>
    <w:rsid w:val="00461924"/>
    <w:rsid w:val="00461A1A"/>
    <w:rsid w:val="00461F7A"/>
    <w:rsid w:val="004621E2"/>
    <w:rsid w:val="00462575"/>
    <w:rsid w:val="0046479D"/>
    <w:rsid w:val="00465661"/>
    <w:rsid w:val="0046708A"/>
    <w:rsid w:val="00467A71"/>
    <w:rsid w:val="004717FC"/>
    <w:rsid w:val="00472013"/>
    <w:rsid w:val="00472484"/>
    <w:rsid w:val="00472AAD"/>
    <w:rsid w:val="0047383D"/>
    <w:rsid w:val="00474B65"/>
    <w:rsid w:val="00474C18"/>
    <w:rsid w:val="004765EF"/>
    <w:rsid w:val="00476C85"/>
    <w:rsid w:val="004801F2"/>
    <w:rsid w:val="00480AA7"/>
    <w:rsid w:val="00481408"/>
    <w:rsid w:val="00482190"/>
    <w:rsid w:val="00485E11"/>
    <w:rsid w:val="00485FF2"/>
    <w:rsid w:val="00486CBF"/>
    <w:rsid w:val="004906DE"/>
    <w:rsid w:val="00492D6A"/>
    <w:rsid w:val="00492FBA"/>
    <w:rsid w:val="00495391"/>
    <w:rsid w:val="004962A4"/>
    <w:rsid w:val="0049749E"/>
    <w:rsid w:val="004A1031"/>
    <w:rsid w:val="004A1C6A"/>
    <w:rsid w:val="004A3FB9"/>
    <w:rsid w:val="004A51FD"/>
    <w:rsid w:val="004A6A19"/>
    <w:rsid w:val="004A7938"/>
    <w:rsid w:val="004A7E32"/>
    <w:rsid w:val="004B0035"/>
    <w:rsid w:val="004B2A02"/>
    <w:rsid w:val="004B2C3B"/>
    <w:rsid w:val="004B510C"/>
    <w:rsid w:val="004B57B0"/>
    <w:rsid w:val="004B5DA8"/>
    <w:rsid w:val="004B61C9"/>
    <w:rsid w:val="004B722F"/>
    <w:rsid w:val="004B7B86"/>
    <w:rsid w:val="004C00E6"/>
    <w:rsid w:val="004C0ADE"/>
    <w:rsid w:val="004C1914"/>
    <w:rsid w:val="004C2581"/>
    <w:rsid w:val="004C368A"/>
    <w:rsid w:val="004C3B8B"/>
    <w:rsid w:val="004C4806"/>
    <w:rsid w:val="004C5551"/>
    <w:rsid w:val="004C71DA"/>
    <w:rsid w:val="004C730B"/>
    <w:rsid w:val="004D087F"/>
    <w:rsid w:val="004D12E2"/>
    <w:rsid w:val="004D1E51"/>
    <w:rsid w:val="004D3516"/>
    <w:rsid w:val="004D3A3C"/>
    <w:rsid w:val="004D3C31"/>
    <w:rsid w:val="004D582F"/>
    <w:rsid w:val="004D58D0"/>
    <w:rsid w:val="004D5C14"/>
    <w:rsid w:val="004D7898"/>
    <w:rsid w:val="004E061E"/>
    <w:rsid w:val="004E2A52"/>
    <w:rsid w:val="004E4B43"/>
    <w:rsid w:val="004E5917"/>
    <w:rsid w:val="004E6D34"/>
    <w:rsid w:val="004E7316"/>
    <w:rsid w:val="004F1E47"/>
    <w:rsid w:val="004F7064"/>
    <w:rsid w:val="004F7C3E"/>
    <w:rsid w:val="00500871"/>
    <w:rsid w:val="00502F9E"/>
    <w:rsid w:val="00502FFD"/>
    <w:rsid w:val="00506FF3"/>
    <w:rsid w:val="00507C02"/>
    <w:rsid w:val="00507F91"/>
    <w:rsid w:val="0051539F"/>
    <w:rsid w:val="00516A47"/>
    <w:rsid w:val="00520610"/>
    <w:rsid w:val="00522672"/>
    <w:rsid w:val="00524327"/>
    <w:rsid w:val="005257BA"/>
    <w:rsid w:val="00531CC8"/>
    <w:rsid w:val="00532605"/>
    <w:rsid w:val="0053519A"/>
    <w:rsid w:val="0053563D"/>
    <w:rsid w:val="00537ECF"/>
    <w:rsid w:val="00540A77"/>
    <w:rsid w:val="00540C7D"/>
    <w:rsid w:val="0054128C"/>
    <w:rsid w:val="00542C71"/>
    <w:rsid w:val="0054451E"/>
    <w:rsid w:val="00544565"/>
    <w:rsid w:val="00544759"/>
    <w:rsid w:val="005447B3"/>
    <w:rsid w:val="005517F3"/>
    <w:rsid w:val="00551B27"/>
    <w:rsid w:val="00552AC7"/>
    <w:rsid w:val="005537FA"/>
    <w:rsid w:val="00556D66"/>
    <w:rsid w:val="00556F00"/>
    <w:rsid w:val="00561091"/>
    <w:rsid w:val="00563D1D"/>
    <w:rsid w:val="00565C19"/>
    <w:rsid w:val="005667A8"/>
    <w:rsid w:val="00572D6C"/>
    <w:rsid w:val="00573BA6"/>
    <w:rsid w:val="00575366"/>
    <w:rsid w:val="005754FE"/>
    <w:rsid w:val="0057624F"/>
    <w:rsid w:val="00576AAB"/>
    <w:rsid w:val="00576B1B"/>
    <w:rsid w:val="00576C71"/>
    <w:rsid w:val="00577517"/>
    <w:rsid w:val="00577AAF"/>
    <w:rsid w:val="00583EAD"/>
    <w:rsid w:val="00591065"/>
    <w:rsid w:val="005913FA"/>
    <w:rsid w:val="00593137"/>
    <w:rsid w:val="00593A43"/>
    <w:rsid w:val="00593F3C"/>
    <w:rsid w:val="00596748"/>
    <w:rsid w:val="005A0F10"/>
    <w:rsid w:val="005A1BBD"/>
    <w:rsid w:val="005A3365"/>
    <w:rsid w:val="005A4FD0"/>
    <w:rsid w:val="005A7008"/>
    <w:rsid w:val="005B7D6F"/>
    <w:rsid w:val="005C0B63"/>
    <w:rsid w:val="005C401D"/>
    <w:rsid w:val="005C5229"/>
    <w:rsid w:val="005C713C"/>
    <w:rsid w:val="005D0057"/>
    <w:rsid w:val="005D060E"/>
    <w:rsid w:val="005D2CB3"/>
    <w:rsid w:val="005D2E3F"/>
    <w:rsid w:val="005D3A36"/>
    <w:rsid w:val="005D4663"/>
    <w:rsid w:val="005D4728"/>
    <w:rsid w:val="005D67E4"/>
    <w:rsid w:val="005E1920"/>
    <w:rsid w:val="005E2451"/>
    <w:rsid w:val="005E293E"/>
    <w:rsid w:val="005E3A3E"/>
    <w:rsid w:val="005E5E4F"/>
    <w:rsid w:val="005E634C"/>
    <w:rsid w:val="005F1E30"/>
    <w:rsid w:val="005F2E61"/>
    <w:rsid w:val="005F327D"/>
    <w:rsid w:val="005F3BC0"/>
    <w:rsid w:val="005F4594"/>
    <w:rsid w:val="005F654E"/>
    <w:rsid w:val="005F702B"/>
    <w:rsid w:val="005F7557"/>
    <w:rsid w:val="006006AC"/>
    <w:rsid w:val="006019F1"/>
    <w:rsid w:val="00603793"/>
    <w:rsid w:val="006037DB"/>
    <w:rsid w:val="00605947"/>
    <w:rsid w:val="00607157"/>
    <w:rsid w:val="00607EFE"/>
    <w:rsid w:val="0061039E"/>
    <w:rsid w:val="00610912"/>
    <w:rsid w:val="00613504"/>
    <w:rsid w:val="00613E9C"/>
    <w:rsid w:val="00621D5C"/>
    <w:rsid w:val="00622D02"/>
    <w:rsid w:val="00623E1D"/>
    <w:rsid w:val="00625A01"/>
    <w:rsid w:val="00635937"/>
    <w:rsid w:val="00636162"/>
    <w:rsid w:val="006373EF"/>
    <w:rsid w:val="006404B5"/>
    <w:rsid w:val="0064094B"/>
    <w:rsid w:val="00641237"/>
    <w:rsid w:val="00641FE8"/>
    <w:rsid w:val="00643204"/>
    <w:rsid w:val="006441BE"/>
    <w:rsid w:val="00644602"/>
    <w:rsid w:val="00647668"/>
    <w:rsid w:val="006479CD"/>
    <w:rsid w:val="00650550"/>
    <w:rsid w:val="006517B8"/>
    <w:rsid w:val="006522A7"/>
    <w:rsid w:val="00652785"/>
    <w:rsid w:val="00652A1D"/>
    <w:rsid w:val="006545A0"/>
    <w:rsid w:val="00654F5B"/>
    <w:rsid w:val="006562F3"/>
    <w:rsid w:val="00657977"/>
    <w:rsid w:val="006605D9"/>
    <w:rsid w:val="00660913"/>
    <w:rsid w:val="006610A2"/>
    <w:rsid w:val="00661738"/>
    <w:rsid w:val="00661F3F"/>
    <w:rsid w:val="00662D7B"/>
    <w:rsid w:val="0066632A"/>
    <w:rsid w:val="00666458"/>
    <w:rsid w:val="006704EE"/>
    <w:rsid w:val="006716F9"/>
    <w:rsid w:val="006724F0"/>
    <w:rsid w:val="00673C0E"/>
    <w:rsid w:val="006776B8"/>
    <w:rsid w:val="0068082B"/>
    <w:rsid w:val="00682835"/>
    <w:rsid w:val="00683628"/>
    <w:rsid w:val="00684129"/>
    <w:rsid w:val="00687172"/>
    <w:rsid w:val="00690143"/>
    <w:rsid w:val="00690617"/>
    <w:rsid w:val="00691B67"/>
    <w:rsid w:val="00691EDC"/>
    <w:rsid w:val="00692B9D"/>
    <w:rsid w:val="00693A85"/>
    <w:rsid w:val="00695036"/>
    <w:rsid w:val="00695B05"/>
    <w:rsid w:val="00695EB3"/>
    <w:rsid w:val="0069617F"/>
    <w:rsid w:val="006977EF"/>
    <w:rsid w:val="00697FB9"/>
    <w:rsid w:val="006A3C66"/>
    <w:rsid w:val="006A5719"/>
    <w:rsid w:val="006A5BD9"/>
    <w:rsid w:val="006A5CBD"/>
    <w:rsid w:val="006B24D2"/>
    <w:rsid w:val="006B297E"/>
    <w:rsid w:val="006B4C42"/>
    <w:rsid w:val="006B5761"/>
    <w:rsid w:val="006B6820"/>
    <w:rsid w:val="006B6D57"/>
    <w:rsid w:val="006B6E05"/>
    <w:rsid w:val="006B778C"/>
    <w:rsid w:val="006C056D"/>
    <w:rsid w:val="006C2F22"/>
    <w:rsid w:val="006C4AB4"/>
    <w:rsid w:val="006C5AF5"/>
    <w:rsid w:val="006C69CF"/>
    <w:rsid w:val="006C6D46"/>
    <w:rsid w:val="006C6EC2"/>
    <w:rsid w:val="006C7ED4"/>
    <w:rsid w:val="006D0220"/>
    <w:rsid w:val="006D04A4"/>
    <w:rsid w:val="006D1A4F"/>
    <w:rsid w:val="006D1B44"/>
    <w:rsid w:val="006D1ECA"/>
    <w:rsid w:val="006D26C9"/>
    <w:rsid w:val="006D3D54"/>
    <w:rsid w:val="006D3E4B"/>
    <w:rsid w:val="006D5D30"/>
    <w:rsid w:val="006D6198"/>
    <w:rsid w:val="006D6A98"/>
    <w:rsid w:val="006D6C6D"/>
    <w:rsid w:val="006E0CB0"/>
    <w:rsid w:val="006E4DE6"/>
    <w:rsid w:val="006E6E64"/>
    <w:rsid w:val="006E727F"/>
    <w:rsid w:val="006F1CA5"/>
    <w:rsid w:val="006F2944"/>
    <w:rsid w:val="006F2D4F"/>
    <w:rsid w:val="006F4ACF"/>
    <w:rsid w:val="006F60EE"/>
    <w:rsid w:val="006F6AE3"/>
    <w:rsid w:val="006F7253"/>
    <w:rsid w:val="006F7471"/>
    <w:rsid w:val="00701479"/>
    <w:rsid w:val="0070155C"/>
    <w:rsid w:val="00702F89"/>
    <w:rsid w:val="007032B8"/>
    <w:rsid w:val="0070398F"/>
    <w:rsid w:val="007058CA"/>
    <w:rsid w:val="00706413"/>
    <w:rsid w:val="007066AB"/>
    <w:rsid w:val="00710F4E"/>
    <w:rsid w:val="007117B1"/>
    <w:rsid w:val="00713BE7"/>
    <w:rsid w:val="00713C5E"/>
    <w:rsid w:val="00716764"/>
    <w:rsid w:val="007200FC"/>
    <w:rsid w:val="007231C8"/>
    <w:rsid w:val="00725C58"/>
    <w:rsid w:val="00726B67"/>
    <w:rsid w:val="00732996"/>
    <w:rsid w:val="00733F1E"/>
    <w:rsid w:val="00735392"/>
    <w:rsid w:val="007354F7"/>
    <w:rsid w:val="00736366"/>
    <w:rsid w:val="00736A97"/>
    <w:rsid w:val="00736BBE"/>
    <w:rsid w:val="00736E5F"/>
    <w:rsid w:val="007376AE"/>
    <w:rsid w:val="00737DC5"/>
    <w:rsid w:val="0074054A"/>
    <w:rsid w:val="007413D1"/>
    <w:rsid w:val="007416FC"/>
    <w:rsid w:val="0074209A"/>
    <w:rsid w:val="00742D80"/>
    <w:rsid w:val="007437A2"/>
    <w:rsid w:val="0074389E"/>
    <w:rsid w:val="00744373"/>
    <w:rsid w:val="00745E16"/>
    <w:rsid w:val="00746DBD"/>
    <w:rsid w:val="00751001"/>
    <w:rsid w:val="00753BBC"/>
    <w:rsid w:val="0075408C"/>
    <w:rsid w:val="0075443B"/>
    <w:rsid w:val="00755081"/>
    <w:rsid w:val="007551F2"/>
    <w:rsid w:val="00755718"/>
    <w:rsid w:val="00755E7D"/>
    <w:rsid w:val="00756C6E"/>
    <w:rsid w:val="00757DBD"/>
    <w:rsid w:val="0076124A"/>
    <w:rsid w:val="00761B16"/>
    <w:rsid w:val="00762994"/>
    <w:rsid w:val="007630D4"/>
    <w:rsid w:val="00763581"/>
    <w:rsid w:val="00763D18"/>
    <w:rsid w:val="00763DC3"/>
    <w:rsid w:val="00764A96"/>
    <w:rsid w:val="00764BB3"/>
    <w:rsid w:val="00764F23"/>
    <w:rsid w:val="00765687"/>
    <w:rsid w:val="00766C95"/>
    <w:rsid w:val="00767987"/>
    <w:rsid w:val="00767A4A"/>
    <w:rsid w:val="00770A13"/>
    <w:rsid w:val="00772A32"/>
    <w:rsid w:val="00773514"/>
    <w:rsid w:val="007753E1"/>
    <w:rsid w:val="00775E04"/>
    <w:rsid w:val="00776440"/>
    <w:rsid w:val="00776E30"/>
    <w:rsid w:val="00777CF2"/>
    <w:rsid w:val="00780CE9"/>
    <w:rsid w:val="00783208"/>
    <w:rsid w:val="00783A78"/>
    <w:rsid w:val="00783B7B"/>
    <w:rsid w:val="0078478D"/>
    <w:rsid w:val="00785482"/>
    <w:rsid w:val="00786405"/>
    <w:rsid w:val="007873D8"/>
    <w:rsid w:val="0078749F"/>
    <w:rsid w:val="00787EEC"/>
    <w:rsid w:val="00790BEC"/>
    <w:rsid w:val="007916FE"/>
    <w:rsid w:val="007919E3"/>
    <w:rsid w:val="00791A18"/>
    <w:rsid w:val="00792521"/>
    <w:rsid w:val="0079325B"/>
    <w:rsid w:val="007945B9"/>
    <w:rsid w:val="00795B28"/>
    <w:rsid w:val="00795B57"/>
    <w:rsid w:val="00795ECB"/>
    <w:rsid w:val="00796907"/>
    <w:rsid w:val="00796958"/>
    <w:rsid w:val="007A0330"/>
    <w:rsid w:val="007A1127"/>
    <w:rsid w:val="007A2703"/>
    <w:rsid w:val="007A38D3"/>
    <w:rsid w:val="007A48B5"/>
    <w:rsid w:val="007A6A49"/>
    <w:rsid w:val="007B1B90"/>
    <w:rsid w:val="007B273C"/>
    <w:rsid w:val="007B2C7D"/>
    <w:rsid w:val="007B2DCB"/>
    <w:rsid w:val="007B35FB"/>
    <w:rsid w:val="007B3754"/>
    <w:rsid w:val="007B444F"/>
    <w:rsid w:val="007B4C79"/>
    <w:rsid w:val="007B503B"/>
    <w:rsid w:val="007B76CA"/>
    <w:rsid w:val="007B7996"/>
    <w:rsid w:val="007B7A33"/>
    <w:rsid w:val="007C1260"/>
    <w:rsid w:val="007C18D6"/>
    <w:rsid w:val="007C3520"/>
    <w:rsid w:val="007C672A"/>
    <w:rsid w:val="007C6BA2"/>
    <w:rsid w:val="007C7D3A"/>
    <w:rsid w:val="007D0491"/>
    <w:rsid w:val="007D09CD"/>
    <w:rsid w:val="007D29A8"/>
    <w:rsid w:val="007D31BF"/>
    <w:rsid w:val="007D338C"/>
    <w:rsid w:val="007D3D49"/>
    <w:rsid w:val="007D483C"/>
    <w:rsid w:val="007D4DD5"/>
    <w:rsid w:val="007D690A"/>
    <w:rsid w:val="007D7BC0"/>
    <w:rsid w:val="007E0F6F"/>
    <w:rsid w:val="007E1BA7"/>
    <w:rsid w:val="007E1FE5"/>
    <w:rsid w:val="007E2608"/>
    <w:rsid w:val="007E2838"/>
    <w:rsid w:val="007E2EA4"/>
    <w:rsid w:val="007E3317"/>
    <w:rsid w:val="007E393F"/>
    <w:rsid w:val="007E4E7A"/>
    <w:rsid w:val="007E5264"/>
    <w:rsid w:val="007E5A2D"/>
    <w:rsid w:val="007F3C35"/>
    <w:rsid w:val="007F400B"/>
    <w:rsid w:val="007F4BC7"/>
    <w:rsid w:val="007F4ED1"/>
    <w:rsid w:val="007F5CA4"/>
    <w:rsid w:val="007F6282"/>
    <w:rsid w:val="007F65AB"/>
    <w:rsid w:val="007F73BF"/>
    <w:rsid w:val="007F74AA"/>
    <w:rsid w:val="007F7E23"/>
    <w:rsid w:val="008006A8"/>
    <w:rsid w:val="00800B11"/>
    <w:rsid w:val="00800C4E"/>
    <w:rsid w:val="00800F1B"/>
    <w:rsid w:val="00800F47"/>
    <w:rsid w:val="008030C6"/>
    <w:rsid w:val="00804ABB"/>
    <w:rsid w:val="00807C03"/>
    <w:rsid w:val="008105CC"/>
    <w:rsid w:val="00810A81"/>
    <w:rsid w:val="0081145E"/>
    <w:rsid w:val="00811BBB"/>
    <w:rsid w:val="008126FA"/>
    <w:rsid w:val="0081402B"/>
    <w:rsid w:val="00814886"/>
    <w:rsid w:val="00815AB0"/>
    <w:rsid w:val="0082271C"/>
    <w:rsid w:val="00824C1C"/>
    <w:rsid w:val="00825364"/>
    <w:rsid w:val="00825AA3"/>
    <w:rsid w:val="00826013"/>
    <w:rsid w:val="008269F1"/>
    <w:rsid w:val="008279F3"/>
    <w:rsid w:val="00830CF8"/>
    <w:rsid w:val="008325EB"/>
    <w:rsid w:val="00834FCF"/>
    <w:rsid w:val="00836965"/>
    <w:rsid w:val="008371FD"/>
    <w:rsid w:val="00840507"/>
    <w:rsid w:val="00840849"/>
    <w:rsid w:val="00840937"/>
    <w:rsid w:val="008420D1"/>
    <w:rsid w:val="00845031"/>
    <w:rsid w:val="008458A3"/>
    <w:rsid w:val="008458D8"/>
    <w:rsid w:val="00845FC1"/>
    <w:rsid w:val="008469E0"/>
    <w:rsid w:val="00850D58"/>
    <w:rsid w:val="008523CA"/>
    <w:rsid w:val="008524F0"/>
    <w:rsid w:val="0085492F"/>
    <w:rsid w:val="00856132"/>
    <w:rsid w:val="008563C7"/>
    <w:rsid w:val="0085649B"/>
    <w:rsid w:val="00856792"/>
    <w:rsid w:val="008579F6"/>
    <w:rsid w:val="00860E65"/>
    <w:rsid w:val="00861714"/>
    <w:rsid w:val="00861A5F"/>
    <w:rsid w:val="00862791"/>
    <w:rsid w:val="00862BC8"/>
    <w:rsid w:val="00863C92"/>
    <w:rsid w:val="00864875"/>
    <w:rsid w:val="00864947"/>
    <w:rsid w:val="00865164"/>
    <w:rsid w:val="0086570C"/>
    <w:rsid w:val="00867DAC"/>
    <w:rsid w:val="0087301C"/>
    <w:rsid w:val="00875185"/>
    <w:rsid w:val="0087580C"/>
    <w:rsid w:val="00875B5B"/>
    <w:rsid w:val="008764D6"/>
    <w:rsid w:val="00876E36"/>
    <w:rsid w:val="008773D1"/>
    <w:rsid w:val="00877AED"/>
    <w:rsid w:val="008845E2"/>
    <w:rsid w:val="00885AC0"/>
    <w:rsid w:val="00885DC9"/>
    <w:rsid w:val="0088684A"/>
    <w:rsid w:val="00887FFD"/>
    <w:rsid w:val="00891235"/>
    <w:rsid w:val="008914F9"/>
    <w:rsid w:val="00891785"/>
    <w:rsid w:val="00891C27"/>
    <w:rsid w:val="008920E1"/>
    <w:rsid w:val="0089268B"/>
    <w:rsid w:val="008927E1"/>
    <w:rsid w:val="00892B54"/>
    <w:rsid w:val="00893F8B"/>
    <w:rsid w:val="008969CF"/>
    <w:rsid w:val="00896BD6"/>
    <w:rsid w:val="00897061"/>
    <w:rsid w:val="0089718B"/>
    <w:rsid w:val="008A0B25"/>
    <w:rsid w:val="008A1F03"/>
    <w:rsid w:val="008A2BEE"/>
    <w:rsid w:val="008A3FAE"/>
    <w:rsid w:val="008A4BCB"/>
    <w:rsid w:val="008A6997"/>
    <w:rsid w:val="008A7771"/>
    <w:rsid w:val="008B086D"/>
    <w:rsid w:val="008B0F37"/>
    <w:rsid w:val="008B1E32"/>
    <w:rsid w:val="008B207C"/>
    <w:rsid w:val="008B255B"/>
    <w:rsid w:val="008B354D"/>
    <w:rsid w:val="008B3918"/>
    <w:rsid w:val="008B6DCA"/>
    <w:rsid w:val="008B7F48"/>
    <w:rsid w:val="008C0BD9"/>
    <w:rsid w:val="008C12D0"/>
    <w:rsid w:val="008C2701"/>
    <w:rsid w:val="008C2787"/>
    <w:rsid w:val="008C43E2"/>
    <w:rsid w:val="008C49E3"/>
    <w:rsid w:val="008C5965"/>
    <w:rsid w:val="008C60AF"/>
    <w:rsid w:val="008C6645"/>
    <w:rsid w:val="008C6C5E"/>
    <w:rsid w:val="008D0D16"/>
    <w:rsid w:val="008D1194"/>
    <w:rsid w:val="008D20DE"/>
    <w:rsid w:val="008D40AF"/>
    <w:rsid w:val="008D4819"/>
    <w:rsid w:val="008D4921"/>
    <w:rsid w:val="008D579E"/>
    <w:rsid w:val="008D615E"/>
    <w:rsid w:val="008D66FC"/>
    <w:rsid w:val="008D72E1"/>
    <w:rsid w:val="008E0171"/>
    <w:rsid w:val="008E074E"/>
    <w:rsid w:val="008E10EB"/>
    <w:rsid w:val="008E1383"/>
    <w:rsid w:val="008E1F24"/>
    <w:rsid w:val="008E2DA2"/>
    <w:rsid w:val="008E56E4"/>
    <w:rsid w:val="008E6C9A"/>
    <w:rsid w:val="008F0586"/>
    <w:rsid w:val="008F1D2A"/>
    <w:rsid w:val="008F227E"/>
    <w:rsid w:val="008F2E46"/>
    <w:rsid w:val="008F35ED"/>
    <w:rsid w:val="008F598C"/>
    <w:rsid w:val="008F5E12"/>
    <w:rsid w:val="008F5FFC"/>
    <w:rsid w:val="008F6753"/>
    <w:rsid w:val="008F741D"/>
    <w:rsid w:val="008F7EC6"/>
    <w:rsid w:val="00900BEF"/>
    <w:rsid w:val="00900F19"/>
    <w:rsid w:val="00903DAA"/>
    <w:rsid w:val="009054FC"/>
    <w:rsid w:val="009106D3"/>
    <w:rsid w:val="00910A88"/>
    <w:rsid w:val="009113A9"/>
    <w:rsid w:val="00912099"/>
    <w:rsid w:val="00913076"/>
    <w:rsid w:val="009142F7"/>
    <w:rsid w:val="00914500"/>
    <w:rsid w:val="009157D9"/>
    <w:rsid w:val="009157EF"/>
    <w:rsid w:val="0091590E"/>
    <w:rsid w:val="0091645C"/>
    <w:rsid w:val="00916721"/>
    <w:rsid w:val="009202E0"/>
    <w:rsid w:val="00922A8E"/>
    <w:rsid w:val="00923317"/>
    <w:rsid w:val="0092447B"/>
    <w:rsid w:val="009247A7"/>
    <w:rsid w:val="00927CFA"/>
    <w:rsid w:val="0093181C"/>
    <w:rsid w:val="009340A8"/>
    <w:rsid w:val="00934E39"/>
    <w:rsid w:val="00936E1F"/>
    <w:rsid w:val="00937556"/>
    <w:rsid w:val="00940BE9"/>
    <w:rsid w:val="00943270"/>
    <w:rsid w:val="00943C04"/>
    <w:rsid w:val="0094444A"/>
    <w:rsid w:val="00945842"/>
    <w:rsid w:val="00950AFD"/>
    <w:rsid w:val="00950E1A"/>
    <w:rsid w:val="0095319B"/>
    <w:rsid w:val="0095392E"/>
    <w:rsid w:val="00955780"/>
    <w:rsid w:val="00955B20"/>
    <w:rsid w:val="0095612D"/>
    <w:rsid w:val="00956A9E"/>
    <w:rsid w:val="00960499"/>
    <w:rsid w:val="00960A25"/>
    <w:rsid w:val="009616D6"/>
    <w:rsid w:val="009626BF"/>
    <w:rsid w:val="00963252"/>
    <w:rsid w:val="009633B7"/>
    <w:rsid w:val="009642DA"/>
    <w:rsid w:val="009652E9"/>
    <w:rsid w:val="00965577"/>
    <w:rsid w:val="00965A4F"/>
    <w:rsid w:val="00967A58"/>
    <w:rsid w:val="00967C66"/>
    <w:rsid w:val="00970C41"/>
    <w:rsid w:val="00973386"/>
    <w:rsid w:val="00973DC3"/>
    <w:rsid w:val="009744CE"/>
    <w:rsid w:val="0097578A"/>
    <w:rsid w:val="00983D94"/>
    <w:rsid w:val="00984486"/>
    <w:rsid w:val="0098485C"/>
    <w:rsid w:val="009868DB"/>
    <w:rsid w:val="00986B55"/>
    <w:rsid w:val="00987339"/>
    <w:rsid w:val="00991180"/>
    <w:rsid w:val="009917B0"/>
    <w:rsid w:val="00991FA7"/>
    <w:rsid w:val="00992F55"/>
    <w:rsid w:val="009A0576"/>
    <w:rsid w:val="009A3E4A"/>
    <w:rsid w:val="009A453F"/>
    <w:rsid w:val="009A4EC0"/>
    <w:rsid w:val="009A5680"/>
    <w:rsid w:val="009A68CD"/>
    <w:rsid w:val="009A6B0A"/>
    <w:rsid w:val="009A6FA5"/>
    <w:rsid w:val="009A7903"/>
    <w:rsid w:val="009A7F12"/>
    <w:rsid w:val="009B002B"/>
    <w:rsid w:val="009B060F"/>
    <w:rsid w:val="009B1059"/>
    <w:rsid w:val="009B1351"/>
    <w:rsid w:val="009B1E2E"/>
    <w:rsid w:val="009B2301"/>
    <w:rsid w:val="009B2400"/>
    <w:rsid w:val="009B300E"/>
    <w:rsid w:val="009B3159"/>
    <w:rsid w:val="009B3946"/>
    <w:rsid w:val="009B3B77"/>
    <w:rsid w:val="009B5089"/>
    <w:rsid w:val="009B63A4"/>
    <w:rsid w:val="009B6CD2"/>
    <w:rsid w:val="009C141A"/>
    <w:rsid w:val="009C2AA8"/>
    <w:rsid w:val="009C45B0"/>
    <w:rsid w:val="009C46EE"/>
    <w:rsid w:val="009C50F2"/>
    <w:rsid w:val="009C5DCC"/>
    <w:rsid w:val="009D025E"/>
    <w:rsid w:val="009D04E8"/>
    <w:rsid w:val="009D2141"/>
    <w:rsid w:val="009D28E9"/>
    <w:rsid w:val="009D381F"/>
    <w:rsid w:val="009D459D"/>
    <w:rsid w:val="009D4889"/>
    <w:rsid w:val="009D54B2"/>
    <w:rsid w:val="009D72E2"/>
    <w:rsid w:val="009D7A1F"/>
    <w:rsid w:val="009E0A32"/>
    <w:rsid w:val="009E2588"/>
    <w:rsid w:val="009E4FAD"/>
    <w:rsid w:val="009E5A6A"/>
    <w:rsid w:val="009E65DF"/>
    <w:rsid w:val="009E7C44"/>
    <w:rsid w:val="009F48A2"/>
    <w:rsid w:val="009F4BF6"/>
    <w:rsid w:val="009F5E91"/>
    <w:rsid w:val="009F7890"/>
    <w:rsid w:val="00A00379"/>
    <w:rsid w:val="00A06DFF"/>
    <w:rsid w:val="00A07476"/>
    <w:rsid w:val="00A07CCF"/>
    <w:rsid w:val="00A11720"/>
    <w:rsid w:val="00A11F9C"/>
    <w:rsid w:val="00A13AD2"/>
    <w:rsid w:val="00A1466E"/>
    <w:rsid w:val="00A1720A"/>
    <w:rsid w:val="00A1781F"/>
    <w:rsid w:val="00A202FD"/>
    <w:rsid w:val="00A23090"/>
    <w:rsid w:val="00A23ADD"/>
    <w:rsid w:val="00A24445"/>
    <w:rsid w:val="00A25187"/>
    <w:rsid w:val="00A25224"/>
    <w:rsid w:val="00A303ED"/>
    <w:rsid w:val="00A30538"/>
    <w:rsid w:val="00A30D58"/>
    <w:rsid w:val="00A32DC3"/>
    <w:rsid w:val="00A33E2E"/>
    <w:rsid w:val="00A36CF5"/>
    <w:rsid w:val="00A372A3"/>
    <w:rsid w:val="00A40668"/>
    <w:rsid w:val="00A40F6C"/>
    <w:rsid w:val="00A421D5"/>
    <w:rsid w:val="00A42924"/>
    <w:rsid w:val="00A43C87"/>
    <w:rsid w:val="00A4623D"/>
    <w:rsid w:val="00A47309"/>
    <w:rsid w:val="00A4754B"/>
    <w:rsid w:val="00A47916"/>
    <w:rsid w:val="00A50E93"/>
    <w:rsid w:val="00A52B98"/>
    <w:rsid w:val="00A549A2"/>
    <w:rsid w:val="00A55CCC"/>
    <w:rsid w:val="00A5717D"/>
    <w:rsid w:val="00A575B6"/>
    <w:rsid w:val="00A57651"/>
    <w:rsid w:val="00A60786"/>
    <w:rsid w:val="00A61561"/>
    <w:rsid w:val="00A628C0"/>
    <w:rsid w:val="00A62B4B"/>
    <w:rsid w:val="00A63032"/>
    <w:rsid w:val="00A63653"/>
    <w:rsid w:val="00A664E8"/>
    <w:rsid w:val="00A66810"/>
    <w:rsid w:val="00A67007"/>
    <w:rsid w:val="00A7038E"/>
    <w:rsid w:val="00A70FE8"/>
    <w:rsid w:val="00A71E47"/>
    <w:rsid w:val="00A7279B"/>
    <w:rsid w:val="00A73FE9"/>
    <w:rsid w:val="00A7530A"/>
    <w:rsid w:val="00A769F8"/>
    <w:rsid w:val="00A76EDB"/>
    <w:rsid w:val="00A80E33"/>
    <w:rsid w:val="00A819A2"/>
    <w:rsid w:val="00A8280A"/>
    <w:rsid w:val="00A84300"/>
    <w:rsid w:val="00A846E8"/>
    <w:rsid w:val="00A84B8A"/>
    <w:rsid w:val="00A85342"/>
    <w:rsid w:val="00A85FBB"/>
    <w:rsid w:val="00A860B1"/>
    <w:rsid w:val="00A8620C"/>
    <w:rsid w:val="00A907DF"/>
    <w:rsid w:val="00A9195F"/>
    <w:rsid w:val="00A91E25"/>
    <w:rsid w:val="00A94B2C"/>
    <w:rsid w:val="00A94BE7"/>
    <w:rsid w:val="00A94EE8"/>
    <w:rsid w:val="00A957CF"/>
    <w:rsid w:val="00A96385"/>
    <w:rsid w:val="00A964DE"/>
    <w:rsid w:val="00A97D79"/>
    <w:rsid w:val="00AA0351"/>
    <w:rsid w:val="00AA0C51"/>
    <w:rsid w:val="00AA1F5B"/>
    <w:rsid w:val="00AA1F9C"/>
    <w:rsid w:val="00AA27C2"/>
    <w:rsid w:val="00AA404E"/>
    <w:rsid w:val="00AA499A"/>
    <w:rsid w:val="00AA4A79"/>
    <w:rsid w:val="00AA4CFD"/>
    <w:rsid w:val="00AA5DD2"/>
    <w:rsid w:val="00AA68D3"/>
    <w:rsid w:val="00AB0E88"/>
    <w:rsid w:val="00AB13EA"/>
    <w:rsid w:val="00AB2EB7"/>
    <w:rsid w:val="00AB3249"/>
    <w:rsid w:val="00AB373E"/>
    <w:rsid w:val="00AB3B78"/>
    <w:rsid w:val="00AB4384"/>
    <w:rsid w:val="00AB442A"/>
    <w:rsid w:val="00AB4B3B"/>
    <w:rsid w:val="00AB4BB2"/>
    <w:rsid w:val="00AB546A"/>
    <w:rsid w:val="00AC0D6A"/>
    <w:rsid w:val="00AC1539"/>
    <w:rsid w:val="00AC647B"/>
    <w:rsid w:val="00AC6757"/>
    <w:rsid w:val="00AC70FD"/>
    <w:rsid w:val="00AD044C"/>
    <w:rsid w:val="00AD26F9"/>
    <w:rsid w:val="00AD2FCF"/>
    <w:rsid w:val="00AD2FDD"/>
    <w:rsid w:val="00AD660B"/>
    <w:rsid w:val="00AD77C6"/>
    <w:rsid w:val="00AE3290"/>
    <w:rsid w:val="00AE3A6A"/>
    <w:rsid w:val="00AE65AB"/>
    <w:rsid w:val="00AE703A"/>
    <w:rsid w:val="00AE73EE"/>
    <w:rsid w:val="00AE7493"/>
    <w:rsid w:val="00AE7FDA"/>
    <w:rsid w:val="00AF0AB9"/>
    <w:rsid w:val="00AF10D4"/>
    <w:rsid w:val="00AF10E1"/>
    <w:rsid w:val="00AF3C30"/>
    <w:rsid w:val="00AF3E5D"/>
    <w:rsid w:val="00AF44DA"/>
    <w:rsid w:val="00AF4678"/>
    <w:rsid w:val="00AF506A"/>
    <w:rsid w:val="00AF7725"/>
    <w:rsid w:val="00AF7D1F"/>
    <w:rsid w:val="00B00A34"/>
    <w:rsid w:val="00B01AB5"/>
    <w:rsid w:val="00B02827"/>
    <w:rsid w:val="00B03267"/>
    <w:rsid w:val="00B03890"/>
    <w:rsid w:val="00B04575"/>
    <w:rsid w:val="00B0470B"/>
    <w:rsid w:val="00B04A58"/>
    <w:rsid w:val="00B0762F"/>
    <w:rsid w:val="00B10D89"/>
    <w:rsid w:val="00B1163D"/>
    <w:rsid w:val="00B1176D"/>
    <w:rsid w:val="00B125E8"/>
    <w:rsid w:val="00B12D63"/>
    <w:rsid w:val="00B15761"/>
    <w:rsid w:val="00B168ED"/>
    <w:rsid w:val="00B16C8D"/>
    <w:rsid w:val="00B16D88"/>
    <w:rsid w:val="00B17100"/>
    <w:rsid w:val="00B20086"/>
    <w:rsid w:val="00B23DD7"/>
    <w:rsid w:val="00B241B2"/>
    <w:rsid w:val="00B242D7"/>
    <w:rsid w:val="00B24625"/>
    <w:rsid w:val="00B25605"/>
    <w:rsid w:val="00B26146"/>
    <w:rsid w:val="00B26953"/>
    <w:rsid w:val="00B26BD7"/>
    <w:rsid w:val="00B31777"/>
    <w:rsid w:val="00B31EF0"/>
    <w:rsid w:val="00B3404B"/>
    <w:rsid w:val="00B36296"/>
    <w:rsid w:val="00B371B7"/>
    <w:rsid w:val="00B37256"/>
    <w:rsid w:val="00B3739B"/>
    <w:rsid w:val="00B37F65"/>
    <w:rsid w:val="00B4174F"/>
    <w:rsid w:val="00B445B5"/>
    <w:rsid w:val="00B47689"/>
    <w:rsid w:val="00B50210"/>
    <w:rsid w:val="00B5040A"/>
    <w:rsid w:val="00B504F2"/>
    <w:rsid w:val="00B51F2E"/>
    <w:rsid w:val="00B57673"/>
    <w:rsid w:val="00B5780D"/>
    <w:rsid w:val="00B57FC1"/>
    <w:rsid w:val="00B6768F"/>
    <w:rsid w:val="00B67CAB"/>
    <w:rsid w:val="00B70269"/>
    <w:rsid w:val="00B7183F"/>
    <w:rsid w:val="00B7228B"/>
    <w:rsid w:val="00B739A6"/>
    <w:rsid w:val="00B73A68"/>
    <w:rsid w:val="00B74E7A"/>
    <w:rsid w:val="00B75A94"/>
    <w:rsid w:val="00B8030C"/>
    <w:rsid w:val="00B80419"/>
    <w:rsid w:val="00B8107A"/>
    <w:rsid w:val="00B82EC0"/>
    <w:rsid w:val="00B83DE1"/>
    <w:rsid w:val="00B85149"/>
    <w:rsid w:val="00B85C2B"/>
    <w:rsid w:val="00B85E11"/>
    <w:rsid w:val="00B85E35"/>
    <w:rsid w:val="00B8727F"/>
    <w:rsid w:val="00B87ECA"/>
    <w:rsid w:val="00B9023C"/>
    <w:rsid w:val="00B907DB"/>
    <w:rsid w:val="00BA09CD"/>
    <w:rsid w:val="00BA0E3F"/>
    <w:rsid w:val="00BA1401"/>
    <w:rsid w:val="00BA27A5"/>
    <w:rsid w:val="00BA635C"/>
    <w:rsid w:val="00BA6616"/>
    <w:rsid w:val="00BB0321"/>
    <w:rsid w:val="00BB1BB2"/>
    <w:rsid w:val="00BB2272"/>
    <w:rsid w:val="00BB34BA"/>
    <w:rsid w:val="00BB356E"/>
    <w:rsid w:val="00BB4437"/>
    <w:rsid w:val="00BB6510"/>
    <w:rsid w:val="00BB6DFB"/>
    <w:rsid w:val="00BB6E7E"/>
    <w:rsid w:val="00BB742D"/>
    <w:rsid w:val="00BC117A"/>
    <w:rsid w:val="00BC1EAF"/>
    <w:rsid w:val="00BC272B"/>
    <w:rsid w:val="00BC281C"/>
    <w:rsid w:val="00BC55E1"/>
    <w:rsid w:val="00BC63F9"/>
    <w:rsid w:val="00BC7A03"/>
    <w:rsid w:val="00BD08AF"/>
    <w:rsid w:val="00BD159D"/>
    <w:rsid w:val="00BD1F9A"/>
    <w:rsid w:val="00BD20E1"/>
    <w:rsid w:val="00BD2A45"/>
    <w:rsid w:val="00BD34C7"/>
    <w:rsid w:val="00BD4608"/>
    <w:rsid w:val="00BD4739"/>
    <w:rsid w:val="00BD4DCF"/>
    <w:rsid w:val="00BD536C"/>
    <w:rsid w:val="00BD7013"/>
    <w:rsid w:val="00BD781B"/>
    <w:rsid w:val="00BD7BDA"/>
    <w:rsid w:val="00BE1C97"/>
    <w:rsid w:val="00BE4C94"/>
    <w:rsid w:val="00BE626A"/>
    <w:rsid w:val="00BE673D"/>
    <w:rsid w:val="00BF0A54"/>
    <w:rsid w:val="00BF15F8"/>
    <w:rsid w:val="00BF260F"/>
    <w:rsid w:val="00BF271C"/>
    <w:rsid w:val="00BF563B"/>
    <w:rsid w:val="00BF5768"/>
    <w:rsid w:val="00BF6862"/>
    <w:rsid w:val="00C0092F"/>
    <w:rsid w:val="00C009DC"/>
    <w:rsid w:val="00C0295F"/>
    <w:rsid w:val="00C04B7D"/>
    <w:rsid w:val="00C0577D"/>
    <w:rsid w:val="00C05FCB"/>
    <w:rsid w:val="00C0621F"/>
    <w:rsid w:val="00C10008"/>
    <w:rsid w:val="00C103E8"/>
    <w:rsid w:val="00C10A46"/>
    <w:rsid w:val="00C10BC6"/>
    <w:rsid w:val="00C11005"/>
    <w:rsid w:val="00C11701"/>
    <w:rsid w:val="00C14C07"/>
    <w:rsid w:val="00C15EA2"/>
    <w:rsid w:val="00C26666"/>
    <w:rsid w:val="00C3010E"/>
    <w:rsid w:val="00C31066"/>
    <w:rsid w:val="00C31297"/>
    <w:rsid w:val="00C316D7"/>
    <w:rsid w:val="00C31F99"/>
    <w:rsid w:val="00C328CB"/>
    <w:rsid w:val="00C329D2"/>
    <w:rsid w:val="00C32DFB"/>
    <w:rsid w:val="00C33760"/>
    <w:rsid w:val="00C357DE"/>
    <w:rsid w:val="00C36DB8"/>
    <w:rsid w:val="00C40A3F"/>
    <w:rsid w:val="00C40DE0"/>
    <w:rsid w:val="00C423A5"/>
    <w:rsid w:val="00C42912"/>
    <w:rsid w:val="00C42D96"/>
    <w:rsid w:val="00C43002"/>
    <w:rsid w:val="00C434EB"/>
    <w:rsid w:val="00C50D37"/>
    <w:rsid w:val="00C52F8A"/>
    <w:rsid w:val="00C5357A"/>
    <w:rsid w:val="00C53930"/>
    <w:rsid w:val="00C539BD"/>
    <w:rsid w:val="00C53F15"/>
    <w:rsid w:val="00C549AB"/>
    <w:rsid w:val="00C55813"/>
    <w:rsid w:val="00C56090"/>
    <w:rsid w:val="00C564DE"/>
    <w:rsid w:val="00C56628"/>
    <w:rsid w:val="00C57B86"/>
    <w:rsid w:val="00C57C5F"/>
    <w:rsid w:val="00C61BE6"/>
    <w:rsid w:val="00C61CD9"/>
    <w:rsid w:val="00C640EE"/>
    <w:rsid w:val="00C642FD"/>
    <w:rsid w:val="00C6462E"/>
    <w:rsid w:val="00C65A96"/>
    <w:rsid w:val="00C70251"/>
    <w:rsid w:val="00C708C9"/>
    <w:rsid w:val="00C713D4"/>
    <w:rsid w:val="00C729EE"/>
    <w:rsid w:val="00C746EF"/>
    <w:rsid w:val="00C7500E"/>
    <w:rsid w:val="00C76457"/>
    <w:rsid w:val="00C826D2"/>
    <w:rsid w:val="00C838D8"/>
    <w:rsid w:val="00C83F60"/>
    <w:rsid w:val="00C843EA"/>
    <w:rsid w:val="00C85358"/>
    <w:rsid w:val="00C91608"/>
    <w:rsid w:val="00C946E0"/>
    <w:rsid w:val="00C948AA"/>
    <w:rsid w:val="00C971C4"/>
    <w:rsid w:val="00C975C7"/>
    <w:rsid w:val="00C97600"/>
    <w:rsid w:val="00CA004D"/>
    <w:rsid w:val="00CA0598"/>
    <w:rsid w:val="00CA11AD"/>
    <w:rsid w:val="00CA1DAF"/>
    <w:rsid w:val="00CA304E"/>
    <w:rsid w:val="00CA3594"/>
    <w:rsid w:val="00CA3D10"/>
    <w:rsid w:val="00CA433F"/>
    <w:rsid w:val="00CA47BC"/>
    <w:rsid w:val="00CA6E08"/>
    <w:rsid w:val="00CB04B5"/>
    <w:rsid w:val="00CB0E18"/>
    <w:rsid w:val="00CB3733"/>
    <w:rsid w:val="00CB50D8"/>
    <w:rsid w:val="00CB70FF"/>
    <w:rsid w:val="00CB7811"/>
    <w:rsid w:val="00CB7B7D"/>
    <w:rsid w:val="00CC1E75"/>
    <w:rsid w:val="00CC55A4"/>
    <w:rsid w:val="00CD2DFA"/>
    <w:rsid w:val="00CD3042"/>
    <w:rsid w:val="00CD43A0"/>
    <w:rsid w:val="00CD4644"/>
    <w:rsid w:val="00CD6689"/>
    <w:rsid w:val="00CD671F"/>
    <w:rsid w:val="00CE17BE"/>
    <w:rsid w:val="00CE4D40"/>
    <w:rsid w:val="00CE5E53"/>
    <w:rsid w:val="00CE67A8"/>
    <w:rsid w:val="00CE773A"/>
    <w:rsid w:val="00CF1293"/>
    <w:rsid w:val="00CF1EDD"/>
    <w:rsid w:val="00CF351E"/>
    <w:rsid w:val="00CF495F"/>
    <w:rsid w:val="00CF657F"/>
    <w:rsid w:val="00CF6CCE"/>
    <w:rsid w:val="00CF7520"/>
    <w:rsid w:val="00D00787"/>
    <w:rsid w:val="00D01307"/>
    <w:rsid w:val="00D03220"/>
    <w:rsid w:val="00D036B0"/>
    <w:rsid w:val="00D040F6"/>
    <w:rsid w:val="00D05CCD"/>
    <w:rsid w:val="00D12B6C"/>
    <w:rsid w:val="00D1314B"/>
    <w:rsid w:val="00D13238"/>
    <w:rsid w:val="00D1428E"/>
    <w:rsid w:val="00D1566B"/>
    <w:rsid w:val="00D21D6B"/>
    <w:rsid w:val="00D226CE"/>
    <w:rsid w:val="00D23050"/>
    <w:rsid w:val="00D232A9"/>
    <w:rsid w:val="00D24716"/>
    <w:rsid w:val="00D24CB9"/>
    <w:rsid w:val="00D26761"/>
    <w:rsid w:val="00D26DBD"/>
    <w:rsid w:val="00D31626"/>
    <w:rsid w:val="00D319D4"/>
    <w:rsid w:val="00D3292F"/>
    <w:rsid w:val="00D330E7"/>
    <w:rsid w:val="00D3547C"/>
    <w:rsid w:val="00D36613"/>
    <w:rsid w:val="00D43366"/>
    <w:rsid w:val="00D444EB"/>
    <w:rsid w:val="00D4520D"/>
    <w:rsid w:val="00D453EC"/>
    <w:rsid w:val="00D47EF7"/>
    <w:rsid w:val="00D51BAD"/>
    <w:rsid w:val="00D52BA1"/>
    <w:rsid w:val="00D52C69"/>
    <w:rsid w:val="00D53BD8"/>
    <w:rsid w:val="00D555CB"/>
    <w:rsid w:val="00D55BA5"/>
    <w:rsid w:val="00D568FB"/>
    <w:rsid w:val="00D6249D"/>
    <w:rsid w:val="00D62798"/>
    <w:rsid w:val="00D6317B"/>
    <w:rsid w:val="00D64256"/>
    <w:rsid w:val="00D64C15"/>
    <w:rsid w:val="00D654C1"/>
    <w:rsid w:val="00D65545"/>
    <w:rsid w:val="00D658C2"/>
    <w:rsid w:val="00D674CE"/>
    <w:rsid w:val="00D67B84"/>
    <w:rsid w:val="00D710F2"/>
    <w:rsid w:val="00D723CB"/>
    <w:rsid w:val="00D76C85"/>
    <w:rsid w:val="00D7767F"/>
    <w:rsid w:val="00D8093F"/>
    <w:rsid w:val="00D80C4E"/>
    <w:rsid w:val="00D80F91"/>
    <w:rsid w:val="00D8127C"/>
    <w:rsid w:val="00D815C2"/>
    <w:rsid w:val="00D82A6E"/>
    <w:rsid w:val="00D8387B"/>
    <w:rsid w:val="00D84367"/>
    <w:rsid w:val="00D87CBA"/>
    <w:rsid w:val="00D9000A"/>
    <w:rsid w:val="00D90560"/>
    <w:rsid w:val="00D908AB"/>
    <w:rsid w:val="00D90EC9"/>
    <w:rsid w:val="00D922D0"/>
    <w:rsid w:val="00D92588"/>
    <w:rsid w:val="00D927FD"/>
    <w:rsid w:val="00D93176"/>
    <w:rsid w:val="00D931D4"/>
    <w:rsid w:val="00D94146"/>
    <w:rsid w:val="00D948DA"/>
    <w:rsid w:val="00D94F16"/>
    <w:rsid w:val="00D958A2"/>
    <w:rsid w:val="00D95B19"/>
    <w:rsid w:val="00D97AA4"/>
    <w:rsid w:val="00D97BE0"/>
    <w:rsid w:val="00D97EED"/>
    <w:rsid w:val="00DA0BFE"/>
    <w:rsid w:val="00DA112B"/>
    <w:rsid w:val="00DA1D68"/>
    <w:rsid w:val="00DA243C"/>
    <w:rsid w:val="00DA4D5C"/>
    <w:rsid w:val="00DA556D"/>
    <w:rsid w:val="00DA6F8F"/>
    <w:rsid w:val="00DA7477"/>
    <w:rsid w:val="00DB2054"/>
    <w:rsid w:val="00DB48B0"/>
    <w:rsid w:val="00DB5BD4"/>
    <w:rsid w:val="00DB5F96"/>
    <w:rsid w:val="00DB6F82"/>
    <w:rsid w:val="00DB7AD1"/>
    <w:rsid w:val="00DC27BC"/>
    <w:rsid w:val="00DC2B47"/>
    <w:rsid w:val="00DC5271"/>
    <w:rsid w:val="00DC5A29"/>
    <w:rsid w:val="00DD1BDA"/>
    <w:rsid w:val="00DD1F63"/>
    <w:rsid w:val="00DD2613"/>
    <w:rsid w:val="00DD3B46"/>
    <w:rsid w:val="00DD3D2F"/>
    <w:rsid w:val="00DD43FD"/>
    <w:rsid w:val="00DD4E5E"/>
    <w:rsid w:val="00DD54A9"/>
    <w:rsid w:val="00DD57DD"/>
    <w:rsid w:val="00DD7315"/>
    <w:rsid w:val="00DE3103"/>
    <w:rsid w:val="00DE4AFF"/>
    <w:rsid w:val="00DE4EC7"/>
    <w:rsid w:val="00DF1CF7"/>
    <w:rsid w:val="00DF23DA"/>
    <w:rsid w:val="00DF28EB"/>
    <w:rsid w:val="00DF3501"/>
    <w:rsid w:val="00DF38FD"/>
    <w:rsid w:val="00DF42C0"/>
    <w:rsid w:val="00DF4359"/>
    <w:rsid w:val="00DF5DA0"/>
    <w:rsid w:val="00DF698A"/>
    <w:rsid w:val="00DF7475"/>
    <w:rsid w:val="00E00D78"/>
    <w:rsid w:val="00E03F09"/>
    <w:rsid w:val="00E04659"/>
    <w:rsid w:val="00E04776"/>
    <w:rsid w:val="00E0524B"/>
    <w:rsid w:val="00E07642"/>
    <w:rsid w:val="00E12174"/>
    <w:rsid w:val="00E12DAD"/>
    <w:rsid w:val="00E13D0B"/>
    <w:rsid w:val="00E14DA2"/>
    <w:rsid w:val="00E153CE"/>
    <w:rsid w:val="00E15968"/>
    <w:rsid w:val="00E16F06"/>
    <w:rsid w:val="00E22A25"/>
    <w:rsid w:val="00E22F45"/>
    <w:rsid w:val="00E24436"/>
    <w:rsid w:val="00E26CE3"/>
    <w:rsid w:val="00E27BB5"/>
    <w:rsid w:val="00E30508"/>
    <w:rsid w:val="00E306B6"/>
    <w:rsid w:val="00E308E8"/>
    <w:rsid w:val="00E33C93"/>
    <w:rsid w:val="00E33F0A"/>
    <w:rsid w:val="00E34940"/>
    <w:rsid w:val="00E34E85"/>
    <w:rsid w:val="00E36DFD"/>
    <w:rsid w:val="00E403C8"/>
    <w:rsid w:val="00E40C10"/>
    <w:rsid w:val="00E41894"/>
    <w:rsid w:val="00E419D4"/>
    <w:rsid w:val="00E44965"/>
    <w:rsid w:val="00E44E1E"/>
    <w:rsid w:val="00E45641"/>
    <w:rsid w:val="00E46BEA"/>
    <w:rsid w:val="00E5086A"/>
    <w:rsid w:val="00E513E6"/>
    <w:rsid w:val="00E522E4"/>
    <w:rsid w:val="00E52A1A"/>
    <w:rsid w:val="00E55575"/>
    <w:rsid w:val="00E558BA"/>
    <w:rsid w:val="00E56698"/>
    <w:rsid w:val="00E56DD1"/>
    <w:rsid w:val="00E6060C"/>
    <w:rsid w:val="00E60A27"/>
    <w:rsid w:val="00E6141A"/>
    <w:rsid w:val="00E62F1B"/>
    <w:rsid w:val="00E63640"/>
    <w:rsid w:val="00E64DBC"/>
    <w:rsid w:val="00E66B95"/>
    <w:rsid w:val="00E672B1"/>
    <w:rsid w:val="00E70D6D"/>
    <w:rsid w:val="00E73388"/>
    <w:rsid w:val="00E73B97"/>
    <w:rsid w:val="00E80586"/>
    <w:rsid w:val="00E81FEA"/>
    <w:rsid w:val="00E8213A"/>
    <w:rsid w:val="00E83BBC"/>
    <w:rsid w:val="00E84DBA"/>
    <w:rsid w:val="00E85AE8"/>
    <w:rsid w:val="00E90806"/>
    <w:rsid w:val="00E9291C"/>
    <w:rsid w:val="00E944FF"/>
    <w:rsid w:val="00E947A1"/>
    <w:rsid w:val="00E9687E"/>
    <w:rsid w:val="00EA1AB9"/>
    <w:rsid w:val="00EA275F"/>
    <w:rsid w:val="00EA6637"/>
    <w:rsid w:val="00EA6BB5"/>
    <w:rsid w:val="00EA7414"/>
    <w:rsid w:val="00EB127A"/>
    <w:rsid w:val="00EB18CA"/>
    <w:rsid w:val="00EB24C7"/>
    <w:rsid w:val="00EB2D0E"/>
    <w:rsid w:val="00EB5F19"/>
    <w:rsid w:val="00EB7285"/>
    <w:rsid w:val="00EC0835"/>
    <w:rsid w:val="00EC29A2"/>
    <w:rsid w:val="00EC4918"/>
    <w:rsid w:val="00EC548B"/>
    <w:rsid w:val="00EC7266"/>
    <w:rsid w:val="00ED13E7"/>
    <w:rsid w:val="00ED2460"/>
    <w:rsid w:val="00ED3DC2"/>
    <w:rsid w:val="00ED6AFE"/>
    <w:rsid w:val="00ED6DDD"/>
    <w:rsid w:val="00ED7A2A"/>
    <w:rsid w:val="00EE01A0"/>
    <w:rsid w:val="00EE0BD4"/>
    <w:rsid w:val="00EE1457"/>
    <w:rsid w:val="00EE1530"/>
    <w:rsid w:val="00EE164E"/>
    <w:rsid w:val="00EE17ED"/>
    <w:rsid w:val="00EE27DD"/>
    <w:rsid w:val="00EE380A"/>
    <w:rsid w:val="00EE3FCD"/>
    <w:rsid w:val="00EE48AA"/>
    <w:rsid w:val="00EE5056"/>
    <w:rsid w:val="00EE624D"/>
    <w:rsid w:val="00EE7376"/>
    <w:rsid w:val="00EE7E8A"/>
    <w:rsid w:val="00EF1F39"/>
    <w:rsid w:val="00EF2F88"/>
    <w:rsid w:val="00EF44E4"/>
    <w:rsid w:val="00EF4B59"/>
    <w:rsid w:val="00EF5FB6"/>
    <w:rsid w:val="00EF7CF7"/>
    <w:rsid w:val="00F03931"/>
    <w:rsid w:val="00F04815"/>
    <w:rsid w:val="00F04AAF"/>
    <w:rsid w:val="00F102C3"/>
    <w:rsid w:val="00F1089F"/>
    <w:rsid w:val="00F11FC5"/>
    <w:rsid w:val="00F122F5"/>
    <w:rsid w:val="00F12F34"/>
    <w:rsid w:val="00F1302A"/>
    <w:rsid w:val="00F13D4A"/>
    <w:rsid w:val="00F13F71"/>
    <w:rsid w:val="00F147AE"/>
    <w:rsid w:val="00F147ED"/>
    <w:rsid w:val="00F14D79"/>
    <w:rsid w:val="00F15305"/>
    <w:rsid w:val="00F15C34"/>
    <w:rsid w:val="00F17DEC"/>
    <w:rsid w:val="00F208E3"/>
    <w:rsid w:val="00F2282E"/>
    <w:rsid w:val="00F25D63"/>
    <w:rsid w:val="00F2688F"/>
    <w:rsid w:val="00F27CE6"/>
    <w:rsid w:val="00F30311"/>
    <w:rsid w:val="00F30AF3"/>
    <w:rsid w:val="00F318A0"/>
    <w:rsid w:val="00F32F0F"/>
    <w:rsid w:val="00F33CD8"/>
    <w:rsid w:val="00F347DC"/>
    <w:rsid w:val="00F359ED"/>
    <w:rsid w:val="00F42898"/>
    <w:rsid w:val="00F42CC4"/>
    <w:rsid w:val="00F452D1"/>
    <w:rsid w:val="00F45D9C"/>
    <w:rsid w:val="00F47D4E"/>
    <w:rsid w:val="00F50E9B"/>
    <w:rsid w:val="00F52311"/>
    <w:rsid w:val="00F52663"/>
    <w:rsid w:val="00F52B94"/>
    <w:rsid w:val="00F5546C"/>
    <w:rsid w:val="00F555B5"/>
    <w:rsid w:val="00F55C6A"/>
    <w:rsid w:val="00F56373"/>
    <w:rsid w:val="00F567C7"/>
    <w:rsid w:val="00F60EA6"/>
    <w:rsid w:val="00F61197"/>
    <w:rsid w:val="00F61DB0"/>
    <w:rsid w:val="00F61E8C"/>
    <w:rsid w:val="00F6504B"/>
    <w:rsid w:val="00F65F6E"/>
    <w:rsid w:val="00F71F70"/>
    <w:rsid w:val="00F7258D"/>
    <w:rsid w:val="00F74530"/>
    <w:rsid w:val="00F76A2A"/>
    <w:rsid w:val="00F77A61"/>
    <w:rsid w:val="00F77EF8"/>
    <w:rsid w:val="00F77F4A"/>
    <w:rsid w:val="00F80BB0"/>
    <w:rsid w:val="00F80D70"/>
    <w:rsid w:val="00F839E0"/>
    <w:rsid w:val="00F85371"/>
    <w:rsid w:val="00F86C7D"/>
    <w:rsid w:val="00F86E36"/>
    <w:rsid w:val="00F90D51"/>
    <w:rsid w:val="00F90F35"/>
    <w:rsid w:val="00F911BA"/>
    <w:rsid w:val="00F91F66"/>
    <w:rsid w:val="00F9281F"/>
    <w:rsid w:val="00F93361"/>
    <w:rsid w:val="00F93B30"/>
    <w:rsid w:val="00F96627"/>
    <w:rsid w:val="00F967EA"/>
    <w:rsid w:val="00F97C15"/>
    <w:rsid w:val="00F97FB0"/>
    <w:rsid w:val="00FA0979"/>
    <w:rsid w:val="00FA1969"/>
    <w:rsid w:val="00FA226B"/>
    <w:rsid w:val="00FA2475"/>
    <w:rsid w:val="00FB029D"/>
    <w:rsid w:val="00FB1F13"/>
    <w:rsid w:val="00FB1FF6"/>
    <w:rsid w:val="00FB54B5"/>
    <w:rsid w:val="00FB6581"/>
    <w:rsid w:val="00FB6FF5"/>
    <w:rsid w:val="00FB7AF7"/>
    <w:rsid w:val="00FC0529"/>
    <w:rsid w:val="00FC32E8"/>
    <w:rsid w:val="00FC36D8"/>
    <w:rsid w:val="00FC66F8"/>
    <w:rsid w:val="00FC68FC"/>
    <w:rsid w:val="00FC72B6"/>
    <w:rsid w:val="00FD1269"/>
    <w:rsid w:val="00FD1479"/>
    <w:rsid w:val="00FD2313"/>
    <w:rsid w:val="00FD31A4"/>
    <w:rsid w:val="00FD3AD0"/>
    <w:rsid w:val="00FD6950"/>
    <w:rsid w:val="00FD6B40"/>
    <w:rsid w:val="00FD73CE"/>
    <w:rsid w:val="00FD795B"/>
    <w:rsid w:val="00FE08FA"/>
    <w:rsid w:val="00FE15ED"/>
    <w:rsid w:val="00FE260E"/>
    <w:rsid w:val="00FE2D92"/>
    <w:rsid w:val="00FE37E7"/>
    <w:rsid w:val="00FE3DC5"/>
    <w:rsid w:val="00FE45C7"/>
    <w:rsid w:val="00FE675C"/>
    <w:rsid w:val="00FE7551"/>
    <w:rsid w:val="00FE79AF"/>
    <w:rsid w:val="00FF0798"/>
    <w:rsid w:val="00FF13C2"/>
    <w:rsid w:val="00FF54A0"/>
    <w:rsid w:val="00FF6AF9"/>
    <w:rsid w:val="00FF6E4A"/>
    <w:rsid w:val="00FF73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4E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0621F"/>
    <w:pPr>
      <w:spacing w:after="240" w:line="240" w:lineRule="exact"/>
      <w:jc w:val="both"/>
    </w:pPr>
    <w:rPr>
      <w:rFonts w:ascii="Verdana" w:hAnsi="Verdana"/>
      <w:color w:val="000000"/>
      <w:sz w:val="18"/>
      <w:szCs w:val="18"/>
    </w:rPr>
  </w:style>
  <w:style w:type="paragraph" w:styleId="Kop1">
    <w:name w:val="heading 1"/>
    <w:basedOn w:val="Huisstijl-Kop1"/>
    <w:next w:val="Huisstijl-Kop2"/>
    <w:link w:val="Kop1Char"/>
    <w:uiPriority w:val="9"/>
    <w:qFormat/>
    <w:rsid w:val="00EA1AB9"/>
    <w:pPr>
      <w:numPr>
        <w:numId w:val="15"/>
      </w:numPr>
      <w:ind w:hanging="680"/>
      <w:outlineLvl w:val="0"/>
    </w:pPr>
    <w:rPr>
      <w:color w:val="00305B"/>
    </w:rPr>
  </w:style>
  <w:style w:type="paragraph" w:styleId="Kop2">
    <w:name w:val="heading 2"/>
    <w:basedOn w:val="Standaard"/>
    <w:next w:val="Standaard"/>
    <w:link w:val="Kop2Char"/>
    <w:uiPriority w:val="9"/>
    <w:unhideWhenUsed/>
    <w:qFormat/>
    <w:rsid w:val="008469E0"/>
    <w:pPr>
      <w:numPr>
        <w:ilvl w:val="1"/>
        <w:numId w:val="15"/>
      </w:numPr>
      <w:tabs>
        <w:tab w:val="left" w:pos="0"/>
      </w:tabs>
      <w:spacing w:before="240" w:after="0"/>
      <w:ind w:hanging="680"/>
      <w:outlineLvl w:val="1"/>
    </w:pPr>
    <w:rPr>
      <w:color w:val="00305B"/>
    </w:rPr>
  </w:style>
  <w:style w:type="paragraph" w:styleId="Kop3">
    <w:name w:val="heading 3"/>
    <w:basedOn w:val="Kop2"/>
    <w:next w:val="Standaard"/>
    <w:link w:val="Kop3Char"/>
    <w:uiPriority w:val="9"/>
    <w:unhideWhenUsed/>
    <w:qFormat/>
    <w:rsid w:val="00A7279B"/>
    <w:pPr>
      <w:numPr>
        <w:ilvl w:val="2"/>
      </w:numPr>
      <w:ind w:hanging="680"/>
      <w:jc w:val="left"/>
      <w:outlineLvl w:val="2"/>
    </w:pPr>
    <w:rPr>
      <w:i/>
      <w:iCs/>
    </w:rPr>
  </w:style>
  <w:style w:type="paragraph" w:styleId="Kop4">
    <w:name w:val="heading 4"/>
    <w:basedOn w:val="Standaard"/>
    <w:next w:val="Standaard"/>
    <w:link w:val="Kop4Char"/>
    <w:uiPriority w:val="9"/>
    <w:unhideWhenUsed/>
    <w:qFormat/>
    <w:rsid w:val="000E724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CIBGAdviesaanvraagLijst">
    <w:name w:val="CIBG Adviesaanvraag Lijst"/>
    <w:basedOn w:val="Standaard"/>
    <w:next w:val="Standaard"/>
    <w:pPr>
      <w:spacing w:after="60"/>
    </w:pPr>
    <w:rPr>
      <w:b/>
    </w:rPr>
  </w:style>
  <w:style w:type="paragraph" w:customStyle="1" w:styleId="CIBGAdviesaanvraagLijstKop1">
    <w:name w:val="CIBG Adviesaanvraag Lijst Kop 1"/>
    <w:basedOn w:val="Standaard"/>
    <w:next w:val="Standaard"/>
    <w:pPr>
      <w:numPr>
        <w:numId w:val="1"/>
      </w:numPr>
      <w:tabs>
        <w:tab w:val="num" w:pos="360"/>
      </w:tabs>
      <w:spacing w:after="60"/>
      <w:ind w:left="0" w:firstLine="0"/>
    </w:pPr>
    <w:rPr>
      <w:b/>
    </w:rPr>
  </w:style>
  <w:style w:type="paragraph" w:customStyle="1" w:styleId="CIBGAdviesaanvraagLijstKop2">
    <w:name w:val="CIBG Adviesaanvraag Lijst Kop 2"/>
    <w:basedOn w:val="Standaard"/>
    <w:next w:val="Standaard"/>
    <w:pPr>
      <w:numPr>
        <w:ilvl w:val="1"/>
        <w:numId w:val="1"/>
      </w:numPr>
      <w:spacing w:after="60"/>
    </w:pPr>
    <w:rPr>
      <w:b/>
    </w:rPr>
  </w:style>
  <w:style w:type="paragraph" w:customStyle="1" w:styleId="CIBGAdviesaanvraagondertekening">
    <w:name w:val="CIBG Adviesaanvraag ondertekening"/>
    <w:basedOn w:val="Standaard"/>
    <w:next w:val="Standaard"/>
    <w:pPr>
      <w:spacing w:before="240"/>
    </w:pPr>
  </w:style>
  <w:style w:type="paragraph" w:customStyle="1" w:styleId="CIBGBezwaarschriftenbrief">
    <w:name w:val="CIBG Bezwaarschriftenbrief"/>
    <w:basedOn w:val="Standaard"/>
    <w:next w:val="Standaard"/>
    <w:pPr>
      <w:spacing w:line="180" w:lineRule="exact"/>
    </w:pPr>
    <w:rPr>
      <w:i/>
      <w:sz w:val="14"/>
      <w:szCs w:val="14"/>
    </w:rPr>
  </w:style>
  <w:style w:type="paragraph" w:customStyle="1" w:styleId="CIBGBezwaarschriftenbriefV35">
    <w:name w:val="CIBG Bezwaarschriftenbrief V3;5"/>
    <w:basedOn w:val="Standaard"/>
    <w:next w:val="Standaard"/>
    <w:pPr>
      <w:spacing w:line="70" w:lineRule="exact"/>
    </w:pPr>
    <w:rPr>
      <w:i/>
      <w:sz w:val="14"/>
      <w:szCs w:val="14"/>
    </w:rPr>
  </w:style>
  <w:style w:type="paragraph" w:customStyle="1" w:styleId="CIBGVoorlegmemo">
    <w:name w:val="CIBG Voorlegmemo"/>
    <w:basedOn w:val="Standaard"/>
    <w:next w:val="Standaard"/>
    <w:rPr>
      <w:color w:val="EF0A0A"/>
    </w:rPr>
  </w:style>
  <w:style w:type="paragraph" w:customStyle="1" w:styleId="CIBGVoorlegmemoitalicV10">
    <w:name w:val="CIBG Voorlegmemo italic V10"/>
    <w:basedOn w:val="Standaard"/>
    <w:next w:val="Standaard"/>
    <w:rPr>
      <w:i/>
      <w:sz w:val="20"/>
      <w:szCs w:val="20"/>
    </w:rPr>
  </w:style>
  <w:style w:type="paragraph" w:customStyle="1" w:styleId="CIBGVoorlegmemoTitel">
    <w:name w:val="CIBG Voorlegmemo Titel"/>
    <w:basedOn w:val="Standaard"/>
    <w:next w:val="Standaard"/>
    <w:pPr>
      <w:spacing w:line="500" w:lineRule="exact"/>
    </w:pPr>
    <w:rPr>
      <w:sz w:val="48"/>
      <w:szCs w:val="48"/>
    </w:rPr>
  </w:style>
  <w:style w:type="paragraph" w:customStyle="1" w:styleId="CIBGAfzendgegevensbolditalic65">
    <w:name w:val="CIBG_Afzendgegevens_bold_italic_6.5"/>
    <w:basedOn w:val="Standaard"/>
    <w:next w:val="Standaard"/>
    <w:rPr>
      <w:b/>
      <w:i/>
      <w:sz w:val="13"/>
      <w:szCs w:val="13"/>
    </w:rPr>
  </w:style>
  <w:style w:type="paragraph" w:customStyle="1" w:styleId="CIBGDocumentnaamv14vet">
    <w:name w:val="CIBG_Documentnaam v14 vet"/>
    <w:basedOn w:val="Standaard"/>
    <w:next w:val="Standaard"/>
    <w:pPr>
      <w:spacing w:before="60"/>
    </w:pPr>
    <w:rPr>
      <w:b/>
      <w:sz w:val="28"/>
      <w:szCs w:val="28"/>
    </w:rPr>
  </w:style>
  <w:style w:type="paragraph" w:customStyle="1" w:styleId="Communicatiekop">
    <w:name w:val="Communicatie kop"/>
    <w:basedOn w:val="Standaard"/>
    <w:next w:val="Standaard"/>
    <w:pPr>
      <w:numPr>
        <w:numId w:val="3"/>
      </w:numPr>
    </w:pPr>
  </w:style>
  <w:style w:type="paragraph" w:customStyle="1" w:styleId="CommunicatieLijst">
    <w:name w:val="Communicatie Lijst"/>
    <w:basedOn w:val="Standaard"/>
    <w:next w:val="Communicatieopsommingkop1"/>
    <w:pPr>
      <w:ind w:firstLine="20"/>
    </w:pPr>
  </w:style>
  <w:style w:type="paragraph" w:customStyle="1" w:styleId="Communicatienummering">
    <w:name w:val="Communicatie nummering"/>
    <w:basedOn w:val="Standaard"/>
    <w:next w:val="Standaard"/>
  </w:style>
  <w:style w:type="paragraph" w:customStyle="1" w:styleId="Communicatieopsommingkop1">
    <w:name w:val="Communicatie opsomming kop 1"/>
    <w:basedOn w:val="Standaard"/>
    <w:pPr>
      <w:numPr>
        <w:numId w:val="2"/>
      </w:numPr>
      <w:ind w:firstLine="20"/>
    </w:pPr>
  </w:style>
  <w:style w:type="paragraph" w:customStyle="1" w:styleId="Huisstijl-Colofon">
    <w:name w:val="Huisstijl - Colofon"/>
    <w:basedOn w:val="Standaard"/>
    <w:next w:val="Standaard"/>
    <w:pPr>
      <w:numPr>
        <w:numId w:val="4"/>
      </w:numPr>
      <w:tabs>
        <w:tab w:val="left" w:pos="0"/>
      </w:tabs>
      <w:spacing w:after="740"/>
      <w:ind w:left="-1120"/>
    </w:pPr>
    <w:rPr>
      <w:sz w:val="24"/>
      <w:szCs w:val="24"/>
    </w:rPr>
  </w:style>
  <w:style w:type="paragraph" w:customStyle="1" w:styleId="Huisstijl-Extrasubtitel">
    <w:name w:val="Huisstijl - Extra subtitel"/>
    <w:basedOn w:val="Standaard"/>
    <w:next w:val="Standaard"/>
    <w:pPr>
      <w:spacing w:before="60" w:after="300"/>
    </w:pPr>
    <w:rPr>
      <w:sz w:val="24"/>
      <w:szCs w:val="24"/>
    </w:rPr>
  </w:style>
  <w:style w:type="paragraph" w:customStyle="1" w:styleId="Huisstijl-Inhoudsopgavekop">
    <w:name w:val="Huisstijl - Inhoudsopgave kop"/>
    <w:basedOn w:val="Standaard"/>
    <w:next w:val="Standaard"/>
    <w:pPr>
      <w:spacing w:after="720" w:line="300" w:lineRule="exact"/>
    </w:pPr>
  </w:style>
  <w:style w:type="paragraph" w:customStyle="1" w:styleId="Huisstijl-Kop1">
    <w:name w:val="Huisstijl - Kop 1"/>
    <w:basedOn w:val="Standaard"/>
    <w:next w:val="Standaard"/>
    <w:pPr>
      <w:numPr>
        <w:numId w:val="5"/>
      </w:numPr>
      <w:tabs>
        <w:tab w:val="left" w:pos="0"/>
      </w:tabs>
      <w:spacing w:after="720" w:line="300" w:lineRule="exact"/>
      <w:ind w:left="-1120"/>
    </w:pPr>
    <w:rPr>
      <w:sz w:val="24"/>
      <w:szCs w:val="24"/>
    </w:rPr>
  </w:style>
  <w:style w:type="paragraph" w:customStyle="1" w:styleId="Huisstijl-Kop2">
    <w:name w:val="Huisstijl - Kop 2"/>
    <w:basedOn w:val="Standaard"/>
    <w:next w:val="Standaard"/>
    <w:link w:val="Huisstijl-Kop2Char"/>
    <w:pPr>
      <w:numPr>
        <w:ilvl w:val="1"/>
        <w:numId w:val="5"/>
      </w:numPr>
      <w:tabs>
        <w:tab w:val="left" w:pos="0"/>
      </w:tabs>
      <w:spacing w:before="240"/>
      <w:ind w:left="-1120"/>
    </w:pPr>
    <w:rPr>
      <w:b/>
    </w:rPr>
  </w:style>
  <w:style w:type="paragraph" w:customStyle="1" w:styleId="Huisstijl-Kop3">
    <w:name w:val="Huisstijl - Kop 3"/>
    <w:basedOn w:val="Standaard"/>
    <w:next w:val="Standaard"/>
    <w:pPr>
      <w:numPr>
        <w:ilvl w:val="2"/>
        <w:numId w:val="5"/>
      </w:numPr>
      <w:tabs>
        <w:tab w:val="left" w:pos="0"/>
      </w:tabs>
      <w:spacing w:before="240"/>
      <w:ind w:left="-1120"/>
    </w:pPr>
    <w:rPr>
      <w:i/>
    </w:rPr>
  </w:style>
  <w:style w:type="paragraph" w:customStyle="1" w:styleId="Huisstijl-Kop4">
    <w:name w:val="Huisstijl - Kop 4"/>
    <w:basedOn w:val="Standaard"/>
    <w:next w:val="Standaard"/>
    <w:pPr>
      <w:numPr>
        <w:ilvl w:val="3"/>
        <w:numId w:val="5"/>
      </w:numPr>
      <w:tabs>
        <w:tab w:val="left" w:pos="0"/>
      </w:tabs>
      <w:spacing w:before="240"/>
      <w:ind w:left="-1120"/>
    </w:pPr>
  </w:style>
  <w:style w:type="paragraph" w:customStyle="1" w:styleId="Huisstijl-Subtitel">
    <w:name w:val="Huisstijl - Subtitel"/>
    <w:basedOn w:val="Standaard"/>
    <w:next w:val="Standaard"/>
    <w:pPr>
      <w:spacing w:before="240" w:after="360"/>
    </w:pPr>
    <w:rPr>
      <w:sz w:val="24"/>
      <w:szCs w:val="24"/>
    </w:rPr>
  </w:style>
  <w:style w:type="paragraph" w:customStyle="1" w:styleId="Huisstijl-TitelDocumentnaam">
    <w:name w:val="Huisstijl - Titel Documentnaam"/>
    <w:basedOn w:val="Standaard"/>
    <w:next w:val="Standaard"/>
    <w:pPr>
      <w:spacing w:before="60" w:after="300"/>
    </w:pPr>
    <w:rPr>
      <w:sz w:val="24"/>
      <w:szCs w:val="24"/>
    </w:rPr>
  </w:style>
  <w:style w:type="paragraph" w:customStyle="1" w:styleId="Huisstijl-Versie">
    <w:name w:val="Huisstijl - Versie"/>
    <w:basedOn w:val="Standaard"/>
    <w:next w:val="Standaard"/>
    <w:pPr>
      <w:spacing w:before="60" w:after="360"/>
    </w:pPr>
  </w:style>
  <w:style w:type="paragraph" w:customStyle="1" w:styleId="HuisstijlInhoudsopgavecolofoneninleiding">
    <w:name w:val="Huisstijl Inhoudsopgave colofon en inleiding"/>
    <w:basedOn w:val="Standaard"/>
    <w:next w:val="Standaard"/>
  </w:style>
  <w:style w:type="paragraph" w:customStyle="1" w:styleId="Huisstijlnummering">
    <w:name w:val="Huisstijl nummering"/>
    <w:basedOn w:val="Standaard"/>
    <w:next w:val="Standaard"/>
    <w:pPr>
      <w:tabs>
        <w:tab w:val="left" w:pos="0"/>
      </w:tabs>
      <w:ind w:left="-1120"/>
    </w:pPr>
  </w:style>
  <w:style w:type="paragraph" w:customStyle="1" w:styleId="IGJAgenda">
    <w:name w:val="IGJ Agenda"/>
    <w:basedOn w:val="Standaard"/>
    <w:next w:val="Standaard"/>
  </w:style>
  <w:style w:type="paragraph" w:customStyle="1" w:styleId="IGJMinuteVerdana7">
    <w:name w:val="IGJ Minute Verdana 7"/>
    <w:basedOn w:val="Standaard"/>
    <w:next w:val="Standaard"/>
    <w:rPr>
      <w:sz w:val="14"/>
      <w:szCs w:val="14"/>
    </w:rPr>
  </w:style>
  <w:style w:type="paragraph" w:customStyle="1" w:styleId="IGJNotaterbesluitvorming">
    <w:name w:val="IGJ Nota ter besluitvorming"/>
    <w:basedOn w:val="Standaard"/>
    <w:next w:val="Standaard"/>
    <w:pPr>
      <w:numPr>
        <w:ilvl w:val="1"/>
        <w:numId w:val="7"/>
      </w:numPr>
    </w:pPr>
  </w:style>
  <w:style w:type="paragraph" w:customStyle="1" w:styleId="IGJNotaterbesluitvorming-">
    <w:name w:val="IGJ Nota ter besluitvorming -"/>
    <w:basedOn w:val="Standaard"/>
    <w:next w:val="Standaard"/>
    <w:pPr>
      <w:numPr>
        <w:numId w:val="7"/>
      </w:numPr>
    </w:pPr>
  </w:style>
  <w:style w:type="paragraph" w:customStyle="1" w:styleId="IGJNotaterbesluitvorminglijst">
    <w:name w:val="IGJ Nota ter besluitvorming lijst"/>
    <w:basedOn w:val="Standaard"/>
    <w:next w:val="Standaard"/>
  </w:style>
  <w:style w:type="table" w:customStyle="1" w:styleId="IGJTabelVoor">
    <w:name w:val="IGJ Tabel Voor"/>
    <w:rPr>
      <w:rFonts w:ascii="Verdana" w:hAnsi="Verdana"/>
      <w:color w:val="000000"/>
      <w:sz w:val="18"/>
      <w:szCs w:val="18"/>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tcPr>
      <w:shd w:val="clear" w:color="auto" w:fill="auto"/>
    </w:tcPr>
  </w:style>
  <w:style w:type="paragraph" w:customStyle="1" w:styleId="IGJVerdana9boldv12">
    <w:name w:val="IGJ Verdana 9 bold v12"/>
    <w:basedOn w:val="Standaard"/>
    <w:next w:val="Standaard"/>
    <w:pPr>
      <w:numPr>
        <w:numId w:val="6"/>
      </w:numPr>
      <w:spacing w:before="240"/>
    </w:pPr>
    <w:rPr>
      <w:b/>
    </w:rPr>
  </w:style>
  <w:style w:type="paragraph" w:customStyle="1" w:styleId="IGJVoorhang">
    <w:name w:val="IGJ Voorhang"/>
    <w:basedOn w:val="Standaard"/>
    <w:next w:val="Standaard"/>
  </w:style>
  <w:style w:type="paragraph" w:customStyle="1" w:styleId="IGJVoorhangv7">
    <w:name w:val="IGJ Voorhang v7"/>
    <w:basedOn w:val="Standaard"/>
    <w:next w:val="Standaard"/>
    <w:rPr>
      <w:sz w:val="14"/>
      <w:szCs w:val="14"/>
    </w:rPr>
  </w:style>
  <w:style w:type="paragraph" w:customStyle="1" w:styleId="IGJVoorhangv7b">
    <w:name w:val="IGJ Voorhang v7 b"/>
    <w:basedOn w:val="Standaard"/>
    <w:next w:val="Standaard"/>
    <w:rPr>
      <w:b/>
      <w:sz w:val="14"/>
      <w:szCs w:val="14"/>
    </w:rPr>
  </w:style>
  <w:style w:type="paragraph" w:customStyle="1" w:styleId="IGJVoorhangnota">
    <w:name w:val="IGJ Voorhangnota"/>
    <w:basedOn w:val="Standaard"/>
    <w:next w:val="Standaard"/>
    <w:pPr>
      <w:numPr>
        <w:numId w:val="8"/>
      </w:numPr>
      <w:spacing w:before="600" w:after="300" w:line="300" w:lineRule="exact"/>
    </w:pPr>
    <w:rPr>
      <w:sz w:val="24"/>
      <w:szCs w:val="24"/>
    </w:rPr>
  </w:style>
  <w:style w:type="paragraph" w:customStyle="1" w:styleId="IGJVoorhangnota11">
    <w:name w:val="IGJ Voorhangnota 1.1"/>
    <w:basedOn w:val="Standaard"/>
    <w:next w:val="Standaard"/>
    <w:pPr>
      <w:numPr>
        <w:ilvl w:val="1"/>
        <w:numId w:val="8"/>
      </w:numPr>
      <w:spacing w:before="200"/>
    </w:pPr>
    <w:rPr>
      <w:b/>
    </w:rPr>
  </w:style>
  <w:style w:type="paragraph" w:customStyle="1" w:styleId="IGJVoorhangnotaLijst">
    <w:name w:val="IGJ Voorhangnota Lijst"/>
    <w:basedOn w:val="Standaard"/>
    <w:next w:val="Standaard"/>
    <w:pPr>
      <w:spacing w:before="200"/>
    </w:pPr>
    <w:rPr>
      <w:b/>
    </w:rPr>
  </w:style>
  <w:style w:type="paragraph" w:customStyle="1" w:styleId="IJZPlanvanAanpaknummer">
    <w:name w:val="IJZ Plan van Aanpak nummer"/>
    <w:basedOn w:val="Standaard"/>
    <w:next w:val="Standaard"/>
    <w:pPr>
      <w:numPr>
        <w:numId w:val="9"/>
      </w:numPr>
      <w:spacing w:before="240"/>
    </w:pPr>
    <w:rPr>
      <w:b/>
    </w:rPr>
  </w:style>
  <w:style w:type="paragraph" w:customStyle="1" w:styleId="IJZPlanvanAanpaknummering">
    <w:name w:val="IJZ Plan van Aanpak nummering"/>
    <w:basedOn w:val="Standaard"/>
    <w:next w:val="Standaard"/>
    <w:pPr>
      <w:spacing w:before="240"/>
    </w:pPr>
    <w:rPr>
      <w:b/>
    </w:rPr>
  </w:style>
  <w:style w:type="paragraph" w:customStyle="1" w:styleId="IJZRapportA">
    <w:name w:val="IJZ Rapport A"/>
    <w:basedOn w:val="Standaard"/>
    <w:next w:val="Standaard"/>
    <w:pPr>
      <w:spacing w:before="240"/>
    </w:pPr>
    <w:rPr>
      <w:b/>
    </w:rPr>
  </w:style>
  <w:style w:type="paragraph" w:customStyle="1" w:styleId="IJZUitvoeringsplan">
    <w:name w:val="IJZ Uitvoeringsplan"/>
    <w:basedOn w:val="Standaard"/>
    <w:next w:val="Standaard"/>
    <w:pPr>
      <w:numPr>
        <w:ilvl w:val="1"/>
        <w:numId w:val="9"/>
      </w:numPr>
      <w:spacing w:before="240"/>
    </w:pPr>
    <w:rPr>
      <w:b/>
    </w:rPr>
  </w:style>
  <w:style w:type="paragraph" w:styleId="Inhopg1">
    <w:name w:val="toc 1"/>
    <w:basedOn w:val="Standaard"/>
    <w:next w:val="Standaard"/>
    <w:uiPriority w:val="39"/>
    <w:rsid w:val="00004255"/>
    <w:pPr>
      <w:tabs>
        <w:tab w:val="left" w:pos="0"/>
      </w:tabs>
      <w:spacing w:before="240"/>
      <w:ind w:left="709" w:hanging="709"/>
    </w:pPr>
    <w:rPr>
      <w:b/>
    </w:rPr>
  </w:style>
  <w:style w:type="paragraph" w:styleId="Inhopg2">
    <w:name w:val="toc 2"/>
    <w:basedOn w:val="Inhopg1"/>
    <w:next w:val="Standaard"/>
    <w:uiPriority w:val="39"/>
    <w:rsid w:val="003B5C4C"/>
    <w:pPr>
      <w:spacing w:before="0" w:after="0"/>
    </w:pPr>
    <w:rPr>
      <w:b w:val="0"/>
    </w:rPr>
  </w:style>
  <w:style w:type="paragraph" w:styleId="Inhopg3">
    <w:name w:val="toc 3"/>
    <w:basedOn w:val="Inhopg2"/>
    <w:next w:val="Standaard"/>
    <w:uiPriority w:val="39"/>
    <w:pPr>
      <w:ind w:left="-1120"/>
    </w:pPr>
    <w:rPr>
      <w:b/>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pPr>
      <w:numPr>
        <w:numId w:val="10"/>
      </w:numPr>
    </w:pPr>
  </w:style>
  <w:style w:type="paragraph" w:customStyle="1" w:styleId="Lijstniveau2">
    <w:name w:val="Lijst niveau 2"/>
    <w:basedOn w:val="Standaard"/>
    <w:pPr>
      <w:numPr>
        <w:ilvl w:val="1"/>
        <w:numId w:val="10"/>
      </w:numPr>
    </w:pPr>
  </w:style>
  <w:style w:type="paragraph" w:customStyle="1" w:styleId="Lijstniveau3">
    <w:name w:val="Lijst niveau 3"/>
    <w:basedOn w:val="Standaard"/>
    <w:pPr>
      <w:numPr>
        <w:ilvl w:val="2"/>
        <w:numId w:val="10"/>
      </w:numPr>
    </w:pPr>
  </w:style>
  <w:style w:type="paragraph" w:customStyle="1" w:styleId="OndertekeningArea1">
    <w:name w:val="Ondertekening_Area1"/>
    <w:basedOn w:val="Standaard"/>
    <w:next w:val="Standaard"/>
    <w:pPr>
      <w:spacing w:before="240"/>
    </w:p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Standaard12pvoor">
    <w:name w:val="Standaard 12p voor"/>
    <w:basedOn w:val="Standaard"/>
    <w:next w:val="Standaard"/>
    <w:pPr>
      <w:spacing w:before="240"/>
    </w:pPr>
  </w:style>
  <w:style w:type="table" w:customStyle="1" w:styleId="StandaardRapportTabelstijl">
    <w:name w:val="Standaard Rapport Tabelstijl"/>
    <w:pPr>
      <w:tabs>
        <w:tab w:val="left" w:pos="0"/>
      </w:tabs>
    </w:pPr>
    <w:rPr>
      <w:rFonts w:ascii="Verdana" w:hAnsi="Verdana"/>
      <w:color w:val="000000"/>
      <w:sz w:val="18"/>
      <w:szCs w:val="18"/>
    </w:rPr>
    <w:tblPr>
      <w:tblCellMar>
        <w:top w:w="20" w:type="dxa"/>
        <w:left w:w="0" w:type="dxa"/>
        <w:bottom w:w="20" w:type="dxa"/>
        <w:right w:w="0" w:type="dxa"/>
      </w:tblCellMar>
    </w:tblPr>
    <w:tcPr>
      <w:shd w:val="clear" w:color="auto" w:fill="auto"/>
    </w:tcPr>
  </w:style>
  <w:style w:type="paragraph" w:customStyle="1" w:styleId="StandaardV7">
    <w:name w:val="Standaard V7"/>
    <w:basedOn w:val="Standaard"/>
    <w:next w:val="Standaard"/>
    <w:pPr>
      <w:spacing w:line="180" w:lineRule="exact"/>
    </w:pPr>
    <w:rPr>
      <w:sz w:val="14"/>
      <w:szCs w:val="14"/>
    </w:rPr>
  </w:style>
  <w:style w:type="paragraph" w:customStyle="1" w:styleId="StandaardAanhef">
    <w:name w:val="Standaard_Aanhef"/>
    <w:basedOn w:val="Standaard"/>
    <w:next w:val="Standaard"/>
    <w:pPr>
      <w:spacing w:before="100"/>
    </w:pPr>
  </w:style>
  <w:style w:type="paragraph" w:customStyle="1" w:styleId="StandaardAfzendgegevens">
    <w:name w:val="Standaard_Afzendgegevens"/>
    <w:basedOn w:val="Standaard"/>
    <w:next w:val="Standaard"/>
    <w:pPr>
      <w:tabs>
        <w:tab w:val="left" w:pos="2267"/>
      </w:tabs>
      <w:spacing w:line="180" w:lineRule="exact"/>
    </w:pPr>
    <w:rPr>
      <w:sz w:val="13"/>
      <w:szCs w:val="13"/>
    </w:rPr>
  </w:style>
  <w:style w:type="paragraph" w:customStyle="1" w:styleId="Standaardafzendgegevensitalic">
    <w:name w:val="Standaard_afzendgegevens_italic"/>
    <w:basedOn w:val="Standaard"/>
    <w:next w:val="Standaard"/>
    <w:rPr>
      <w:i/>
      <w:sz w:val="13"/>
      <w:szCs w:val="13"/>
    </w:rPr>
  </w:style>
  <w:style w:type="paragraph" w:customStyle="1" w:styleId="StandaardAfzendgegevenskop">
    <w:name w:val="Standaard_Afzendgegevens_kop"/>
    <w:basedOn w:val="Standaard"/>
    <w:next w:val="Standaard"/>
    <w:pPr>
      <w:spacing w:line="180" w:lineRule="exact"/>
    </w:pPr>
    <w:rPr>
      <w:b/>
      <w:sz w:val="13"/>
      <w:szCs w:val="13"/>
    </w:rPr>
  </w:style>
  <w:style w:type="paragraph" w:customStyle="1" w:styleId="StandaardColofonItalic45v">
    <w:name w:val="Standaard_Colofon_Italic 4;5v"/>
    <w:basedOn w:val="Standaard"/>
    <w:next w:val="Standaard"/>
    <w:pPr>
      <w:spacing w:before="90" w:line="180" w:lineRule="exact"/>
    </w:pPr>
    <w:rPr>
      <w:i/>
      <w:sz w:val="13"/>
      <w:szCs w:val="13"/>
    </w:r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Cursief">
    <w:name w:val="Standaard_Referentiegegevens_Cursief"/>
    <w:basedOn w:val="StandaardReferentiegegevens"/>
    <w:next w:val="Standaard"/>
    <w:rPr>
      <w:i/>
    </w:rPr>
  </w:style>
  <w:style w:type="paragraph" w:customStyle="1" w:styleId="StandaardReferentiegegevenskop">
    <w:name w:val="Standaard_Referentiegegevens_kop"/>
    <w:basedOn w:val="Standaard"/>
    <w:next w:val="Standaard"/>
    <w:rPr>
      <w:b/>
      <w:sz w:val="13"/>
      <w:szCs w:val="13"/>
    </w:rPr>
  </w:style>
  <w:style w:type="paragraph" w:customStyle="1" w:styleId="StandaardSlotzin">
    <w:name w:val="Standaard_Slotzin"/>
    <w:basedOn w:val="Standaard"/>
    <w:next w:val="Standaard"/>
    <w:pPr>
      <w:spacing w:before="240"/>
    </w:pPr>
  </w:style>
  <w:style w:type="paragraph" w:customStyle="1" w:styleId="StandaardV9Italic">
    <w:name w:val="Standaard_V9_Italic"/>
    <w:basedOn w:val="Standaard"/>
    <w:next w:val="Standaard"/>
    <w:rPr>
      <w:i/>
    </w:rPr>
  </w:style>
  <w:style w:type="paragraph" w:customStyle="1" w:styleId="Standaardlijst">
    <w:name w:val="Standaardlijst"/>
  </w:style>
  <w:style w:type="table" w:customStyle="1" w:styleId="TabelMinuut">
    <w:name w:val="Tabel Minuut"/>
    <w:rPr>
      <w:rFonts w:ascii="Verdana" w:hAnsi="Verdana"/>
      <w:color w:val="000000"/>
      <w:sz w:val="13"/>
      <w:szCs w:val="13"/>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VWSAdviesMinisterraad1">
    <w:name w:val="VWS Advies Ministerraad 1"/>
    <w:basedOn w:val="Standaard"/>
    <w:next w:val="Standaard"/>
    <w:pPr>
      <w:numPr>
        <w:numId w:val="11"/>
      </w:numPr>
    </w:pPr>
    <w:rPr>
      <w:b/>
    </w:rPr>
  </w:style>
  <w:style w:type="paragraph" w:customStyle="1" w:styleId="VWSAdviesMinisterraad2">
    <w:name w:val="VWS Advies Ministerraad 2"/>
    <w:basedOn w:val="Standaard"/>
    <w:next w:val="Standaard"/>
    <w:pPr>
      <w:numPr>
        <w:ilvl w:val="1"/>
        <w:numId w:val="11"/>
      </w:numPr>
    </w:pPr>
  </w:style>
  <w:style w:type="paragraph" w:customStyle="1" w:styleId="VWSAdviesMinisterraad3">
    <w:name w:val="VWS Advies Ministerraad 3"/>
    <w:basedOn w:val="Standaard"/>
    <w:next w:val="Standaard"/>
    <w:pPr>
      <w:numPr>
        <w:ilvl w:val="2"/>
        <w:numId w:val="11"/>
      </w:numPr>
    </w:pPr>
    <w:rPr>
      <w:b/>
    </w:rPr>
  </w:style>
  <w:style w:type="paragraph" w:customStyle="1" w:styleId="VWSAdviesMinisterraad4">
    <w:name w:val="VWS Advies Ministerraad 4"/>
    <w:basedOn w:val="Standaard"/>
    <w:next w:val="Standaard"/>
    <w:pPr>
      <w:numPr>
        <w:ilvl w:val="3"/>
        <w:numId w:val="11"/>
      </w:numPr>
    </w:pPr>
  </w:style>
  <w:style w:type="paragraph" w:customStyle="1" w:styleId="VWSAdviesMinisterraadnummering">
    <w:name w:val="VWS Advies Ministerraad nummering"/>
    <w:basedOn w:val="Standaard"/>
    <w:next w:val="Standaard"/>
    <w:rPr>
      <w:b/>
    </w:rPr>
  </w:style>
  <w:style w:type="paragraph" w:customStyle="1" w:styleId="VWSAMvB">
    <w:name w:val="VWS AMvB"/>
    <w:basedOn w:val="Standaard"/>
    <w:next w:val="Standaard"/>
    <w:pPr>
      <w:spacing w:before="480"/>
    </w:pPr>
  </w:style>
  <w:style w:type="paragraph" w:customStyle="1" w:styleId="VWSBlauweBrief">
    <w:name w:val="VWS Blauwe Brief"/>
    <w:basedOn w:val="Standaard"/>
    <w:next w:val="Standaard"/>
    <w:pPr>
      <w:spacing w:before="760"/>
    </w:pPr>
  </w:style>
  <w:style w:type="paragraph" w:customStyle="1" w:styleId="VWSColofonItalic65Bold">
    <w:name w:val="VWS Colofon Italic 6;5 Bold"/>
    <w:basedOn w:val="Standaard"/>
    <w:next w:val="Standaard"/>
    <w:pPr>
      <w:spacing w:line="180" w:lineRule="exact"/>
    </w:pPr>
    <w:rPr>
      <w:b/>
      <w:i/>
      <w:sz w:val="13"/>
      <w:szCs w:val="13"/>
    </w:rPr>
  </w:style>
  <w:style w:type="paragraph" w:customStyle="1" w:styleId="VWSColofontekst65Italic">
    <w:name w:val="VWS Colofontekst 6;5 Italic"/>
    <w:basedOn w:val="Standaard"/>
    <w:next w:val="Standaard"/>
    <w:pPr>
      <w:spacing w:line="180" w:lineRule="exact"/>
    </w:pPr>
    <w:rPr>
      <w:i/>
      <w:sz w:val="13"/>
      <w:szCs w:val="13"/>
    </w:rPr>
  </w:style>
  <w:style w:type="paragraph" w:customStyle="1" w:styleId="VWSFormulierAntwoordenKamervragenRechts">
    <w:name w:val="VWS Formulier Antwoorden Kamervragen Rechts"/>
    <w:basedOn w:val="Standaard"/>
    <w:next w:val="Standaard"/>
    <w:pPr>
      <w:jc w:val="right"/>
    </w:pPr>
  </w:style>
  <w:style w:type="paragraph" w:customStyle="1" w:styleId="VWSNtb">
    <w:name w:val="VWS Ntb"/>
    <w:basedOn w:val="Standaard"/>
    <w:next w:val="Standaard"/>
    <w:pPr>
      <w:numPr>
        <w:ilvl w:val="1"/>
        <w:numId w:val="13"/>
      </w:numPr>
    </w:pPr>
  </w:style>
  <w:style w:type="paragraph" w:customStyle="1" w:styleId="VWSNtb-inspringen">
    <w:name w:val="VWS Ntb - inspringen"/>
    <w:basedOn w:val="Standaard"/>
    <w:next w:val="Standaard"/>
    <w:pPr>
      <w:numPr>
        <w:ilvl w:val="2"/>
        <w:numId w:val="13"/>
      </w:numPr>
    </w:pPr>
  </w:style>
  <w:style w:type="paragraph" w:customStyle="1" w:styleId="VWSNtb-inspringenkliknummer">
    <w:name w:val="VWS Ntb - inspringen klik nummer"/>
    <w:basedOn w:val="Standaard"/>
    <w:next w:val="Standaard"/>
  </w:style>
  <w:style w:type="paragraph" w:customStyle="1" w:styleId="VWSNtbinspringenklik">
    <w:name w:val="VWS Ntb inspringen klik"/>
    <w:basedOn w:val="Standaard"/>
    <w:next w:val="Standaard"/>
    <w:pPr>
      <w:numPr>
        <w:numId w:val="12"/>
      </w:numPr>
    </w:pPr>
  </w:style>
  <w:style w:type="paragraph" w:customStyle="1" w:styleId="VWSNtbKop">
    <w:name w:val="VWS Ntb Kop"/>
    <w:basedOn w:val="Standaard"/>
    <w:next w:val="Standaard"/>
    <w:pPr>
      <w:numPr>
        <w:numId w:val="13"/>
      </w:numPr>
    </w:pPr>
    <w:rPr>
      <w:b/>
    </w:rPr>
  </w:style>
  <w:style w:type="paragraph" w:customStyle="1" w:styleId="VWSNtbnummering">
    <w:name w:val="VWS Ntb nummering"/>
    <w:basedOn w:val="Standaard"/>
    <w:next w:val="Standaard"/>
  </w:style>
  <w:style w:type="paragraph" w:customStyle="1" w:styleId="VWSStartnota">
    <w:name w:val="VWS Startnota"/>
    <w:basedOn w:val="Standaard"/>
    <w:next w:val="Standaard"/>
  </w:style>
  <w:style w:type="paragraph" w:customStyle="1" w:styleId="VWSStartnotaKop1">
    <w:name w:val="VWS Startnota Kop 1"/>
    <w:basedOn w:val="Standaard"/>
    <w:next w:val="Standaard"/>
    <w:pPr>
      <w:numPr>
        <w:numId w:val="14"/>
      </w:numPr>
    </w:pPr>
    <w:rPr>
      <w:b/>
    </w:rPr>
  </w:style>
  <w:style w:type="paragraph" w:customStyle="1" w:styleId="VWSStartnotaV10">
    <w:name w:val="VWS Startnota V10"/>
    <w:basedOn w:val="Standaard"/>
    <w:next w:val="Standaard"/>
    <w:rPr>
      <w:sz w:val="20"/>
      <w:szCs w:val="20"/>
    </w:rPr>
  </w:style>
  <w:style w:type="paragraph" w:customStyle="1" w:styleId="VWSStartnotaV8italic">
    <w:name w:val="VWS Startnota V8 italic"/>
    <w:basedOn w:val="Standaard"/>
    <w:next w:val="Standaard"/>
    <w:rPr>
      <w:i/>
      <w:sz w:val="16"/>
      <w:szCs w:val="16"/>
    </w:rPr>
  </w:style>
  <w:style w:type="paragraph" w:customStyle="1" w:styleId="VWSToespraakbodytekstV14">
    <w:name w:val="VWS Toespraak bodytekst V14"/>
    <w:basedOn w:val="Standaard"/>
    <w:next w:val="Standaard"/>
    <w:pPr>
      <w:spacing w:before="240"/>
    </w:pPr>
    <w:rPr>
      <w:sz w:val="28"/>
      <w:szCs w:val="28"/>
    </w:rPr>
  </w:style>
  <w:style w:type="paragraph" w:customStyle="1" w:styleId="VWSToespraaksubtitel">
    <w:name w:val="VWS Toespraak subtitel"/>
    <w:basedOn w:val="Standaard"/>
    <w:next w:val="Standaard"/>
    <w:pPr>
      <w:spacing w:after="220" w:line="320" w:lineRule="exact"/>
    </w:pPr>
    <w:rPr>
      <w:sz w:val="24"/>
      <w:szCs w:val="24"/>
    </w:rPr>
  </w:style>
  <w:style w:type="paragraph" w:customStyle="1" w:styleId="VWSToespraakTitel">
    <w:name w:val="VWS Toespraak Titel"/>
    <w:basedOn w:val="Standaard"/>
    <w:next w:val="Standaard"/>
    <w:pPr>
      <w:spacing w:before="460" w:line="320" w:lineRule="exact"/>
    </w:pPr>
    <w:rPr>
      <w:b/>
      <w:sz w:val="24"/>
      <w:szCs w:val="24"/>
    </w:rPr>
  </w:style>
  <w:style w:type="paragraph" w:customStyle="1" w:styleId="VWSUitnodigingV65">
    <w:name w:val="VWS Uitnodiging V6;5"/>
    <w:basedOn w:val="Standaard"/>
    <w:next w:val="Standaard"/>
    <w:rPr>
      <w:sz w:val="13"/>
      <w:szCs w:val="13"/>
    </w:rPr>
  </w:style>
  <w:style w:type="paragraph" w:customStyle="1" w:styleId="VWSVoordrachtDatum">
    <w:name w:val="VWS Voordracht Datum"/>
    <w:basedOn w:val="Standaard"/>
    <w:next w:val="Standaard"/>
    <w:pPr>
      <w:spacing w:before="270" w:line="180" w:lineRule="exact"/>
    </w:pPr>
    <w:rPr>
      <w:b/>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character" w:customStyle="1" w:styleId="Kop1Char">
    <w:name w:val="Kop 1 Char"/>
    <w:basedOn w:val="Standaardalinea-lettertype"/>
    <w:link w:val="Kop1"/>
    <w:uiPriority w:val="9"/>
    <w:rsid w:val="00EA1AB9"/>
    <w:rPr>
      <w:rFonts w:ascii="Verdana" w:hAnsi="Verdana"/>
      <w:color w:val="00305B"/>
      <w:sz w:val="24"/>
      <w:szCs w:val="24"/>
    </w:rPr>
  </w:style>
  <w:style w:type="character" w:customStyle="1" w:styleId="Kop2Char">
    <w:name w:val="Kop 2 Char"/>
    <w:basedOn w:val="Standaardalinea-lettertype"/>
    <w:link w:val="Kop2"/>
    <w:uiPriority w:val="9"/>
    <w:rsid w:val="008469E0"/>
    <w:rPr>
      <w:rFonts w:ascii="Verdana" w:hAnsi="Verdana"/>
      <w:color w:val="00305B"/>
      <w:sz w:val="18"/>
      <w:szCs w:val="18"/>
    </w:rPr>
  </w:style>
  <w:style w:type="paragraph" w:styleId="Lijstalinea">
    <w:name w:val="List Paragraph"/>
    <w:basedOn w:val="Standaard"/>
    <w:link w:val="LijstalineaChar"/>
    <w:uiPriority w:val="34"/>
    <w:qFormat/>
    <w:rsid w:val="00FF73B8"/>
    <w:pPr>
      <w:ind w:left="720"/>
      <w:contextualSpacing/>
    </w:pPr>
  </w:style>
  <w:style w:type="character" w:customStyle="1" w:styleId="Kop3Char">
    <w:name w:val="Kop 3 Char"/>
    <w:basedOn w:val="Standaardalinea-lettertype"/>
    <w:link w:val="Kop3"/>
    <w:uiPriority w:val="9"/>
    <w:rsid w:val="00A7279B"/>
    <w:rPr>
      <w:rFonts w:ascii="Verdana" w:hAnsi="Verdana"/>
      <w:i/>
      <w:iCs/>
      <w:color w:val="00305B"/>
      <w:sz w:val="18"/>
      <w:szCs w:val="18"/>
    </w:rPr>
  </w:style>
  <w:style w:type="table" w:styleId="Tabelraster">
    <w:name w:val="Table Grid"/>
    <w:basedOn w:val="Standaardtabel"/>
    <w:uiPriority w:val="39"/>
    <w:rsid w:val="00507C02"/>
    <w:pPr>
      <w:autoSpaceDN/>
      <w:textAlignment w:val="auto"/>
    </w:pPr>
    <w:rPr>
      <w:rFonts w:ascii="Verdana" w:eastAsiaTheme="minorHAnsi" w:hAnsi="Verdana" w:cstheme="minorBidi"/>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jezondernummering">
    <w:name w:val="Kopje zonder nummering"/>
    <w:basedOn w:val="Huisstijl-Kop2"/>
    <w:link w:val="KopjezondernummeringChar"/>
    <w:qFormat/>
    <w:rsid w:val="007B3754"/>
    <w:pPr>
      <w:numPr>
        <w:ilvl w:val="0"/>
        <w:numId w:val="0"/>
      </w:numPr>
      <w:spacing w:after="0"/>
    </w:pPr>
    <w:rPr>
      <w:b w:val="0"/>
      <w:bCs/>
      <w:color w:val="00305B"/>
    </w:rPr>
  </w:style>
  <w:style w:type="character" w:customStyle="1" w:styleId="Huisstijl-Kop2Char">
    <w:name w:val="Huisstijl - Kop 2 Char"/>
    <w:basedOn w:val="Standaardalinea-lettertype"/>
    <w:link w:val="Huisstijl-Kop2"/>
    <w:rsid w:val="00507C02"/>
    <w:rPr>
      <w:rFonts w:ascii="Verdana" w:hAnsi="Verdana"/>
      <w:b/>
      <w:color w:val="000000"/>
      <w:sz w:val="18"/>
      <w:szCs w:val="18"/>
    </w:rPr>
  </w:style>
  <w:style w:type="character" w:customStyle="1" w:styleId="KopjezondernummeringChar">
    <w:name w:val="Kopje zonder nummering Char"/>
    <w:basedOn w:val="Huisstijl-Kop2Char"/>
    <w:link w:val="Kopjezondernummering"/>
    <w:rsid w:val="007B3754"/>
    <w:rPr>
      <w:rFonts w:ascii="Verdana" w:hAnsi="Verdana"/>
      <w:b w:val="0"/>
      <w:bCs/>
      <w:color w:val="00305B"/>
      <w:sz w:val="18"/>
      <w:szCs w:val="18"/>
    </w:rPr>
  </w:style>
  <w:style w:type="paragraph" w:styleId="Kopvaninhoudsopgave">
    <w:name w:val="TOC Heading"/>
    <w:basedOn w:val="Kop1"/>
    <w:next w:val="Standaard"/>
    <w:uiPriority w:val="39"/>
    <w:unhideWhenUsed/>
    <w:qFormat/>
    <w:rsid w:val="000D6ADE"/>
    <w:pPr>
      <w:keepNext/>
      <w:keepLines/>
      <w:numPr>
        <w:numId w:val="0"/>
      </w:numPr>
      <w:tabs>
        <w:tab w:val="clear" w:pos="0"/>
      </w:tabs>
      <w:autoSpaceDN/>
      <w:spacing w:before="240" w:after="0" w:line="259" w:lineRule="auto"/>
      <w:textAlignment w:val="auto"/>
      <w:outlineLvl w:val="9"/>
    </w:pPr>
    <w:rPr>
      <w:rFonts w:asciiTheme="majorHAnsi" w:eastAsiaTheme="majorEastAsia" w:hAnsiTheme="majorHAnsi" w:cstheme="majorBidi"/>
      <w:color w:val="2F5496" w:themeColor="accent1" w:themeShade="BF"/>
      <w:sz w:val="32"/>
      <w:szCs w:val="32"/>
    </w:rPr>
  </w:style>
  <w:style w:type="character" w:styleId="Hyperlink">
    <w:name w:val="Hyperlink"/>
    <w:basedOn w:val="Standaardalinea-lettertype"/>
    <w:uiPriority w:val="99"/>
    <w:unhideWhenUsed/>
    <w:rsid w:val="000D6ADE"/>
    <w:rPr>
      <w:color w:val="0563C1" w:themeColor="hyperlink"/>
      <w:u w:val="single"/>
    </w:rPr>
  </w:style>
  <w:style w:type="paragraph" w:styleId="Bijschrift">
    <w:name w:val="caption"/>
    <w:basedOn w:val="Standaard"/>
    <w:next w:val="Standaard"/>
    <w:uiPriority w:val="35"/>
    <w:unhideWhenUsed/>
    <w:qFormat/>
    <w:rsid w:val="00A7279B"/>
    <w:pPr>
      <w:spacing w:after="0" w:line="240" w:lineRule="auto"/>
      <w:jc w:val="left"/>
    </w:pPr>
    <w:rPr>
      <w:iCs/>
      <w:color w:val="A90061"/>
    </w:rPr>
  </w:style>
  <w:style w:type="paragraph" w:styleId="Voetnoottekst">
    <w:name w:val="footnote text"/>
    <w:basedOn w:val="Standaard"/>
    <w:link w:val="VoetnoottekstChar"/>
    <w:uiPriority w:val="99"/>
    <w:unhideWhenUsed/>
    <w:rsid w:val="004175AA"/>
    <w:pPr>
      <w:spacing w:line="240" w:lineRule="auto"/>
    </w:pPr>
    <w:rPr>
      <w:sz w:val="20"/>
      <w:szCs w:val="20"/>
    </w:rPr>
  </w:style>
  <w:style w:type="character" w:customStyle="1" w:styleId="VoetnoottekstChar">
    <w:name w:val="Voetnoottekst Char"/>
    <w:basedOn w:val="Standaardalinea-lettertype"/>
    <w:link w:val="Voetnoottekst"/>
    <w:uiPriority w:val="99"/>
    <w:rsid w:val="004175AA"/>
    <w:rPr>
      <w:rFonts w:ascii="Verdana" w:hAnsi="Verdana"/>
      <w:color w:val="000000"/>
    </w:rPr>
  </w:style>
  <w:style w:type="character" w:styleId="Voetnootmarkering">
    <w:name w:val="footnote reference"/>
    <w:basedOn w:val="Standaardalinea-lettertype"/>
    <w:uiPriority w:val="99"/>
    <w:semiHidden/>
    <w:unhideWhenUsed/>
    <w:rsid w:val="004175AA"/>
    <w:rPr>
      <w:vertAlign w:val="superscript"/>
    </w:rPr>
  </w:style>
  <w:style w:type="character" w:styleId="Onopgelostemelding">
    <w:name w:val="Unresolved Mention"/>
    <w:basedOn w:val="Standaardalinea-lettertype"/>
    <w:uiPriority w:val="99"/>
    <w:semiHidden/>
    <w:unhideWhenUsed/>
    <w:rsid w:val="004175AA"/>
    <w:rPr>
      <w:color w:val="605E5C"/>
      <w:shd w:val="clear" w:color="auto" w:fill="E1DFDD"/>
    </w:rPr>
  </w:style>
  <w:style w:type="paragraph" w:customStyle="1" w:styleId="voetnoot">
    <w:name w:val="voetnoot"/>
    <w:basedOn w:val="Voetnoottekst"/>
    <w:link w:val="voetnootChar"/>
    <w:qFormat/>
    <w:rsid w:val="002D22D5"/>
    <w:rPr>
      <w:sz w:val="16"/>
      <w:szCs w:val="16"/>
    </w:rPr>
  </w:style>
  <w:style w:type="character" w:customStyle="1" w:styleId="voetnootChar">
    <w:name w:val="voetnoot Char"/>
    <w:basedOn w:val="VoetnoottekstChar"/>
    <w:link w:val="voetnoot"/>
    <w:rsid w:val="002D22D5"/>
    <w:rPr>
      <w:rFonts w:ascii="Verdana" w:hAnsi="Verdana"/>
      <w:color w:val="000000"/>
      <w:sz w:val="16"/>
      <w:szCs w:val="16"/>
    </w:rPr>
  </w:style>
  <w:style w:type="character" w:styleId="Verwijzingopmerking">
    <w:name w:val="annotation reference"/>
    <w:basedOn w:val="Standaardalinea-lettertype"/>
    <w:uiPriority w:val="99"/>
    <w:semiHidden/>
    <w:unhideWhenUsed/>
    <w:rsid w:val="008C0BD9"/>
    <w:rPr>
      <w:sz w:val="16"/>
      <w:szCs w:val="16"/>
    </w:rPr>
  </w:style>
  <w:style w:type="paragraph" w:styleId="Tekstopmerking">
    <w:name w:val="annotation text"/>
    <w:basedOn w:val="Standaard"/>
    <w:link w:val="TekstopmerkingChar"/>
    <w:uiPriority w:val="99"/>
    <w:unhideWhenUsed/>
    <w:rsid w:val="008C0BD9"/>
    <w:pPr>
      <w:spacing w:line="240" w:lineRule="auto"/>
    </w:pPr>
    <w:rPr>
      <w:sz w:val="20"/>
      <w:szCs w:val="20"/>
    </w:rPr>
  </w:style>
  <w:style w:type="character" w:customStyle="1" w:styleId="TekstopmerkingChar">
    <w:name w:val="Tekst opmerking Char"/>
    <w:basedOn w:val="Standaardalinea-lettertype"/>
    <w:link w:val="Tekstopmerking"/>
    <w:uiPriority w:val="99"/>
    <w:rsid w:val="008C0BD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C0BD9"/>
    <w:rPr>
      <w:b/>
      <w:bCs/>
    </w:rPr>
  </w:style>
  <w:style w:type="character" w:customStyle="1" w:styleId="OnderwerpvanopmerkingChar">
    <w:name w:val="Onderwerp van opmerking Char"/>
    <w:basedOn w:val="TekstopmerkingChar"/>
    <w:link w:val="Onderwerpvanopmerking"/>
    <w:uiPriority w:val="99"/>
    <w:semiHidden/>
    <w:rsid w:val="008C0BD9"/>
    <w:rPr>
      <w:rFonts w:ascii="Verdana" w:hAnsi="Verdana"/>
      <w:b/>
      <w:bCs/>
      <w:color w:val="000000"/>
    </w:rPr>
  </w:style>
  <w:style w:type="character" w:styleId="Intensieveverwijzing">
    <w:name w:val="Intense Reference"/>
    <w:aliases w:val="voetnoten"/>
    <w:uiPriority w:val="32"/>
    <w:qFormat/>
    <w:rsid w:val="0018083A"/>
    <w:rPr>
      <w:sz w:val="16"/>
      <w:szCs w:val="16"/>
    </w:rPr>
  </w:style>
  <w:style w:type="paragraph" w:customStyle="1" w:styleId="kopjezondernummering0">
    <w:name w:val="kopje zonder nummering"/>
    <w:basedOn w:val="Kop4"/>
    <w:link w:val="kopjezondernummeringChar0"/>
    <w:qFormat/>
    <w:rsid w:val="009D025E"/>
    <w:pPr>
      <w:autoSpaceDN/>
      <w:spacing w:after="0" w:line="259" w:lineRule="auto"/>
      <w:textAlignment w:val="auto"/>
    </w:pPr>
    <w:rPr>
      <w:rFonts w:ascii="Verdana" w:hAnsi="Verdana"/>
      <w:bCs/>
      <w:i w:val="0"/>
      <w:iCs w:val="0"/>
      <w:color w:val="1F3864" w:themeColor="accent1" w:themeShade="80"/>
      <w:szCs w:val="22"/>
      <w:lang w:eastAsia="en-US"/>
    </w:rPr>
  </w:style>
  <w:style w:type="character" w:customStyle="1" w:styleId="kopjezondernummeringChar0">
    <w:name w:val="kopje zonder nummering Char"/>
    <w:basedOn w:val="Standaardalinea-lettertype"/>
    <w:link w:val="kopjezondernummering0"/>
    <w:rsid w:val="009D025E"/>
    <w:rPr>
      <w:rFonts w:ascii="Verdana" w:eastAsiaTheme="majorEastAsia" w:hAnsi="Verdana" w:cstheme="majorBidi"/>
      <w:bCs/>
      <w:color w:val="1F3864" w:themeColor="accent1" w:themeShade="80"/>
      <w:sz w:val="18"/>
      <w:szCs w:val="22"/>
      <w:lang w:eastAsia="en-US"/>
    </w:rPr>
  </w:style>
  <w:style w:type="character" w:customStyle="1" w:styleId="Kop4Char">
    <w:name w:val="Kop 4 Char"/>
    <w:basedOn w:val="Standaardalinea-lettertype"/>
    <w:link w:val="Kop4"/>
    <w:uiPriority w:val="9"/>
    <w:rsid w:val="000E7248"/>
    <w:rPr>
      <w:rFonts w:asciiTheme="majorHAnsi" w:eastAsiaTheme="majorEastAsia" w:hAnsiTheme="majorHAnsi" w:cstheme="majorBidi"/>
      <w:i/>
      <w:iCs/>
      <w:color w:val="2F5496" w:themeColor="accent1" w:themeShade="BF"/>
      <w:sz w:val="18"/>
      <w:szCs w:val="18"/>
    </w:rPr>
  </w:style>
  <w:style w:type="paragraph" w:styleId="Koptekst">
    <w:name w:val="header"/>
    <w:basedOn w:val="Standaard"/>
    <w:link w:val="KoptekstChar"/>
    <w:uiPriority w:val="99"/>
    <w:unhideWhenUsed/>
    <w:rsid w:val="00B3404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3404B"/>
    <w:rPr>
      <w:rFonts w:ascii="Verdana" w:hAnsi="Verdana"/>
      <w:color w:val="000000"/>
      <w:sz w:val="18"/>
      <w:szCs w:val="18"/>
    </w:rPr>
  </w:style>
  <w:style w:type="paragraph" w:styleId="Voettekst">
    <w:name w:val="footer"/>
    <w:basedOn w:val="Standaard"/>
    <w:link w:val="VoettekstChar"/>
    <w:uiPriority w:val="99"/>
    <w:unhideWhenUsed/>
    <w:rsid w:val="00B3404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3404B"/>
    <w:rPr>
      <w:rFonts w:ascii="Verdana" w:hAnsi="Verdana"/>
      <w:color w:val="000000"/>
      <w:sz w:val="18"/>
      <w:szCs w:val="18"/>
    </w:rPr>
  </w:style>
  <w:style w:type="paragraph" w:styleId="Revisie">
    <w:name w:val="Revision"/>
    <w:hidden/>
    <w:uiPriority w:val="99"/>
    <w:semiHidden/>
    <w:rsid w:val="003430EC"/>
    <w:pPr>
      <w:autoSpaceDN/>
      <w:textAlignment w:val="auto"/>
    </w:pPr>
    <w:rPr>
      <w:rFonts w:ascii="Verdana" w:hAnsi="Verdana"/>
      <w:color w:val="000000"/>
      <w:sz w:val="18"/>
      <w:szCs w:val="18"/>
    </w:rPr>
  </w:style>
  <w:style w:type="paragraph" w:customStyle="1" w:styleId="Default">
    <w:name w:val="Default"/>
    <w:rsid w:val="00C009DC"/>
    <w:pPr>
      <w:autoSpaceDE w:val="0"/>
      <w:adjustRightInd w:val="0"/>
      <w:textAlignment w:val="auto"/>
    </w:pPr>
    <w:rPr>
      <w:rFonts w:ascii="Verdana" w:hAnsi="Verdana" w:cs="Verdana"/>
      <w:color w:val="000000"/>
      <w:sz w:val="24"/>
      <w:szCs w:val="24"/>
    </w:rPr>
  </w:style>
  <w:style w:type="paragraph" w:styleId="Plattetekst">
    <w:name w:val="Body Text"/>
    <w:basedOn w:val="Standaard"/>
    <w:link w:val="PlattetekstChar"/>
    <w:uiPriority w:val="1"/>
    <w:qFormat/>
    <w:rsid w:val="0085649B"/>
    <w:pPr>
      <w:widowControl w:val="0"/>
      <w:autoSpaceDE w:val="0"/>
      <w:spacing w:line="240" w:lineRule="auto"/>
      <w:textAlignment w:val="auto"/>
    </w:pPr>
    <w:rPr>
      <w:rFonts w:eastAsia="Verdana" w:cs="Verdana"/>
      <w:color w:val="auto"/>
      <w:lang w:eastAsia="en-US"/>
    </w:rPr>
  </w:style>
  <w:style w:type="character" w:customStyle="1" w:styleId="PlattetekstChar">
    <w:name w:val="Platte tekst Char"/>
    <w:basedOn w:val="Standaardalinea-lettertype"/>
    <w:link w:val="Plattetekst"/>
    <w:uiPriority w:val="1"/>
    <w:rsid w:val="0085649B"/>
    <w:rPr>
      <w:rFonts w:ascii="Verdana" w:eastAsia="Verdana" w:hAnsi="Verdana" w:cs="Verdana"/>
      <w:sz w:val="18"/>
      <w:szCs w:val="18"/>
      <w:lang w:eastAsia="en-US"/>
    </w:rPr>
  </w:style>
  <w:style w:type="paragraph" w:customStyle="1" w:styleId="BIJLAGE">
    <w:name w:val="BIJLAGE"/>
    <w:basedOn w:val="Kop1"/>
    <w:next w:val="Standaard"/>
    <w:link w:val="BIJLAGEChar"/>
    <w:qFormat/>
    <w:rsid w:val="009D025E"/>
    <w:pPr>
      <w:numPr>
        <w:numId w:val="17"/>
      </w:numPr>
      <w:ind w:left="2001" w:hanging="1644"/>
    </w:pPr>
  </w:style>
  <w:style w:type="character" w:customStyle="1" w:styleId="LijstalineaChar">
    <w:name w:val="Lijstalinea Char"/>
    <w:basedOn w:val="Standaardalinea-lettertype"/>
    <w:link w:val="Lijstalinea"/>
    <w:uiPriority w:val="34"/>
    <w:rsid w:val="009D025E"/>
    <w:rPr>
      <w:rFonts w:ascii="Verdana" w:hAnsi="Verdana"/>
      <w:color w:val="000000"/>
      <w:sz w:val="18"/>
      <w:szCs w:val="18"/>
    </w:rPr>
  </w:style>
  <w:style w:type="character" w:customStyle="1" w:styleId="BIJLAGEChar">
    <w:name w:val="BIJLAGE Char"/>
    <w:basedOn w:val="LijstalineaChar"/>
    <w:link w:val="BIJLAGE"/>
    <w:rsid w:val="009D025E"/>
    <w:rPr>
      <w:rFonts w:ascii="Verdana" w:hAnsi="Verdana"/>
      <w:color w:val="00305B"/>
      <w:sz w:val="24"/>
      <w:szCs w:val="24"/>
    </w:rPr>
  </w:style>
  <w:style w:type="table" w:customStyle="1" w:styleId="TableNormal">
    <w:name w:val="Table Normal"/>
    <w:uiPriority w:val="2"/>
    <w:semiHidden/>
    <w:unhideWhenUsed/>
    <w:qFormat/>
    <w:rsid w:val="006B6D57"/>
    <w:pPr>
      <w:widowControl w:val="0"/>
      <w:autoSpaceDE w:val="0"/>
      <w:textAlignment w:val="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6B6D57"/>
    <w:pPr>
      <w:widowControl w:val="0"/>
      <w:autoSpaceDE w:val="0"/>
      <w:spacing w:before="51" w:after="0" w:line="240" w:lineRule="auto"/>
      <w:textAlignment w:val="auto"/>
    </w:pPr>
    <w:rPr>
      <w:rFonts w:eastAsia="Verdana" w:cs="Verdana"/>
      <w:color w:val="auto"/>
      <w:sz w:val="22"/>
      <w:szCs w:val="22"/>
      <w:lang w:eastAsia="en-US"/>
    </w:rPr>
  </w:style>
  <w:style w:type="character" w:styleId="Intensievebenadrukking">
    <w:name w:val="Intense Emphasis"/>
    <w:uiPriority w:val="21"/>
    <w:qFormat/>
    <w:rsid w:val="00706413"/>
    <w:rPr>
      <w:i/>
      <w:iCs/>
      <w:color w:val="00305B"/>
    </w:rPr>
  </w:style>
  <w:style w:type="table" w:customStyle="1" w:styleId="NRGPALLAS1">
    <w:name w:val="NRG PALLAS 1"/>
    <w:basedOn w:val="Tabelraster8"/>
    <w:uiPriority w:val="99"/>
    <w:rsid w:val="00F347DC"/>
    <w:pPr>
      <w:autoSpaceDN/>
      <w:spacing w:before="60" w:after="60"/>
      <w:contextualSpacing/>
      <w:textAlignment w:val="auto"/>
    </w:pPr>
    <w:rPr>
      <w:rFonts w:ascii="Open Sans" w:eastAsiaTheme="minorEastAsia" w:hAnsi="Open Sans" w:cstheme="minorBidi"/>
      <w:color w:val="000000" w:themeColor="text1"/>
      <w:sz w:val="16"/>
      <w:lang w:val="en-GB"/>
    </w:rPr>
    <w:tblPr>
      <w:tblBorders>
        <w:top w:val="single" w:sz="4" w:space="0" w:color="213A8F"/>
        <w:left w:val="single" w:sz="4" w:space="0" w:color="213A8F"/>
        <w:bottom w:val="single" w:sz="4" w:space="0" w:color="213A8F"/>
        <w:right w:val="single" w:sz="4" w:space="0" w:color="213A8F"/>
        <w:insideH w:val="single" w:sz="4" w:space="0" w:color="213A8F"/>
        <w:insideV w:val="single" w:sz="4" w:space="0" w:color="213A8F"/>
      </w:tblBorders>
    </w:tblPr>
    <w:tcPr>
      <w:shd w:val="clear" w:color="auto" w:fill="auto"/>
      <w:vAlign w:val="center"/>
    </w:tcPr>
    <w:tblStylePr w:type="firstRow">
      <w:pPr>
        <w:wordWrap/>
        <w:spacing w:beforeLines="0" w:before="60" w:beforeAutospacing="0" w:afterLines="0" w:after="60" w:afterAutospacing="0" w:line="240" w:lineRule="auto"/>
        <w:jc w:val="left"/>
      </w:pPr>
      <w:rPr>
        <w:rFonts w:ascii="Open Sans SemiBold" w:hAnsi="Open Sans SemiBold"/>
        <w:b/>
        <w:bCs/>
        <w:color w:val="FFFFFF"/>
        <w:sz w:val="20"/>
      </w:rPr>
      <w:tblPr/>
      <w:tcPr>
        <w:tcBorders>
          <w:tl2br w:val="none" w:sz="0" w:space="0" w:color="auto"/>
          <w:tr2bl w:val="none" w:sz="0" w:space="0" w:color="auto"/>
        </w:tcBorders>
        <w:shd w:val="clear" w:color="auto" w:fill="213A8F"/>
      </w:tcPr>
    </w:tblStylePr>
    <w:tblStylePr w:type="lastRow">
      <w:rPr>
        <w:rFonts w:ascii="Open Sans" w:hAnsi="Open Sans"/>
        <w:b w:val="0"/>
        <w:bCs/>
        <w:color w:val="000000" w:themeColor="text1"/>
        <w:sz w:val="16"/>
      </w:rPr>
      <w:tblPr/>
      <w:tcPr>
        <w:tcBorders>
          <w:tl2br w:val="none" w:sz="0" w:space="0" w:color="auto"/>
          <w:tr2bl w:val="none" w:sz="0" w:space="0" w:color="auto"/>
        </w:tcBorders>
      </w:tcPr>
    </w:tblStylePr>
    <w:tblStylePr w:type="firstCol">
      <w:pPr>
        <w:wordWrap/>
        <w:spacing w:beforeLines="0" w:before="60" w:beforeAutospacing="0" w:afterLines="0" w:after="60" w:afterAutospacing="0" w:line="320" w:lineRule="exact"/>
      </w:pPr>
      <w:rPr>
        <w:rFonts w:ascii="Open Sans" w:hAnsi="Open Sans"/>
        <w:sz w:val="16"/>
      </w:rPr>
      <w:tblPr/>
      <w:tcPr>
        <w:vAlign w:val="center"/>
      </w:tcPr>
    </w:tblStylePr>
    <w:tblStylePr w:type="lastCol">
      <w:rPr>
        <w:rFonts w:ascii="Open Sans" w:hAnsi="Open Sans"/>
        <w:b w:val="0"/>
        <w:bCs/>
        <w:color w:val="000000" w:themeColor="text1"/>
      </w:rPr>
      <w:tblPr/>
      <w:tcPr>
        <w:tcBorders>
          <w:tl2br w:val="none" w:sz="0" w:space="0" w:color="auto"/>
          <w:tr2bl w:val="none" w:sz="0" w:space="0" w:color="auto"/>
        </w:tcBorders>
      </w:tcPr>
    </w:tblStylePr>
    <w:tblStylePr w:type="nwCell">
      <w:rPr>
        <w:rFonts w:ascii="Open Sans SemiBold" w:hAnsi="Open Sans SemiBold"/>
        <w:b/>
        <w:color w:val="FFFFFF"/>
        <w:sz w:val="20"/>
      </w:rPr>
    </w:tblStylePr>
    <w:tblStylePr w:type="swCell">
      <w:rPr>
        <w:rFonts w:ascii="Open Sans" w:hAnsi="Open Sans"/>
        <w:sz w:val="16"/>
      </w:rPr>
    </w:tblStylePr>
  </w:style>
  <w:style w:type="table" w:styleId="Tabelraster8">
    <w:name w:val="Table Grid 8"/>
    <w:basedOn w:val="Standaardtabel"/>
    <w:uiPriority w:val="99"/>
    <w:semiHidden/>
    <w:unhideWhenUsed/>
    <w:rsid w:val="00F347DC"/>
    <w:pPr>
      <w:spacing w:after="240"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Geenafstand">
    <w:name w:val="No Spacing"/>
    <w:uiPriority w:val="1"/>
    <w:qFormat/>
    <w:rsid w:val="0078478D"/>
    <w:pPr>
      <w:jc w:val="both"/>
    </w:pPr>
    <w:rPr>
      <w:rFonts w:ascii="Verdana" w:hAnsi="Verdana"/>
      <w:color w:val="000000"/>
      <w:sz w:val="18"/>
      <w:szCs w:val="18"/>
    </w:rPr>
  </w:style>
  <w:style w:type="paragraph" w:styleId="Normaalweb">
    <w:name w:val="Normal (Web)"/>
    <w:basedOn w:val="Standaard"/>
    <w:uiPriority w:val="99"/>
    <w:semiHidden/>
    <w:unhideWhenUsed/>
    <w:rsid w:val="00F13F71"/>
    <w:pPr>
      <w:autoSpaceDN/>
      <w:spacing w:before="100" w:beforeAutospacing="1" w:after="100" w:afterAutospacing="1" w:line="240" w:lineRule="auto"/>
      <w:jc w:val="left"/>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38556">
      <w:bodyDiv w:val="1"/>
      <w:marLeft w:val="0"/>
      <w:marRight w:val="0"/>
      <w:marTop w:val="0"/>
      <w:marBottom w:val="0"/>
      <w:divBdr>
        <w:top w:val="none" w:sz="0" w:space="0" w:color="auto"/>
        <w:left w:val="none" w:sz="0" w:space="0" w:color="auto"/>
        <w:bottom w:val="none" w:sz="0" w:space="0" w:color="auto"/>
        <w:right w:val="none" w:sz="0" w:space="0" w:color="auto"/>
      </w:divBdr>
    </w:div>
    <w:div w:id="191574042">
      <w:bodyDiv w:val="1"/>
      <w:marLeft w:val="0"/>
      <w:marRight w:val="0"/>
      <w:marTop w:val="0"/>
      <w:marBottom w:val="0"/>
      <w:divBdr>
        <w:top w:val="none" w:sz="0" w:space="0" w:color="auto"/>
        <w:left w:val="none" w:sz="0" w:space="0" w:color="auto"/>
        <w:bottom w:val="none" w:sz="0" w:space="0" w:color="auto"/>
        <w:right w:val="none" w:sz="0" w:space="0" w:color="auto"/>
      </w:divBdr>
    </w:div>
    <w:div w:id="245456540">
      <w:bodyDiv w:val="1"/>
      <w:marLeft w:val="0"/>
      <w:marRight w:val="0"/>
      <w:marTop w:val="0"/>
      <w:marBottom w:val="0"/>
      <w:divBdr>
        <w:top w:val="none" w:sz="0" w:space="0" w:color="auto"/>
        <w:left w:val="none" w:sz="0" w:space="0" w:color="auto"/>
        <w:bottom w:val="none" w:sz="0" w:space="0" w:color="auto"/>
        <w:right w:val="none" w:sz="0" w:space="0" w:color="auto"/>
      </w:divBdr>
    </w:div>
    <w:div w:id="424811471">
      <w:bodyDiv w:val="1"/>
      <w:marLeft w:val="0"/>
      <w:marRight w:val="0"/>
      <w:marTop w:val="0"/>
      <w:marBottom w:val="0"/>
      <w:divBdr>
        <w:top w:val="none" w:sz="0" w:space="0" w:color="auto"/>
        <w:left w:val="none" w:sz="0" w:space="0" w:color="auto"/>
        <w:bottom w:val="none" w:sz="0" w:space="0" w:color="auto"/>
        <w:right w:val="none" w:sz="0" w:space="0" w:color="auto"/>
      </w:divBdr>
    </w:div>
    <w:div w:id="458648283">
      <w:bodyDiv w:val="1"/>
      <w:marLeft w:val="0"/>
      <w:marRight w:val="0"/>
      <w:marTop w:val="0"/>
      <w:marBottom w:val="0"/>
      <w:divBdr>
        <w:top w:val="none" w:sz="0" w:space="0" w:color="auto"/>
        <w:left w:val="none" w:sz="0" w:space="0" w:color="auto"/>
        <w:bottom w:val="none" w:sz="0" w:space="0" w:color="auto"/>
        <w:right w:val="none" w:sz="0" w:space="0" w:color="auto"/>
      </w:divBdr>
    </w:div>
    <w:div w:id="460879029">
      <w:bodyDiv w:val="1"/>
      <w:marLeft w:val="0"/>
      <w:marRight w:val="0"/>
      <w:marTop w:val="0"/>
      <w:marBottom w:val="0"/>
      <w:divBdr>
        <w:top w:val="none" w:sz="0" w:space="0" w:color="auto"/>
        <w:left w:val="none" w:sz="0" w:space="0" w:color="auto"/>
        <w:bottom w:val="none" w:sz="0" w:space="0" w:color="auto"/>
        <w:right w:val="none" w:sz="0" w:space="0" w:color="auto"/>
      </w:divBdr>
    </w:div>
    <w:div w:id="485779159">
      <w:bodyDiv w:val="1"/>
      <w:marLeft w:val="0"/>
      <w:marRight w:val="0"/>
      <w:marTop w:val="0"/>
      <w:marBottom w:val="0"/>
      <w:divBdr>
        <w:top w:val="none" w:sz="0" w:space="0" w:color="auto"/>
        <w:left w:val="none" w:sz="0" w:space="0" w:color="auto"/>
        <w:bottom w:val="none" w:sz="0" w:space="0" w:color="auto"/>
        <w:right w:val="none" w:sz="0" w:space="0" w:color="auto"/>
      </w:divBdr>
    </w:div>
    <w:div w:id="531773912">
      <w:bodyDiv w:val="1"/>
      <w:marLeft w:val="0"/>
      <w:marRight w:val="0"/>
      <w:marTop w:val="0"/>
      <w:marBottom w:val="0"/>
      <w:divBdr>
        <w:top w:val="none" w:sz="0" w:space="0" w:color="auto"/>
        <w:left w:val="none" w:sz="0" w:space="0" w:color="auto"/>
        <w:bottom w:val="none" w:sz="0" w:space="0" w:color="auto"/>
        <w:right w:val="none" w:sz="0" w:space="0" w:color="auto"/>
      </w:divBdr>
    </w:div>
    <w:div w:id="560334422">
      <w:bodyDiv w:val="1"/>
      <w:marLeft w:val="0"/>
      <w:marRight w:val="0"/>
      <w:marTop w:val="0"/>
      <w:marBottom w:val="0"/>
      <w:divBdr>
        <w:top w:val="none" w:sz="0" w:space="0" w:color="auto"/>
        <w:left w:val="none" w:sz="0" w:space="0" w:color="auto"/>
        <w:bottom w:val="none" w:sz="0" w:space="0" w:color="auto"/>
        <w:right w:val="none" w:sz="0" w:space="0" w:color="auto"/>
      </w:divBdr>
    </w:div>
    <w:div w:id="600602950">
      <w:bodyDiv w:val="1"/>
      <w:marLeft w:val="0"/>
      <w:marRight w:val="0"/>
      <w:marTop w:val="0"/>
      <w:marBottom w:val="0"/>
      <w:divBdr>
        <w:top w:val="none" w:sz="0" w:space="0" w:color="auto"/>
        <w:left w:val="none" w:sz="0" w:space="0" w:color="auto"/>
        <w:bottom w:val="none" w:sz="0" w:space="0" w:color="auto"/>
        <w:right w:val="none" w:sz="0" w:space="0" w:color="auto"/>
      </w:divBdr>
    </w:div>
    <w:div w:id="604577101">
      <w:bodyDiv w:val="1"/>
      <w:marLeft w:val="0"/>
      <w:marRight w:val="0"/>
      <w:marTop w:val="0"/>
      <w:marBottom w:val="0"/>
      <w:divBdr>
        <w:top w:val="none" w:sz="0" w:space="0" w:color="auto"/>
        <w:left w:val="none" w:sz="0" w:space="0" w:color="auto"/>
        <w:bottom w:val="none" w:sz="0" w:space="0" w:color="auto"/>
        <w:right w:val="none" w:sz="0" w:space="0" w:color="auto"/>
      </w:divBdr>
    </w:div>
    <w:div w:id="647130553">
      <w:bodyDiv w:val="1"/>
      <w:marLeft w:val="0"/>
      <w:marRight w:val="0"/>
      <w:marTop w:val="0"/>
      <w:marBottom w:val="0"/>
      <w:divBdr>
        <w:top w:val="none" w:sz="0" w:space="0" w:color="auto"/>
        <w:left w:val="none" w:sz="0" w:space="0" w:color="auto"/>
        <w:bottom w:val="none" w:sz="0" w:space="0" w:color="auto"/>
        <w:right w:val="none" w:sz="0" w:space="0" w:color="auto"/>
      </w:divBdr>
    </w:div>
    <w:div w:id="662852622">
      <w:bodyDiv w:val="1"/>
      <w:marLeft w:val="0"/>
      <w:marRight w:val="0"/>
      <w:marTop w:val="0"/>
      <w:marBottom w:val="0"/>
      <w:divBdr>
        <w:top w:val="none" w:sz="0" w:space="0" w:color="auto"/>
        <w:left w:val="none" w:sz="0" w:space="0" w:color="auto"/>
        <w:bottom w:val="none" w:sz="0" w:space="0" w:color="auto"/>
        <w:right w:val="none" w:sz="0" w:space="0" w:color="auto"/>
      </w:divBdr>
    </w:div>
    <w:div w:id="682320966">
      <w:bodyDiv w:val="1"/>
      <w:marLeft w:val="0"/>
      <w:marRight w:val="0"/>
      <w:marTop w:val="0"/>
      <w:marBottom w:val="0"/>
      <w:divBdr>
        <w:top w:val="none" w:sz="0" w:space="0" w:color="auto"/>
        <w:left w:val="none" w:sz="0" w:space="0" w:color="auto"/>
        <w:bottom w:val="none" w:sz="0" w:space="0" w:color="auto"/>
        <w:right w:val="none" w:sz="0" w:space="0" w:color="auto"/>
      </w:divBdr>
    </w:div>
    <w:div w:id="685210104">
      <w:bodyDiv w:val="1"/>
      <w:marLeft w:val="0"/>
      <w:marRight w:val="0"/>
      <w:marTop w:val="0"/>
      <w:marBottom w:val="0"/>
      <w:divBdr>
        <w:top w:val="none" w:sz="0" w:space="0" w:color="auto"/>
        <w:left w:val="none" w:sz="0" w:space="0" w:color="auto"/>
        <w:bottom w:val="none" w:sz="0" w:space="0" w:color="auto"/>
        <w:right w:val="none" w:sz="0" w:space="0" w:color="auto"/>
      </w:divBdr>
    </w:div>
    <w:div w:id="698970065">
      <w:bodyDiv w:val="1"/>
      <w:marLeft w:val="0"/>
      <w:marRight w:val="0"/>
      <w:marTop w:val="0"/>
      <w:marBottom w:val="0"/>
      <w:divBdr>
        <w:top w:val="none" w:sz="0" w:space="0" w:color="auto"/>
        <w:left w:val="none" w:sz="0" w:space="0" w:color="auto"/>
        <w:bottom w:val="none" w:sz="0" w:space="0" w:color="auto"/>
        <w:right w:val="none" w:sz="0" w:space="0" w:color="auto"/>
      </w:divBdr>
    </w:div>
    <w:div w:id="707291405">
      <w:bodyDiv w:val="1"/>
      <w:marLeft w:val="0"/>
      <w:marRight w:val="0"/>
      <w:marTop w:val="0"/>
      <w:marBottom w:val="0"/>
      <w:divBdr>
        <w:top w:val="none" w:sz="0" w:space="0" w:color="auto"/>
        <w:left w:val="none" w:sz="0" w:space="0" w:color="auto"/>
        <w:bottom w:val="none" w:sz="0" w:space="0" w:color="auto"/>
        <w:right w:val="none" w:sz="0" w:space="0" w:color="auto"/>
      </w:divBdr>
    </w:div>
    <w:div w:id="710300399">
      <w:bodyDiv w:val="1"/>
      <w:marLeft w:val="0"/>
      <w:marRight w:val="0"/>
      <w:marTop w:val="0"/>
      <w:marBottom w:val="0"/>
      <w:divBdr>
        <w:top w:val="none" w:sz="0" w:space="0" w:color="auto"/>
        <w:left w:val="none" w:sz="0" w:space="0" w:color="auto"/>
        <w:bottom w:val="none" w:sz="0" w:space="0" w:color="auto"/>
        <w:right w:val="none" w:sz="0" w:space="0" w:color="auto"/>
      </w:divBdr>
    </w:div>
    <w:div w:id="746733316">
      <w:bodyDiv w:val="1"/>
      <w:marLeft w:val="0"/>
      <w:marRight w:val="0"/>
      <w:marTop w:val="0"/>
      <w:marBottom w:val="0"/>
      <w:divBdr>
        <w:top w:val="none" w:sz="0" w:space="0" w:color="auto"/>
        <w:left w:val="none" w:sz="0" w:space="0" w:color="auto"/>
        <w:bottom w:val="none" w:sz="0" w:space="0" w:color="auto"/>
        <w:right w:val="none" w:sz="0" w:space="0" w:color="auto"/>
      </w:divBdr>
    </w:div>
    <w:div w:id="773592884">
      <w:bodyDiv w:val="1"/>
      <w:marLeft w:val="0"/>
      <w:marRight w:val="0"/>
      <w:marTop w:val="0"/>
      <w:marBottom w:val="0"/>
      <w:divBdr>
        <w:top w:val="none" w:sz="0" w:space="0" w:color="auto"/>
        <w:left w:val="none" w:sz="0" w:space="0" w:color="auto"/>
        <w:bottom w:val="none" w:sz="0" w:space="0" w:color="auto"/>
        <w:right w:val="none" w:sz="0" w:space="0" w:color="auto"/>
      </w:divBdr>
    </w:div>
    <w:div w:id="897208275">
      <w:bodyDiv w:val="1"/>
      <w:marLeft w:val="0"/>
      <w:marRight w:val="0"/>
      <w:marTop w:val="0"/>
      <w:marBottom w:val="0"/>
      <w:divBdr>
        <w:top w:val="none" w:sz="0" w:space="0" w:color="auto"/>
        <w:left w:val="none" w:sz="0" w:space="0" w:color="auto"/>
        <w:bottom w:val="none" w:sz="0" w:space="0" w:color="auto"/>
        <w:right w:val="none" w:sz="0" w:space="0" w:color="auto"/>
      </w:divBdr>
    </w:div>
    <w:div w:id="1025136117">
      <w:bodyDiv w:val="1"/>
      <w:marLeft w:val="0"/>
      <w:marRight w:val="0"/>
      <w:marTop w:val="0"/>
      <w:marBottom w:val="0"/>
      <w:divBdr>
        <w:top w:val="none" w:sz="0" w:space="0" w:color="auto"/>
        <w:left w:val="none" w:sz="0" w:space="0" w:color="auto"/>
        <w:bottom w:val="none" w:sz="0" w:space="0" w:color="auto"/>
        <w:right w:val="none" w:sz="0" w:space="0" w:color="auto"/>
      </w:divBdr>
    </w:div>
    <w:div w:id="1029136656">
      <w:bodyDiv w:val="1"/>
      <w:marLeft w:val="0"/>
      <w:marRight w:val="0"/>
      <w:marTop w:val="0"/>
      <w:marBottom w:val="0"/>
      <w:divBdr>
        <w:top w:val="none" w:sz="0" w:space="0" w:color="auto"/>
        <w:left w:val="none" w:sz="0" w:space="0" w:color="auto"/>
        <w:bottom w:val="none" w:sz="0" w:space="0" w:color="auto"/>
        <w:right w:val="none" w:sz="0" w:space="0" w:color="auto"/>
      </w:divBdr>
    </w:div>
    <w:div w:id="1062752314">
      <w:bodyDiv w:val="1"/>
      <w:marLeft w:val="0"/>
      <w:marRight w:val="0"/>
      <w:marTop w:val="0"/>
      <w:marBottom w:val="0"/>
      <w:divBdr>
        <w:top w:val="none" w:sz="0" w:space="0" w:color="auto"/>
        <w:left w:val="none" w:sz="0" w:space="0" w:color="auto"/>
        <w:bottom w:val="none" w:sz="0" w:space="0" w:color="auto"/>
        <w:right w:val="none" w:sz="0" w:space="0" w:color="auto"/>
      </w:divBdr>
    </w:div>
    <w:div w:id="1089079372">
      <w:bodyDiv w:val="1"/>
      <w:marLeft w:val="0"/>
      <w:marRight w:val="0"/>
      <w:marTop w:val="0"/>
      <w:marBottom w:val="0"/>
      <w:divBdr>
        <w:top w:val="none" w:sz="0" w:space="0" w:color="auto"/>
        <w:left w:val="none" w:sz="0" w:space="0" w:color="auto"/>
        <w:bottom w:val="none" w:sz="0" w:space="0" w:color="auto"/>
        <w:right w:val="none" w:sz="0" w:space="0" w:color="auto"/>
      </w:divBdr>
    </w:div>
    <w:div w:id="1144733187">
      <w:bodyDiv w:val="1"/>
      <w:marLeft w:val="0"/>
      <w:marRight w:val="0"/>
      <w:marTop w:val="0"/>
      <w:marBottom w:val="0"/>
      <w:divBdr>
        <w:top w:val="none" w:sz="0" w:space="0" w:color="auto"/>
        <w:left w:val="none" w:sz="0" w:space="0" w:color="auto"/>
        <w:bottom w:val="none" w:sz="0" w:space="0" w:color="auto"/>
        <w:right w:val="none" w:sz="0" w:space="0" w:color="auto"/>
      </w:divBdr>
    </w:div>
    <w:div w:id="1149245024">
      <w:bodyDiv w:val="1"/>
      <w:marLeft w:val="0"/>
      <w:marRight w:val="0"/>
      <w:marTop w:val="0"/>
      <w:marBottom w:val="0"/>
      <w:divBdr>
        <w:top w:val="none" w:sz="0" w:space="0" w:color="auto"/>
        <w:left w:val="none" w:sz="0" w:space="0" w:color="auto"/>
        <w:bottom w:val="none" w:sz="0" w:space="0" w:color="auto"/>
        <w:right w:val="none" w:sz="0" w:space="0" w:color="auto"/>
      </w:divBdr>
    </w:div>
    <w:div w:id="1165979358">
      <w:bodyDiv w:val="1"/>
      <w:marLeft w:val="0"/>
      <w:marRight w:val="0"/>
      <w:marTop w:val="0"/>
      <w:marBottom w:val="0"/>
      <w:divBdr>
        <w:top w:val="none" w:sz="0" w:space="0" w:color="auto"/>
        <w:left w:val="none" w:sz="0" w:space="0" w:color="auto"/>
        <w:bottom w:val="none" w:sz="0" w:space="0" w:color="auto"/>
        <w:right w:val="none" w:sz="0" w:space="0" w:color="auto"/>
      </w:divBdr>
    </w:div>
    <w:div w:id="1167135662">
      <w:bodyDiv w:val="1"/>
      <w:marLeft w:val="0"/>
      <w:marRight w:val="0"/>
      <w:marTop w:val="0"/>
      <w:marBottom w:val="0"/>
      <w:divBdr>
        <w:top w:val="none" w:sz="0" w:space="0" w:color="auto"/>
        <w:left w:val="none" w:sz="0" w:space="0" w:color="auto"/>
        <w:bottom w:val="none" w:sz="0" w:space="0" w:color="auto"/>
        <w:right w:val="none" w:sz="0" w:space="0" w:color="auto"/>
      </w:divBdr>
    </w:div>
    <w:div w:id="1192109500">
      <w:bodyDiv w:val="1"/>
      <w:marLeft w:val="0"/>
      <w:marRight w:val="0"/>
      <w:marTop w:val="0"/>
      <w:marBottom w:val="0"/>
      <w:divBdr>
        <w:top w:val="none" w:sz="0" w:space="0" w:color="auto"/>
        <w:left w:val="none" w:sz="0" w:space="0" w:color="auto"/>
        <w:bottom w:val="none" w:sz="0" w:space="0" w:color="auto"/>
        <w:right w:val="none" w:sz="0" w:space="0" w:color="auto"/>
      </w:divBdr>
    </w:div>
    <w:div w:id="1208418608">
      <w:bodyDiv w:val="1"/>
      <w:marLeft w:val="0"/>
      <w:marRight w:val="0"/>
      <w:marTop w:val="0"/>
      <w:marBottom w:val="0"/>
      <w:divBdr>
        <w:top w:val="none" w:sz="0" w:space="0" w:color="auto"/>
        <w:left w:val="none" w:sz="0" w:space="0" w:color="auto"/>
        <w:bottom w:val="none" w:sz="0" w:space="0" w:color="auto"/>
        <w:right w:val="none" w:sz="0" w:space="0" w:color="auto"/>
      </w:divBdr>
    </w:div>
    <w:div w:id="1239175212">
      <w:bodyDiv w:val="1"/>
      <w:marLeft w:val="0"/>
      <w:marRight w:val="0"/>
      <w:marTop w:val="0"/>
      <w:marBottom w:val="0"/>
      <w:divBdr>
        <w:top w:val="none" w:sz="0" w:space="0" w:color="auto"/>
        <w:left w:val="none" w:sz="0" w:space="0" w:color="auto"/>
        <w:bottom w:val="none" w:sz="0" w:space="0" w:color="auto"/>
        <w:right w:val="none" w:sz="0" w:space="0" w:color="auto"/>
      </w:divBdr>
    </w:div>
    <w:div w:id="1262447828">
      <w:bodyDiv w:val="1"/>
      <w:marLeft w:val="0"/>
      <w:marRight w:val="0"/>
      <w:marTop w:val="0"/>
      <w:marBottom w:val="0"/>
      <w:divBdr>
        <w:top w:val="none" w:sz="0" w:space="0" w:color="auto"/>
        <w:left w:val="none" w:sz="0" w:space="0" w:color="auto"/>
        <w:bottom w:val="none" w:sz="0" w:space="0" w:color="auto"/>
        <w:right w:val="none" w:sz="0" w:space="0" w:color="auto"/>
      </w:divBdr>
    </w:div>
    <w:div w:id="1264921292">
      <w:bodyDiv w:val="1"/>
      <w:marLeft w:val="0"/>
      <w:marRight w:val="0"/>
      <w:marTop w:val="0"/>
      <w:marBottom w:val="0"/>
      <w:divBdr>
        <w:top w:val="none" w:sz="0" w:space="0" w:color="auto"/>
        <w:left w:val="none" w:sz="0" w:space="0" w:color="auto"/>
        <w:bottom w:val="none" w:sz="0" w:space="0" w:color="auto"/>
        <w:right w:val="none" w:sz="0" w:space="0" w:color="auto"/>
      </w:divBdr>
    </w:div>
    <w:div w:id="1292713605">
      <w:bodyDiv w:val="1"/>
      <w:marLeft w:val="0"/>
      <w:marRight w:val="0"/>
      <w:marTop w:val="0"/>
      <w:marBottom w:val="0"/>
      <w:divBdr>
        <w:top w:val="none" w:sz="0" w:space="0" w:color="auto"/>
        <w:left w:val="none" w:sz="0" w:space="0" w:color="auto"/>
        <w:bottom w:val="none" w:sz="0" w:space="0" w:color="auto"/>
        <w:right w:val="none" w:sz="0" w:space="0" w:color="auto"/>
      </w:divBdr>
    </w:div>
    <w:div w:id="1298728541">
      <w:bodyDiv w:val="1"/>
      <w:marLeft w:val="0"/>
      <w:marRight w:val="0"/>
      <w:marTop w:val="0"/>
      <w:marBottom w:val="0"/>
      <w:divBdr>
        <w:top w:val="none" w:sz="0" w:space="0" w:color="auto"/>
        <w:left w:val="none" w:sz="0" w:space="0" w:color="auto"/>
        <w:bottom w:val="none" w:sz="0" w:space="0" w:color="auto"/>
        <w:right w:val="none" w:sz="0" w:space="0" w:color="auto"/>
      </w:divBdr>
    </w:div>
    <w:div w:id="1301349556">
      <w:bodyDiv w:val="1"/>
      <w:marLeft w:val="0"/>
      <w:marRight w:val="0"/>
      <w:marTop w:val="0"/>
      <w:marBottom w:val="0"/>
      <w:divBdr>
        <w:top w:val="none" w:sz="0" w:space="0" w:color="auto"/>
        <w:left w:val="none" w:sz="0" w:space="0" w:color="auto"/>
        <w:bottom w:val="none" w:sz="0" w:space="0" w:color="auto"/>
        <w:right w:val="none" w:sz="0" w:space="0" w:color="auto"/>
      </w:divBdr>
    </w:div>
    <w:div w:id="1471702370">
      <w:bodyDiv w:val="1"/>
      <w:marLeft w:val="0"/>
      <w:marRight w:val="0"/>
      <w:marTop w:val="0"/>
      <w:marBottom w:val="0"/>
      <w:divBdr>
        <w:top w:val="none" w:sz="0" w:space="0" w:color="auto"/>
        <w:left w:val="none" w:sz="0" w:space="0" w:color="auto"/>
        <w:bottom w:val="none" w:sz="0" w:space="0" w:color="auto"/>
        <w:right w:val="none" w:sz="0" w:space="0" w:color="auto"/>
      </w:divBdr>
    </w:div>
    <w:div w:id="1494252416">
      <w:bodyDiv w:val="1"/>
      <w:marLeft w:val="0"/>
      <w:marRight w:val="0"/>
      <w:marTop w:val="0"/>
      <w:marBottom w:val="0"/>
      <w:divBdr>
        <w:top w:val="none" w:sz="0" w:space="0" w:color="auto"/>
        <w:left w:val="none" w:sz="0" w:space="0" w:color="auto"/>
        <w:bottom w:val="none" w:sz="0" w:space="0" w:color="auto"/>
        <w:right w:val="none" w:sz="0" w:space="0" w:color="auto"/>
      </w:divBdr>
    </w:div>
    <w:div w:id="1557817607">
      <w:bodyDiv w:val="1"/>
      <w:marLeft w:val="0"/>
      <w:marRight w:val="0"/>
      <w:marTop w:val="0"/>
      <w:marBottom w:val="0"/>
      <w:divBdr>
        <w:top w:val="none" w:sz="0" w:space="0" w:color="auto"/>
        <w:left w:val="none" w:sz="0" w:space="0" w:color="auto"/>
        <w:bottom w:val="none" w:sz="0" w:space="0" w:color="auto"/>
        <w:right w:val="none" w:sz="0" w:space="0" w:color="auto"/>
      </w:divBdr>
    </w:div>
    <w:div w:id="1590121699">
      <w:bodyDiv w:val="1"/>
      <w:marLeft w:val="0"/>
      <w:marRight w:val="0"/>
      <w:marTop w:val="0"/>
      <w:marBottom w:val="0"/>
      <w:divBdr>
        <w:top w:val="none" w:sz="0" w:space="0" w:color="auto"/>
        <w:left w:val="none" w:sz="0" w:space="0" w:color="auto"/>
        <w:bottom w:val="none" w:sz="0" w:space="0" w:color="auto"/>
        <w:right w:val="none" w:sz="0" w:space="0" w:color="auto"/>
      </w:divBdr>
    </w:div>
    <w:div w:id="1681732451">
      <w:bodyDiv w:val="1"/>
      <w:marLeft w:val="0"/>
      <w:marRight w:val="0"/>
      <w:marTop w:val="0"/>
      <w:marBottom w:val="0"/>
      <w:divBdr>
        <w:top w:val="none" w:sz="0" w:space="0" w:color="auto"/>
        <w:left w:val="none" w:sz="0" w:space="0" w:color="auto"/>
        <w:bottom w:val="none" w:sz="0" w:space="0" w:color="auto"/>
        <w:right w:val="none" w:sz="0" w:space="0" w:color="auto"/>
      </w:divBdr>
    </w:div>
    <w:div w:id="1697730522">
      <w:bodyDiv w:val="1"/>
      <w:marLeft w:val="0"/>
      <w:marRight w:val="0"/>
      <w:marTop w:val="0"/>
      <w:marBottom w:val="0"/>
      <w:divBdr>
        <w:top w:val="none" w:sz="0" w:space="0" w:color="auto"/>
        <w:left w:val="none" w:sz="0" w:space="0" w:color="auto"/>
        <w:bottom w:val="none" w:sz="0" w:space="0" w:color="auto"/>
        <w:right w:val="none" w:sz="0" w:space="0" w:color="auto"/>
      </w:divBdr>
    </w:div>
    <w:div w:id="1743528676">
      <w:bodyDiv w:val="1"/>
      <w:marLeft w:val="0"/>
      <w:marRight w:val="0"/>
      <w:marTop w:val="0"/>
      <w:marBottom w:val="0"/>
      <w:divBdr>
        <w:top w:val="none" w:sz="0" w:space="0" w:color="auto"/>
        <w:left w:val="none" w:sz="0" w:space="0" w:color="auto"/>
        <w:bottom w:val="none" w:sz="0" w:space="0" w:color="auto"/>
        <w:right w:val="none" w:sz="0" w:space="0" w:color="auto"/>
      </w:divBdr>
    </w:div>
    <w:div w:id="1803040836">
      <w:bodyDiv w:val="1"/>
      <w:marLeft w:val="0"/>
      <w:marRight w:val="0"/>
      <w:marTop w:val="0"/>
      <w:marBottom w:val="0"/>
      <w:divBdr>
        <w:top w:val="none" w:sz="0" w:space="0" w:color="auto"/>
        <w:left w:val="none" w:sz="0" w:space="0" w:color="auto"/>
        <w:bottom w:val="none" w:sz="0" w:space="0" w:color="auto"/>
        <w:right w:val="none" w:sz="0" w:space="0" w:color="auto"/>
      </w:divBdr>
      <w:divsChild>
        <w:div w:id="1658997907">
          <w:marLeft w:val="230"/>
          <w:marRight w:val="0"/>
          <w:marTop w:val="0"/>
          <w:marBottom w:val="0"/>
          <w:divBdr>
            <w:top w:val="none" w:sz="0" w:space="0" w:color="auto"/>
            <w:left w:val="none" w:sz="0" w:space="0" w:color="auto"/>
            <w:bottom w:val="none" w:sz="0" w:space="0" w:color="auto"/>
            <w:right w:val="none" w:sz="0" w:space="0" w:color="auto"/>
          </w:divBdr>
        </w:div>
        <w:div w:id="1670133247">
          <w:marLeft w:val="230"/>
          <w:marRight w:val="0"/>
          <w:marTop w:val="0"/>
          <w:marBottom w:val="0"/>
          <w:divBdr>
            <w:top w:val="none" w:sz="0" w:space="0" w:color="auto"/>
            <w:left w:val="none" w:sz="0" w:space="0" w:color="auto"/>
            <w:bottom w:val="none" w:sz="0" w:space="0" w:color="auto"/>
            <w:right w:val="none" w:sz="0" w:space="0" w:color="auto"/>
          </w:divBdr>
        </w:div>
        <w:div w:id="59642484">
          <w:marLeft w:val="230"/>
          <w:marRight w:val="0"/>
          <w:marTop w:val="0"/>
          <w:marBottom w:val="0"/>
          <w:divBdr>
            <w:top w:val="none" w:sz="0" w:space="0" w:color="auto"/>
            <w:left w:val="none" w:sz="0" w:space="0" w:color="auto"/>
            <w:bottom w:val="none" w:sz="0" w:space="0" w:color="auto"/>
            <w:right w:val="none" w:sz="0" w:space="0" w:color="auto"/>
          </w:divBdr>
        </w:div>
      </w:divsChild>
    </w:div>
    <w:div w:id="2074548159">
      <w:bodyDiv w:val="1"/>
      <w:marLeft w:val="0"/>
      <w:marRight w:val="0"/>
      <w:marTop w:val="0"/>
      <w:marBottom w:val="0"/>
      <w:divBdr>
        <w:top w:val="none" w:sz="0" w:space="0" w:color="auto"/>
        <w:left w:val="none" w:sz="0" w:space="0" w:color="auto"/>
        <w:bottom w:val="none" w:sz="0" w:space="0" w:color="auto"/>
        <w:right w:val="none" w:sz="0" w:space="0" w:color="auto"/>
      </w:divBdr>
    </w:div>
    <w:div w:id="2088644234">
      <w:bodyDiv w:val="1"/>
      <w:marLeft w:val="0"/>
      <w:marRight w:val="0"/>
      <w:marTop w:val="0"/>
      <w:marBottom w:val="0"/>
      <w:divBdr>
        <w:top w:val="none" w:sz="0" w:space="0" w:color="auto"/>
        <w:left w:val="none" w:sz="0" w:space="0" w:color="auto"/>
        <w:bottom w:val="none" w:sz="0" w:space="0" w:color="auto"/>
        <w:right w:val="none" w:sz="0" w:space="0" w:color="auto"/>
      </w:divBdr>
    </w:div>
    <w:div w:id="2112702424">
      <w:bodyDiv w:val="1"/>
      <w:marLeft w:val="0"/>
      <w:marRight w:val="0"/>
      <w:marTop w:val="0"/>
      <w:marBottom w:val="0"/>
      <w:divBdr>
        <w:top w:val="none" w:sz="0" w:space="0" w:color="auto"/>
        <w:left w:val="none" w:sz="0" w:space="0" w:color="auto"/>
        <w:bottom w:val="none" w:sz="0" w:space="0" w:color="auto"/>
        <w:right w:val="none" w:sz="0" w:space="0" w:color="auto"/>
      </w:divBdr>
    </w:div>
    <w:div w:id="2129622775">
      <w:bodyDiv w:val="1"/>
      <w:marLeft w:val="0"/>
      <w:marRight w:val="0"/>
      <w:marTop w:val="0"/>
      <w:marBottom w:val="0"/>
      <w:divBdr>
        <w:top w:val="none" w:sz="0" w:space="0" w:color="auto"/>
        <w:left w:val="none" w:sz="0" w:space="0" w:color="auto"/>
        <w:bottom w:val="none" w:sz="0" w:space="0" w:color="auto"/>
        <w:right w:val="none" w:sz="0" w:space="0" w:color="auto"/>
      </w:divBdr>
    </w:div>
    <w:div w:id="2144494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webSetting" Target="webSettings0.xml" Id="rId29"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NL/TXT/PDF/?uri=CELEX:32021R0100" TargetMode="External"/><Relationship Id="rId2" Type="http://schemas.openxmlformats.org/officeDocument/2006/relationships/hyperlink" Target="https://wetten.overheid.nl/BWBV0004458/1962-10-30" TargetMode="External"/><Relationship Id="rId1" Type="http://schemas.openxmlformats.org/officeDocument/2006/relationships/hyperlink" Target="https://www.raadvanstate.nl/uitspraken/@154885/202207124-1-r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44</ap:Pages>
  <ap:Words>13781</ap:Words>
  <ap:Characters>75801</ap:Characters>
  <ap:DocSecurity>0</ap:DocSecurity>
  <ap:Lines>631</ap:Lines>
  <ap:Paragraphs>178</ap:Paragraphs>
  <ap:ScaleCrop>false</ap:ScaleCrop>
  <ap:LinksUpToDate>false</ap:LinksUpToDate>
  <ap:CharactersWithSpaces>89404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2026-04-23T12:18:00.0000000Z</dcterms:created>
  <dcterms:modified xsi:type="dcterms:W3CDTF">2026-04-23T12:18:00.0000000Z</dcterms:modified>
  <version/>
  <category/>
</coreProperties>
</file>