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548" w:rsidRDefault="00E35C34">
      <w:pPr>
        <w:pStyle w:val="Heading1"/>
      </w:pPr>
      <w:bookmarkStart w:name="_GoBack" w:id="0"/>
      <w:bookmarkEnd w:id="0"/>
      <w:r>
        <w:t>Beantwoording</w:t>
      </w:r>
      <w:r>
        <w:rPr>
          <w:spacing w:val="-8"/>
        </w:rPr>
        <w:t xml:space="preserve"> </w:t>
      </w:r>
      <w:r>
        <w:t>Schriftelijk</w:t>
      </w:r>
      <w:r>
        <w:rPr>
          <w:spacing w:val="-7"/>
        </w:rPr>
        <w:t xml:space="preserve"> </w:t>
      </w:r>
      <w:r>
        <w:t>Overleg</w:t>
      </w:r>
      <w:r>
        <w:rPr>
          <w:spacing w:val="-6"/>
        </w:rPr>
        <w:t xml:space="preserve"> </w:t>
      </w:r>
      <w:r>
        <w:t>t.b.v.</w:t>
      </w:r>
      <w:r>
        <w:rPr>
          <w:spacing w:val="-6"/>
        </w:rPr>
        <w:t xml:space="preserve"> </w:t>
      </w:r>
      <w:r>
        <w:t>extra</w:t>
      </w:r>
      <w:r>
        <w:rPr>
          <w:spacing w:val="-7"/>
        </w:rPr>
        <w:t xml:space="preserve"> </w:t>
      </w:r>
      <w:r>
        <w:t>digitale</w:t>
      </w:r>
      <w:r>
        <w:rPr>
          <w:spacing w:val="-6"/>
        </w:rPr>
        <w:t xml:space="preserve"> </w:t>
      </w:r>
      <w:r>
        <w:t>informele</w:t>
      </w:r>
      <w:r>
        <w:t xml:space="preserve"> videoconferentie EU-transportministers d.d. 21 april 2026</w:t>
      </w:r>
    </w:p>
    <w:p w:rsidR="00844548" w:rsidRDefault="00E35C34">
      <w:pPr>
        <w:spacing w:before="219" w:line="219" w:lineRule="exact"/>
        <w:ind w:left="23"/>
        <w:rPr>
          <w:b/>
          <w:sz w:val="18"/>
        </w:rPr>
      </w:pPr>
      <w:r>
        <w:rPr>
          <w:b/>
          <w:spacing w:val="-2"/>
          <w:sz w:val="18"/>
          <w:u w:val="single"/>
        </w:rPr>
        <w:t>GroenLinks-PvdA-fractie</w:t>
      </w:r>
    </w:p>
    <w:p w:rsidR="00844548" w:rsidRDefault="00E35C34">
      <w:pPr>
        <w:pStyle w:val="Heading2"/>
        <w:numPr>
          <w:ilvl w:val="0"/>
          <w:numId w:val="1"/>
        </w:numPr>
        <w:tabs>
          <w:tab w:val="left" w:pos="743"/>
        </w:tabs>
        <w:ind w:right="67"/>
      </w:pPr>
      <w:r>
        <w:t>De leden van de GroenLinks-PvdA-fractie begrijpen dat de Europese Commissie het verstandig vindt dat EU-lidstaten het gebruik van het openbaar vervoer stimuleren</w:t>
      </w:r>
      <w:r>
        <w:rPr>
          <w:spacing w:val="-5"/>
        </w:rPr>
        <w:t xml:space="preserve"> </w:t>
      </w:r>
      <w:r>
        <w:t>zodat</w:t>
      </w:r>
      <w:r>
        <w:rPr>
          <w:spacing w:val="-4"/>
        </w:rPr>
        <w:t xml:space="preserve"> </w:t>
      </w:r>
      <w:r>
        <w:t>inwoners</w:t>
      </w:r>
      <w:r>
        <w:rPr>
          <w:spacing w:val="-3"/>
        </w:rPr>
        <w:t xml:space="preserve"> </w:t>
      </w:r>
      <w:r>
        <w:t>vaker</w:t>
      </w:r>
      <w:r>
        <w:rPr>
          <w:spacing w:val="-4"/>
        </w:rPr>
        <w:t xml:space="preserve"> </w:t>
      </w:r>
      <w:r>
        <w:t>op</w:t>
      </w:r>
      <w:r>
        <w:rPr>
          <w:spacing w:val="-5"/>
        </w:rPr>
        <w:t xml:space="preserve"> </w:t>
      </w:r>
      <w:r>
        <w:t>een</w:t>
      </w:r>
      <w:r>
        <w:rPr>
          <w:spacing w:val="-5"/>
        </w:rPr>
        <w:t xml:space="preserve"> </w:t>
      </w:r>
      <w:r>
        <w:t>brandstof</w:t>
      </w:r>
      <w:r>
        <w:rPr>
          <w:spacing w:val="-3"/>
        </w:rPr>
        <w:t xml:space="preserve"> </w:t>
      </w:r>
      <w:r>
        <w:t>besparende</w:t>
      </w:r>
      <w:r>
        <w:rPr>
          <w:spacing w:val="-3"/>
        </w:rPr>
        <w:t xml:space="preserve"> </w:t>
      </w:r>
      <w:r>
        <w:t>wijze</w:t>
      </w:r>
      <w:r>
        <w:rPr>
          <w:spacing w:val="-6"/>
        </w:rPr>
        <w:t xml:space="preserve"> </w:t>
      </w:r>
      <w:r>
        <w:t>reizen.</w:t>
      </w:r>
      <w:r>
        <w:rPr>
          <w:spacing w:val="-5"/>
        </w:rPr>
        <w:t xml:space="preserve"> </w:t>
      </w:r>
      <w:r>
        <w:t>Deze leden juichen het toe wann</w:t>
      </w:r>
      <w:r>
        <w:t>eer de Europese Commissie hier voorstellen op zou doen. In de kabinetsinzet missen deze leden dit element. Aan welke voorstellen wordt door de Europese Commissie gedacht op dit punt?</w:t>
      </w:r>
    </w:p>
    <w:p w:rsidR="00844548" w:rsidRDefault="00E35C34">
      <w:pPr>
        <w:pStyle w:val="BodyText"/>
        <w:spacing w:before="218"/>
        <w:ind w:left="743" w:right="130"/>
      </w:pPr>
      <w:r>
        <w:t>Op</w:t>
      </w:r>
      <w:r>
        <w:rPr>
          <w:spacing w:val="-3"/>
        </w:rPr>
        <w:t xml:space="preserve"> </w:t>
      </w:r>
      <w:r>
        <w:t>22</w:t>
      </w:r>
      <w:r>
        <w:rPr>
          <w:spacing w:val="-3"/>
        </w:rPr>
        <w:t xml:space="preserve"> </w:t>
      </w:r>
      <w:r>
        <w:t>april</w:t>
      </w:r>
      <w:r>
        <w:rPr>
          <w:spacing w:val="-2"/>
        </w:rPr>
        <w:t xml:space="preserve"> </w:t>
      </w:r>
      <w:r>
        <w:t>a.s.</w:t>
      </w:r>
      <w:r>
        <w:rPr>
          <w:spacing w:val="-3"/>
        </w:rPr>
        <w:t xml:space="preserve"> </w:t>
      </w:r>
      <w:r>
        <w:t>heeft</w:t>
      </w:r>
      <w:r>
        <w:rPr>
          <w:spacing w:val="-2"/>
        </w:rPr>
        <w:t xml:space="preserve"> </w:t>
      </w:r>
      <w:r>
        <w:t>de</w:t>
      </w:r>
      <w:r>
        <w:rPr>
          <w:spacing w:val="-3"/>
        </w:rPr>
        <w:t xml:space="preserve"> </w:t>
      </w:r>
      <w:r>
        <w:t>Europese</w:t>
      </w:r>
      <w:r>
        <w:rPr>
          <w:spacing w:val="-2"/>
        </w:rPr>
        <w:t xml:space="preserve"> </w:t>
      </w:r>
      <w:r>
        <w:t>Commissie</w:t>
      </w:r>
      <w:r>
        <w:rPr>
          <w:spacing w:val="-1"/>
        </w:rPr>
        <w:t xml:space="preserve"> </w:t>
      </w:r>
      <w:r>
        <w:t>een</w:t>
      </w:r>
      <w:r>
        <w:rPr>
          <w:spacing w:val="-2"/>
        </w:rPr>
        <w:t xml:space="preserve"> </w:t>
      </w:r>
      <w:r>
        <w:t>mededeling</w:t>
      </w:r>
      <w:r>
        <w:rPr>
          <w:spacing w:val="-2"/>
        </w:rPr>
        <w:t xml:space="preserve"> </w:t>
      </w:r>
      <w:r>
        <w:t>gepubliceerd</w:t>
      </w:r>
      <w:r>
        <w:rPr>
          <w:spacing w:val="-2"/>
        </w:rPr>
        <w:t xml:space="preserve"> </w:t>
      </w:r>
      <w:r>
        <w:t>als</w:t>
      </w:r>
      <w:r>
        <w:rPr>
          <w:spacing w:val="-5"/>
        </w:rPr>
        <w:t xml:space="preserve"> </w:t>
      </w:r>
      <w:r>
        <w:t>reactie</w:t>
      </w:r>
      <w:r>
        <w:rPr>
          <w:spacing w:val="-2"/>
        </w:rPr>
        <w:t xml:space="preserve"> </w:t>
      </w:r>
      <w:r>
        <w:t xml:space="preserve">op de energieschok om lidstaten te ondersteunen op zowel de korte termijn, als het versnellen van de transitie op de middellange termijn. De Mededeling omvat een aankondiging van niet-wetgevende en enkele wetgevende maatregelen, alsook een </w:t>
      </w:r>
      <w:r>
        <w:rPr>
          <w:i/>
        </w:rPr>
        <w:t>tool</w:t>
      </w:r>
      <w:r>
        <w:rPr>
          <w:i/>
        </w:rPr>
        <w:t>box</w:t>
      </w:r>
      <w:r>
        <w:t>/</w:t>
      </w:r>
      <w:r>
        <w:rPr>
          <w:i/>
        </w:rPr>
        <w:t xml:space="preserve">best practices </w:t>
      </w:r>
      <w:r>
        <w:t>met nationale maatregelen die lidstaten kunnen nemen.</w:t>
      </w:r>
    </w:p>
    <w:p w:rsidR="00844548" w:rsidRDefault="00844548">
      <w:pPr>
        <w:pStyle w:val="BodyText"/>
        <w:spacing w:before="1"/>
      </w:pPr>
    </w:p>
    <w:p w:rsidR="00844548" w:rsidRDefault="00E35C34">
      <w:pPr>
        <w:pStyle w:val="BodyText"/>
        <w:ind w:left="743"/>
      </w:pPr>
      <w:r>
        <w:t>De</w:t>
      </w:r>
      <w:r>
        <w:rPr>
          <w:spacing w:val="-3"/>
        </w:rPr>
        <w:t xml:space="preserve"> </w:t>
      </w:r>
      <w:r>
        <w:t>mededeling</w:t>
      </w:r>
      <w:r>
        <w:rPr>
          <w:spacing w:val="-4"/>
        </w:rPr>
        <w:t xml:space="preserve"> </w:t>
      </w:r>
      <w:r>
        <w:t>bevat</w:t>
      </w:r>
      <w:r>
        <w:rPr>
          <w:spacing w:val="-4"/>
        </w:rPr>
        <w:t xml:space="preserve"> </w:t>
      </w:r>
      <w:r>
        <w:t>een</w:t>
      </w:r>
      <w:r>
        <w:rPr>
          <w:spacing w:val="-6"/>
        </w:rPr>
        <w:t xml:space="preserve"> </w:t>
      </w:r>
      <w:r>
        <w:t>aantal</w:t>
      </w:r>
      <w:r>
        <w:rPr>
          <w:spacing w:val="-4"/>
        </w:rPr>
        <w:t xml:space="preserve"> </w:t>
      </w:r>
      <w:r>
        <w:t>voorstellen</w:t>
      </w:r>
      <w:r>
        <w:rPr>
          <w:spacing w:val="-3"/>
        </w:rPr>
        <w:t xml:space="preserve"> </w:t>
      </w:r>
      <w:r>
        <w:t>waar</w:t>
      </w:r>
      <w:r>
        <w:rPr>
          <w:spacing w:val="-5"/>
        </w:rPr>
        <w:t xml:space="preserve"> </w:t>
      </w:r>
      <w:r>
        <w:t>Nederland</w:t>
      </w:r>
      <w:r>
        <w:rPr>
          <w:spacing w:val="-4"/>
        </w:rPr>
        <w:t xml:space="preserve"> </w:t>
      </w:r>
      <w:r>
        <w:t>voor</w:t>
      </w:r>
      <w:r>
        <w:rPr>
          <w:spacing w:val="-4"/>
        </w:rPr>
        <w:t xml:space="preserve"> </w:t>
      </w:r>
      <w:r>
        <w:t>heeft</w:t>
      </w:r>
      <w:r>
        <w:rPr>
          <w:spacing w:val="-3"/>
        </w:rPr>
        <w:t xml:space="preserve"> </w:t>
      </w:r>
      <w:r>
        <w:t>gepleit</w:t>
      </w:r>
      <w:r>
        <w:rPr>
          <w:spacing w:val="-6"/>
        </w:rPr>
        <w:t xml:space="preserve"> </w:t>
      </w:r>
      <w:r>
        <w:t>richting</w:t>
      </w:r>
      <w:r>
        <w:rPr>
          <w:spacing w:val="-4"/>
        </w:rPr>
        <w:t xml:space="preserve"> </w:t>
      </w:r>
      <w:r>
        <w:t>de Commissie en andere Europese lidstaten, waaronder: sterkere coördinatie van de Commissie voor olie en gas; sterkere coördinatie energiebesparing; en aanpassing wetgevend kader voor netwerktarieven.</w:t>
      </w:r>
    </w:p>
    <w:p w:rsidR="00844548" w:rsidRDefault="00844548">
      <w:pPr>
        <w:pStyle w:val="BodyText"/>
        <w:spacing w:before="1"/>
      </w:pPr>
    </w:p>
    <w:p w:rsidR="00844548" w:rsidRDefault="00E35C34">
      <w:pPr>
        <w:pStyle w:val="BodyText"/>
        <w:ind w:left="743"/>
      </w:pPr>
      <w:r>
        <w:t>Daarnaast</w:t>
      </w:r>
      <w:r>
        <w:rPr>
          <w:spacing w:val="-3"/>
        </w:rPr>
        <w:t xml:space="preserve"> </w:t>
      </w:r>
      <w:r>
        <w:t>zitten</w:t>
      </w:r>
      <w:r>
        <w:rPr>
          <w:spacing w:val="-3"/>
        </w:rPr>
        <w:t xml:space="preserve"> </w:t>
      </w:r>
      <w:r>
        <w:t>er</w:t>
      </w:r>
      <w:r>
        <w:rPr>
          <w:spacing w:val="-4"/>
        </w:rPr>
        <w:t xml:space="preserve"> </w:t>
      </w:r>
      <w:r>
        <w:t>veel</w:t>
      </w:r>
      <w:r>
        <w:rPr>
          <w:spacing w:val="-3"/>
        </w:rPr>
        <w:t xml:space="preserve"> </w:t>
      </w:r>
      <w:r>
        <w:t>niet-wetgevende</w:t>
      </w:r>
      <w:r>
        <w:rPr>
          <w:spacing w:val="-4"/>
        </w:rPr>
        <w:t xml:space="preserve"> </w:t>
      </w:r>
      <w:r>
        <w:t>initiatieven</w:t>
      </w:r>
      <w:r>
        <w:rPr>
          <w:spacing w:val="-5"/>
        </w:rPr>
        <w:t xml:space="preserve"> </w:t>
      </w:r>
      <w:r>
        <w:t>in</w:t>
      </w:r>
      <w:r>
        <w:rPr>
          <w:spacing w:val="-3"/>
        </w:rPr>
        <w:t xml:space="preserve"> </w:t>
      </w:r>
      <w:r>
        <w:t>het</w:t>
      </w:r>
      <w:r>
        <w:rPr>
          <w:spacing w:val="-3"/>
        </w:rPr>
        <w:t xml:space="preserve"> </w:t>
      </w:r>
      <w:r>
        <w:t>voorstel</w:t>
      </w:r>
      <w:r>
        <w:rPr>
          <w:spacing w:val="-3"/>
        </w:rPr>
        <w:t xml:space="preserve"> </w:t>
      </w:r>
      <w:r>
        <w:t>gericht</w:t>
      </w:r>
      <w:r>
        <w:rPr>
          <w:spacing w:val="-3"/>
        </w:rPr>
        <w:t xml:space="preserve"> </w:t>
      </w:r>
      <w:r>
        <w:t>op</w:t>
      </w:r>
      <w:r>
        <w:rPr>
          <w:spacing w:val="-4"/>
        </w:rPr>
        <w:t xml:space="preserve"> </w:t>
      </w:r>
      <w:r>
        <w:t xml:space="preserve">uitwisseling van </w:t>
      </w:r>
      <w:r>
        <w:rPr>
          <w:i/>
        </w:rPr>
        <w:t xml:space="preserve">best practices </w:t>
      </w:r>
      <w:r>
        <w:t>tussen lidstaten en het bevorderen van energiebesparing en opschaling van schone energie.</w:t>
      </w:r>
    </w:p>
    <w:p w:rsidR="00844548" w:rsidRDefault="00E35C34">
      <w:pPr>
        <w:pStyle w:val="Heading2"/>
        <w:numPr>
          <w:ilvl w:val="0"/>
          <w:numId w:val="1"/>
        </w:numPr>
        <w:tabs>
          <w:tab w:val="left" w:pos="743"/>
        </w:tabs>
        <w:spacing w:before="217"/>
        <w:ind w:right="160"/>
      </w:pPr>
      <w:r>
        <w:t>Graag zouden de leden van de GroenLinks-PvdA-fractie zien dat ook het Nederlandse</w:t>
      </w:r>
      <w:r>
        <w:rPr>
          <w:spacing w:val="-3"/>
        </w:rPr>
        <w:t xml:space="preserve"> </w:t>
      </w:r>
      <w:r>
        <w:t>kabinet</w:t>
      </w:r>
      <w:r>
        <w:rPr>
          <w:spacing w:val="-4"/>
        </w:rPr>
        <w:t xml:space="preserve"> </w:t>
      </w:r>
      <w:r>
        <w:t>nadrukkelijk</w:t>
      </w:r>
      <w:r>
        <w:rPr>
          <w:spacing w:val="-5"/>
        </w:rPr>
        <w:t xml:space="preserve"> </w:t>
      </w:r>
      <w:r>
        <w:t>het</w:t>
      </w:r>
      <w:r>
        <w:rPr>
          <w:spacing w:val="-4"/>
        </w:rPr>
        <w:t xml:space="preserve"> </w:t>
      </w:r>
      <w:r>
        <w:t>belang</w:t>
      </w:r>
      <w:r>
        <w:rPr>
          <w:spacing w:val="-5"/>
        </w:rPr>
        <w:t xml:space="preserve"> </w:t>
      </w:r>
      <w:r>
        <w:t>van</w:t>
      </w:r>
      <w:r>
        <w:rPr>
          <w:spacing w:val="-5"/>
        </w:rPr>
        <w:t xml:space="preserve"> </w:t>
      </w:r>
      <w:r>
        <w:t>het</w:t>
      </w:r>
      <w:r>
        <w:rPr>
          <w:spacing w:val="-4"/>
        </w:rPr>
        <w:t xml:space="preserve"> </w:t>
      </w:r>
      <w:r>
        <w:t>stimuleren</w:t>
      </w:r>
      <w:r>
        <w:rPr>
          <w:spacing w:val="-5"/>
        </w:rPr>
        <w:t xml:space="preserve"> </w:t>
      </w:r>
      <w:r>
        <w:t>van</w:t>
      </w:r>
      <w:r>
        <w:rPr>
          <w:spacing w:val="-5"/>
        </w:rPr>
        <w:t xml:space="preserve"> </w:t>
      </w:r>
      <w:r>
        <w:t>het</w:t>
      </w:r>
      <w:r>
        <w:rPr>
          <w:spacing w:val="-4"/>
        </w:rPr>
        <w:t xml:space="preserve"> </w:t>
      </w:r>
      <w:r>
        <w:t>gebruik van het openbaar vervoer benadrukt en voorstellen op dit vlak doet en voorstellen van de Europese Commissie op dit vlak ondersteunt. Wanneer het openbaar vervoer meer wordt gestimuleerd, draagt dit bij aan het teru</w:t>
      </w:r>
      <w:r>
        <w:t>gdringen van het brandstofgebruik in de EU. Graag ontvangen deze leden een reactie van het kabinet hierop.</w:t>
      </w:r>
    </w:p>
    <w:p w:rsidR="00844548" w:rsidRDefault="00844548">
      <w:pPr>
        <w:pStyle w:val="BodyText"/>
        <w:rPr>
          <w:b/>
        </w:rPr>
      </w:pPr>
    </w:p>
    <w:p w:rsidR="00844548" w:rsidRDefault="00E35C34">
      <w:pPr>
        <w:pStyle w:val="BodyText"/>
        <w:ind w:left="743" w:right="130"/>
        <w:rPr>
          <w:position w:val="6"/>
          <w:sz w:val="12"/>
        </w:rPr>
      </w:pPr>
      <w:r>
        <w:t>Tijdens</w:t>
      </w:r>
      <w:r>
        <w:rPr>
          <w:spacing w:val="-6"/>
        </w:rPr>
        <w:t xml:space="preserve"> </w:t>
      </w:r>
      <w:r>
        <w:t>het</w:t>
      </w:r>
      <w:r>
        <w:rPr>
          <w:spacing w:val="-3"/>
        </w:rPr>
        <w:t xml:space="preserve"> </w:t>
      </w:r>
      <w:r>
        <w:t>Commissiedebat</w:t>
      </w:r>
      <w:r>
        <w:rPr>
          <w:spacing w:val="-4"/>
        </w:rPr>
        <w:t xml:space="preserve"> </w:t>
      </w:r>
      <w:r>
        <w:t>OV</w:t>
      </w:r>
      <w:r>
        <w:rPr>
          <w:spacing w:val="-4"/>
        </w:rPr>
        <w:t xml:space="preserve"> </w:t>
      </w:r>
      <w:r>
        <w:t>en</w:t>
      </w:r>
      <w:r>
        <w:rPr>
          <w:spacing w:val="-3"/>
        </w:rPr>
        <w:t xml:space="preserve"> </w:t>
      </w:r>
      <w:r>
        <w:t>taxi</w:t>
      </w:r>
      <w:r>
        <w:rPr>
          <w:spacing w:val="-3"/>
        </w:rPr>
        <w:t xml:space="preserve"> </w:t>
      </w:r>
      <w:r>
        <w:t>van</w:t>
      </w:r>
      <w:r>
        <w:rPr>
          <w:spacing w:val="-3"/>
        </w:rPr>
        <w:t xml:space="preserve"> </w:t>
      </w:r>
      <w:r>
        <w:t>15</w:t>
      </w:r>
      <w:r>
        <w:rPr>
          <w:spacing w:val="-4"/>
        </w:rPr>
        <w:t xml:space="preserve"> </w:t>
      </w:r>
      <w:r>
        <w:t>april</w:t>
      </w:r>
      <w:r>
        <w:rPr>
          <w:spacing w:val="-5"/>
        </w:rPr>
        <w:t xml:space="preserve"> </w:t>
      </w:r>
      <w:r>
        <w:t>2026</w:t>
      </w:r>
      <w:r>
        <w:rPr>
          <w:spacing w:val="-4"/>
        </w:rPr>
        <w:t xml:space="preserve"> </w:t>
      </w:r>
      <w:r>
        <w:t>jl.</w:t>
      </w:r>
      <w:r>
        <w:rPr>
          <w:spacing w:val="-4"/>
        </w:rPr>
        <w:t xml:space="preserve"> </w:t>
      </w:r>
      <w:r>
        <w:t>heeft</w:t>
      </w:r>
      <w:r>
        <w:rPr>
          <w:spacing w:val="-3"/>
        </w:rPr>
        <w:t xml:space="preserve"> </w:t>
      </w:r>
      <w:r>
        <w:t>de</w:t>
      </w:r>
      <w:r>
        <w:rPr>
          <w:spacing w:val="-4"/>
        </w:rPr>
        <w:t xml:space="preserve"> </w:t>
      </w:r>
      <w:r>
        <w:t>staatssecretaris</w:t>
      </w:r>
      <w:r>
        <w:rPr>
          <w:spacing w:val="-4"/>
        </w:rPr>
        <w:t xml:space="preserve"> </w:t>
      </w:r>
      <w:r>
        <w:t>van IenW aangegeven dat een taskforce in de sector gaat kijken naar de mogelijkheid van goedkoper vervoer op de korte en middellange termijn. Tijdens het Nationaal Openbaar Vervoer Beraad van 23 april is daar verder over gesproken. Verder verwijst het kabi</w:t>
      </w:r>
      <w:r>
        <w:t>net naar brief aan de Tweede Kamer over Acties weerbaarheid energieschok van 20 april jl.</w:t>
      </w:r>
      <w:hyperlink w:history="1" w:anchor="_bookmark0">
        <w:r>
          <w:rPr>
            <w:position w:val="6"/>
            <w:sz w:val="12"/>
          </w:rPr>
          <w:t>1</w:t>
        </w:r>
      </w:hyperlink>
    </w:p>
    <w:p w:rsidR="00844548" w:rsidRDefault="00844548">
      <w:pPr>
        <w:pStyle w:val="BodyText"/>
      </w:pPr>
    </w:p>
    <w:p w:rsidR="00844548" w:rsidRDefault="00E35C34">
      <w:pPr>
        <w:pStyle w:val="Heading2"/>
        <w:numPr>
          <w:ilvl w:val="0"/>
          <w:numId w:val="1"/>
        </w:numPr>
        <w:tabs>
          <w:tab w:val="left" w:pos="743"/>
        </w:tabs>
        <w:ind w:right="131"/>
      </w:pPr>
      <w:r>
        <w:t>De leden van de GroenLinks-PvdA-fractie geven aan dat niet alleen binnen EU-lidstaten het van belang is om het gebruik van het openbaa</w:t>
      </w:r>
      <w:r>
        <w:t>r vervoer aantrekkelijker te maken. Ook tussen EU-lidstaten is het naar de mening van deze leden van belang dat het openbaar vervoer wordt verbeterd en gestimuleerd. Nog steeds zijn er dagelijks bijvoorbeeld vele korteafstandsvluchten</w:t>
      </w:r>
      <w:r>
        <w:rPr>
          <w:spacing w:val="-3"/>
        </w:rPr>
        <w:t xml:space="preserve"> </w:t>
      </w:r>
      <w:r>
        <w:t>die</w:t>
      </w:r>
      <w:r>
        <w:rPr>
          <w:spacing w:val="-1"/>
        </w:rPr>
        <w:t xml:space="preserve"> </w:t>
      </w:r>
      <w:r>
        <w:t>op</w:t>
      </w:r>
      <w:r>
        <w:rPr>
          <w:spacing w:val="-3"/>
        </w:rPr>
        <w:t xml:space="preserve"> </w:t>
      </w:r>
      <w:r>
        <w:t>een</w:t>
      </w:r>
      <w:r>
        <w:rPr>
          <w:spacing w:val="-3"/>
        </w:rPr>
        <w:t xml:space="preserve"> </w:t>
      </w:r>
      <w:r>
        <w:t>veel</w:t>
      </w:r>
      <w:r>
        <w:rPr>
          <w:spacing w:val="-3"/>
        </w:rPr>
        <w:t xml:space="preserve"> </w:t>
      </w:r>
      <w:r>
        <w:t>zuini</w:t>
      </w:r>
      <w:r>
        <w:t>gere</w:t>
      </w:r>
      <w:r>
        <w:rPr>
          <w:spacing w:val="-2"/>
        </w:rPr>
        <w:t xml:space="preserve"> </w:t>
      </w:r>
      <w:r>
        <w:t>manier</w:t>
      </w:r>
      <w:r>
        <w:rPr>
          <w:spacing w:val="-2"/>
        </w:rPr>
        <w:t xml:space="preserve"> </w:t>
      </w:r>
      <w:r>
        <w:t>per</w:t>
      </w:r>
      <w:r>
        <w:rPr>
          <w:spacing w:val="-2"/>
        </w:rPr>
        <w:t xml:space="preserve"> </w:t>
      </w:r>
      <w:r>
        <w:t>trein</w:t>
      </w:r>
      <w:r>
        <w:rPr>
          <w:spacing w:val="-3"/>
        </w:rPr>
        <w:t xml:space="preserve"> </w:t>
      </w:r>
      <w:r>
        <w:t>zouden</w:t>
      </w:r>
      <w:r>
        <w:rPr>
          <w:spacing w:val="-3"/>
        </w:rPr>
        <w:t xml:space="preserve"> </w:t>
      </w:r>
      <w:r>
        <w:t>kunnen worden afgelegd. Ondanks veel mooie woorden lukt het EU-lidstaten slechts beperkt om het internationale treinverkeer verder te stimuleren en aantrekkelijker</w:t>
      </w:r>
      <w:r>
        <w:rPr>
          <w:spacing w:val="-3"/>
        </w:rPr>
        <w:t xml:space="preserve"> </w:t>
      </w:r>
      <w:r>
        <w:t>te</w:t>
      </w:r>
      <w:r>
        <w:rPr>
          <w:spacing w:val="-3"/>
        </w:rPr>
        <w:t xml:space="preserve"> </w:t>
      </w:r>
      <w:r>
        <w:t>maken.</w:t>
      </w:r>
      <w:r>
        <w:rPr>
          <w:spacing w:val="-4"/>
        </w:rPr>
        <w:t xml:space="preserve"> </w:t>
      </w:r>
      <w:r>
        <w:t>Deelt</w:t>
      </w:r>
      <w:r>
        <w:rPr>
          <w:spacing w:val="-3"/>
        </w:rPr>
        <w:t xml:space="preserve"> </w:t>
      </w:r>
      <w:r>
        <w:t>het</w:t>
      </w:r>
      <w:r>
        <w:rPr>
          <w:spacing w:val="-3"/>
        </w:rPr>
        <w:t xml:space="preserve"> </w:t>
      </w:r>
      <w:r>
        <w:t>kabinet</w:t>
      </w:r>
      <w:r>
        <w:rPr>
          <w:spacing w:val="-3"/>
        </w:rPr>
        <w:t xml:space="preserve"> </w:t>
      </w:r>
      <w:r>
        <w:t>deze</w:t>
      </w:r>
      <w:r>
        <w:rPr>
          <w:spacing w:val="-2"/>
        </w:rPr>
        <w:t xml:space="preserve"> </w:t>
      </w:r>
      <w:r>
        <w:t>zorg</w:t>
      </w:r>
      <w:r>
        <w:rPr>
          <w:spacing w:val="-4"/>
        </w:rPr>
        <w:t xml:space="preserve"> </w:t>
      </w:r>
      <w:r>
        <w:t>en</w:t>
      </w:r>
      <w:r>
        <w:rPr>
          <w:spacing w:val="-4"/>
        </w:rPr>
        <w:t xml:space="preserve"> </w:t>
      </w:r>
      <w:r>
        <w:t>ziet</w:t>
      </w:r>
      <w:r>
        <w:rPr>
          <w:spacing w:val="-3"/>
        </w:rPr>
        <w:t xml:space="preserve"> </w:t>
      </w:r>
      <w:r>
        <w:t>het</w:t>
      </w:r>
      <w:r>
        <w:rPr>
          <w:spacing w:val="-3"/>
        </w:rPr>
        <w:t xml:space="preserve"> </w:t>
      </w:r>
      <w:r>
        <w:t>kabinet</w:t>
      </w:r>
      <w:r>
        <w:rPr>
          <w:spacing w:val="-3"/>
        </w:rPr>
        <w:t xml:space="preserve"> </w:t>
      </w:r>
      <w:r>
        <w:t>kanse</w:t>
      </w:r>
      <w:r>
        <w:t>n om de huidige energiecrisis als stimulans te gebruiken om versneld ook</w:t>
      </w:r>
      <w:r>
        <w:rPr>
          <w:spacing w:val="-1"/>
        </w:rPr>
        <w:t xml:space="preserve"> </w:t>
      </w:r>
      <w:r>
        <w:t>stappen te zetten op het uitbreiden van het internationaal treinvervoer?</w:t>
      </w:r>
    </w:p>
    <w:p w:rsidR="00844548" w:rsidRDefault="00844548">
      <w:pPr>
        <w:pStyle w:val="BodyText"/>
        <w:spacing w:before="1"/>
        <w:rPr>
          <w:b/>
        </w:rPr>
      </w:pPr>
    </w:p>
    <w:p w:rsidR="00844548" w:rsidRDefault="00E35C34">
      <w:pPr>
        <w:pStyle w:val="BodyText"/>
        <w:ind w:left="743"/>
      </w:pPr>
      <w:r>
        <w:t>Het kabinet steunt de ontwikkeling van het internationaal spoorvervoer in Europees verband.</w:t>
      </w:r>
      <w:r>
        <w:rPr>
          <w:spacing w:val="-5"/>
        </w:rPr>
        <w:t xml:space="preserve"> </w:t>
      </w:r>
      <w:r>
        <w:t>De</w:t>
      </w:r>
      <w:r>
        <w:rPr>
          <w:spacing w:val="-3"/>
        </w:rPr>
        <w:t xml:space="preserve"> </w:t>
      </w:r>
      <w:r>
        <w:t>huidige</w:t>
      </w:r>
      <w:r>
        <w:rPr>
          <w:spacing w:val="-4"/>
        </w:rPr>
        <w:t xml:space="preserve"> </w:t>
      </w:r>
      <w:r>
        <w:t>energi</w:t>
      </w:r>
      <w:r>
        <w:t>eschok</w:t>
      </w:r>
      <w:r>
        <w:rPr>
          <w:spacing w:val="-5"/>
        </w:rPr>
        <w:t xml:space="preserve"> </w:t>
      </w:r>
      <w:r>
        <w:t>toont</w:t>
      </w:r>
      <w:r>
        <w:rPr>
          <w:spacing w:val="-3"/>
        </w:rPr>
        <w:t xml:space="preserve"> </w:t>
      </w:r>
      <w:r>
        <w:t>het</w:t>
      </w:r>
      <w:r>
        <w:rPr>
          <w:spacing w:val="-3"/>
        </w:rPr>
        <w:t xml:space="preserve"> </w:t>
      </w:r>
      <w:r>
        <w:t>belang</w:t>
      </w:r>
      <w:r>
        <w:rPr>
          <w:spacing w:val="-4"/>
        </w:rPr>
        <w:t xml:space="preserve"> </w:t>
      </w:r>
      <w:r>
        <w:t>aan</w:t>
      </w:r>
      <w:r>
        <w:rPr>
          <w:spacing w:val="-4"/>
        </w:rPr>
        <w:t xml:space="preserve"> </w:t>
      </w:r>
      <w:r>
        <w:t>van</w:t>
      </w:r>
      <w:r>
        <w:rPr>
          <w:spacing w:val="-3"/>
        </w:rPr>
        <w:t xml:space="preserve"> </w:t>
      </w:r>
      <w:r>
        <w:t>een robuuste</w:t>
      </w:r>
      <w:r>
        <w:rPr>
          <w:spacing w:val="-3"/>
        </w:rPr>
        <w:t xml:space="preserve"> </w:t>
      </w:r>
      <w:r>
        <w:t>ontwikkeling</w:t>
      </w:r>
      <w:r>
        <w:rPr>
          <w:spacing w:val="-4"/>
        </w:rPr>
        <w:t xml:space="preserve"> </w:t>
      </w:r>
      <w:r>
        <w:t xml:space="preserve">van internationaal treinvervoer. Een aantrekkelijk raamwerk voor Europese </w:t>
      </w:r>
      <w:r>
        <w:rPr>
          <w:i/>
        </w:rPr>
        <w:t xml:space="preserve">rail ticketing </w:t>
      </w:r>
      <w:r>
        <w:t>is daarbij een belangrijk onderdeel. Het kabinet zet zich in Europese fora in voor het bevorderen van het net</w:t>
      </w:r>
      <w:r>
        <w:t>werk van internationale treindiensten.</w:t>
      </w:r>
    </w:p>
    <w:p w:rsidR="00844548" w:rsidRDefault="00844548">
      <w:pPr>
        <w:pStyle w:val="BodyText"/>
        <w:rPr>
          <w:sz w:val="20"/>
        </w:rPr>
      </w:pPr>
    </w:p>
    <w:p w:rsidR="00844548" w:rsidRDefault="00844548">
      <w:pPr>
        <w:pStyle w:val="BodyText"/>
        <w:rPr>
          <w:sz w:val="20"/>
        </w:rPr>
      </w:pPr>
    </w:p>
    <w:p w:rsidR="00844548" w:rsidRDefault="00E35C34">
      <w:pPr>
        <w:pStyle w:val="BodyText"/>
        <w:spacing w:before="177"/>
        <w:rPr>
          <w:sz w:val="20"/>
        </w:rPr>
      </w:pPr>
      <w:r>
        <w:rPr>
          <w:noProof/>
          <w:sz w:val="20"/>
          <w:lang w:val="en-GB" w:eastAsia="en-GB"/>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282401</wp:posOffset>
                </wp:positionV>
                <wp:extent cx="1829435" cy="1079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 style="position:absolute;margin-left:72.024002pt;margin-top:22.236301pt;width:144.020pt;height:.84003pt;mso-position-horizontal-relative:page;mso-position-vertical-relative:paragraph;z-index:-15728640;mso-wrap-distance-left:0;mso-wrap-distance-right:0" filled="true" fillcolor="#000000" stroked="false">
                <v:fill type="solid"/>
                <w10:wrap type="topAndBottom"/>
              </v:rect>
            </w:pict>
          </ve:Fallback>
        </mc:AlternateContent>
      </w:r>
    </w:p>
    <w:p w:rsidR="00844548" w:rsidRDefault="00E35C34">
      <w:pPr>
        <w:spacing w:before="108"/>
        <w:ind w:left="23" w:right="130"/>
        <w:rPr>
          <w:sz w:val="16"/>
        </w:rPr>
      </w:pPr>
      <w:bookmarkStart w:name="_bookmark0" w:id="1"/>
      <w:bookmarkEnd w:id="1"/>
      <w:r>
        <w:rPr>
          <w:sz w:val="16"/>
          <w:vertAlign w:val="superscript"/>
        </w:rPr>
        <w:t>1</w:t>
      </w:r>
      <w:r>
        <w:rPr>
          <w:spacing w:val="-1"/>
          <w:sz w:val="16"/>
        </w:rPr>
        <w:t xml:space="preserve"> </w:t>
      </w:r>
      <w:r>
        <w:rPr>
          <w:sz w:val="16"/>
        </w:rPr>
        <w:t>Acties</w:t>
      </w:r>
      <w:r>
        <w:rPr>
          <w:spacing w:val="-4"/>
          <w:sz w:val="16"/>
        </w:rPr>
        <w:t xml:space="preserve"> </w:t>
      </w:r>
      <w:r>
        <w:rPr>
          <w:sz w:val="16"/>
        </w:rPr>
        <w:t>Weerbaarheid</w:t>
      </w:r>
      <w:r>
        <w:rPr>
          <w:spacing w:val="-4"/>
          <w:sz w:val="16"/>
        </w:rPr>
        <w:t xml:space="preserve"> </w:t>
      </w:r>
      <w:r>
        <w:rPr>
          <w:sz w:val="16"/>
        </w:rPr>
        <w:t>Energieschok,</w:t>
      </w:r>
      <w:r>
        <w:rPr>
          <w:spacing w:val="-6"/>
          <w:sz w:val="16"/>
        </w:rPr>
        <w:t xml:space="preserve"> </w:t>
      </w:r>
      <w:r>
        <w:rPr>
          <w:sz w:val="16"/>
        </w:rPr>
        <w:t>20</w:t>
      </w:r>
      <w:r>
        <w:rPr>
          <w:spacing w:val="-1"/>
          <w:sz w:val="16"/>
        </w:rPr>
        <w:t xml:space="preserve"> </w:t>
      </w:r>
      <w:r>
        <w:rPr>
          <w:sz w:val="16"/>
        </w:rPr>
        <w:t>april</w:t>
      </w:r>
      <w:r>
        <w:rPr>
          <w:spacing w:val="-5"/>
          <w:sz w:val="16"/>
        </w:rPr>
        <w:t xml:space="preserve"> </w:t>
      </w:r>
      <w:r>
        <w:rPr>
          <w:sz w:val="16"/>
        </w:rPr>
        <w:t>2026.</w:t>
      </w:r>
      <w:r>
        <w:rPr>
          <w:spacing w:val="-3"/>
          <w:sz w:val="16"/>
        </w:rPr>
        <w:t xml:space="preserve"> </w:t>
      </w:r>
      <w:r>
        <w:rPr>
          <w:sz w:val="16"/>
        </w:rPr>
        <w:t>Kamerstuk</w:t>
      </w:r>
      <w:r>
        <w:rPr>
          <w:spacing w:val="-2"/>
          <w:sz w:val="16"/>
        </w:rPr>
        <w:t xml:space="preserve"> </w:t>
      </w:r>
      <w:r>
        <w:rPr>
          <w:sz w:val="16"/>
        </w:rPr>
        <w:t>2026Z08364.</w:t>
      </w:r>
      <w:r>
        <w:rPr>
          <w:spacing w:val="-5"/>
          <w:sz w:val="16"/>
        </w:rPr>
        <w:t xml:space="preserve"> </w:t>
      </w:r>
      <w:hyperlink r:id="rId5">
        <w:r>
          <w:rPr>
            <w:color w:val="0462C1"/>
            <w:sz w:val="16"/>
            <w:u w:val="single" w:color="0462C1"/>
          </w:rPr>
          <w:t>Acties</w:t>
        </w:r>
        <w:r>
          <w:rPr>
            <w:color w:val="0462C1"/>
            <w:spacing w:val="-4"/>
            <w:sz w:val="16"/>
            <w:u w:val="single" w:color="0462C1"/>
          </w:rPr>
          <w:t xml:space="preserve"> </w:t>
        </w:r>
        <w:r>
          <w:rPr>
            <w:color w:val="0462C1"/>
            <w:sz w:val="16"/>
            <w:u w:val="single" w:color="0462C1"/>
          </w:rPr>
          <w:t>Weerbaarheid</w:t>
        </w:r>
      </w:hyperlink>
      <w:r>
        <w:rPr>
          <w:color w:val="0462C1"/>
          <w:sz w:val="16"/>
        </w:rPr>
        <w:t xml:space="preserve"> </w:t>
      </w:r>
      <w:hyperlink r:id="rId6">
        <w:r>
          <w:rPr>
            <w:color w:val="0462C1"/>
            <w:sz w:val="16"/>
            <w:u w:val="single" w:color="0462C1"/>
          </w:rPr>
          <w:t>Energieschok | Tweede Kamer der Staten-Generaal</w:t>
        </w:r>
      </w:hyperlink>
    </w:p>
    <w:sectPr w:rsidR="00844548">
      <w:type w:val="continuous"/>
      <w:pgSz w:w="11910" w:h="16850"/>
      <w:pgMar w:top="1360" w:right="1417" w:bottom="280" w:left="1417" w:header="720" w:footer="720" w:gutter="0"/>
      <w:cols w:space="72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36F10"/>
    <w:multiLevelType w:val="hybridMultilevel"/>
    <w:tmpl w:val="13A02EDA"/>
    <w:lvl w:ilvl="0" w:tplc="CFAEEA5C">
      <w:start w:val="1"/>
      <w:numFmt w:val="decimal"/>
      <w:lvlText w:val="%1."/>
      <w:lvlJc w:val="left"/>
      <w:pPr>
        <w:ind w:left="743" w:hanging="360"/>
        <w:jc w:val="left"/>
      </w:pPr>
      <w:rPr>
        <w:rFonts w:ascii="Verdana" w:eastAsia="Verdana" w:hAnsi="Verdana" w:cs="Verdana" w:hint="default"/>
        <w:b/>
        <w:bCs/>
        <w:i w:val="0"/>
        <w:iCs w:val="0"/>
        <w:spacing w:val="-1"/>
        <w:w w:val="100"/>
        <w:sz w:val="18"/>
        <w:szCs w:val="18"/>
        <w:lang w:val="nl-NL" w:eastAsia="en-US" w:bidi="ar-SA"/>
      </w:rPr>
    </w:lvl>
    <w:lvl w:ilvl="1" w:tplc="88140DD4">
      <w:numFmt w:val="bullet"/>
      <w:lvlText w:val="•"/>
      <w:lvlJc w:val="left"/>
      <w:pPr>
        <w:ind w:left="1573" w:hanging="360"/>
      </w:pPr>
      <w:rPr>
        <w:rFonts w:hint="default"/>
        <w:lang w:val="nl-NL" w:eastAsia="en-US" w:bidi="ar-SA"/>
      </w:rPr>
    </w:lvl>
    <w:lvl w:ilvl="2" w:tplc="BEE63398">
      <w:numFmt w:val="bullet"/>
      <w:lvlText w:val="•"/>
      <w:lvlJc w:val="left"/>
      <w:pPr>
        <w:ind w:left="2406" w:hanging="360"/>
      </w:pPr>
      <w:rPr>
        <w:rFonts w:hint="default"/>
        <w:lang w:val="nl-NL" w:eastAsia="en-US" w:bidi="ar-SA"/>
      </w:rPr>
    </w:lvl>
    <w:lvl w:ilvl="3" w:tplc="A99EC51E">
      <w:numFmt w:val="bullet"/>
      <w:lvlText w:val="•"/>
      <w:lvlJc w:val="left"/>
      <w:pPr>
        <w:ind w:left="3239" w:hanging="360"/>
      </w:pPr>
      <w:rPr>
        <w:rFonts w:hint="default"/>
        <w:lang w:val="nl-NL" w:eastAsia="en-US" w:bidi="ar-SA"/>
      </w:rPr>
    </w:lvl>
    <w:lvl w:ilvl="4" w:tplc="A8684AA0">
      <w:numFmt w:val="bullet"/>
      <w:lvlText w:val="•"/>
      <w:lvlJc w:val="left"/>
      <w:pPr>
        <w:ind w:left="4072" w:hanging="360"/>
      </w:pPr>
      <w:rPr>
        <w:rFonts w:hint="default"/>
        <w:lang w:val="nl-NL" w:eastAsia="en-US" w:bidi="ar-SA"/>
      </w:rPr>
    </w:lvl>
    <w:lvl w:ilvl="5" w:tplc="333025AA">
      <w:numFmt w:val="bullet"/>
      <w:lvlText w:val="•"/>
      <w:lvlJc w:val="left"/>
      <w:pPr>
        <w:ind w:left="4906" w:hanging="360"/>
      </w:pPr>
      <w:rPr>
        <w:rFonts w:hint="default"/>
        <w:lang w:val="nl-NL" w:eastAsia="en-US" w:bidi="ar-SA"/>
      </w:rPr>
    </w:lvl>
    <w:lvl w:ilvl="6" w:tplc="35D8FD4A">
      <w:numFmt w:val="bullet"/>
      <w:lvlText w:val="•"/>
      <w:lvlJc w:val="left"/>
      <w:pPr>
        <w:ind w:left="5739" w:hanging="360"/>
      </w:pPr>
      <w:rPr>
        <w:rFonts w:hint="default"/>
        <w:lang w:val="nl-NL" w:eastAsia="en-US" w:bidi="ar-SA"/>
      </w:rPr>
    </w:lvl>
    <w:lvl w:ilvl="7" w:tplc="9B50D854">
      <w:numFmt w:val="bullet"/>
      <w:lvlText w:val="•"/>
      <w:lvlJc w:val="left"/>
      <w:pPr>
        <w:ind w:left="6572" w:hanging="360"/>
      </w:pPr>
      <w:rPr>
        <w:rFonts w:hint="default"/>
        <w:lang w:val="nl-NL" w:eastAsia="en-US" w:bidi="ar-SA"/>
      </w:rPr>
    </w:lvl>
    <w:lvl w:ilvl="8" w:tplc="88EADB26">
      <w:numFmt w:val="bullet"/>
      <w:lvlText w:val="•"/>
      <w:lvlJc w:val="left"/>
      <w:pPr>
        <w:ind w:left="7405" w:hanging="360"/>
      </w:pPr>
      <w:rPr>
        <w:rFonts w:hint="default"/>
        <w:lang w:val="nl-N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844548"/>
    <w:rsid w:val="00844548"/>
    <w:rsid w:val="00E35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nl-NL"/>
    </w:rPr>
  </w:style>
  <w:style w:type="paragraph" w:styleId="Heading1">
    <w:name w:val="heading 1"/>
    <w:basedOn w:val="Normal"/>
    <w:uiPriority w:val="1"/>
    <w:qFormat/>
    <w:pPr>
      <w:spacing w:before="79"/>
      <w:ind w:left="23"/>
      <w:outlineLvl w:val="0"/>
    </w:pPr>
    <w:rPr>
      <w:b/>
      <w:bCs/>
      <w:i/>
      <w:iCs/>
      <w:sz w:val="20"/>
      <w:szCs w:val="20"/>
    </w:rPr>
  </w:style>
  <w:style w:type="paragraph" w:styleId="Heading2">
    <w:name w:val="heading 2"/>
    <w:basedOn w:val="Normal"/>
    <w:uiPriority w:val="1"/>
    <w:qFormat/>
    <w:pPr>
      <w:ind w:left="743" w:hanging="36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743" w:right="6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weedekamer.nl/kamerstukken/brieven_regering/detail?id=2026Z08364&amp;did=2026D18780" TargetMode="External"/><Relationship Id="rId5" Type="http://schemas.openxmlformats.org/officeDocument/2006/relationships/hyperlink" Target="https://www.tweedekamer.nl/kamerstukken/brieven_regering/detail?id=2026Z08364&amp;did=2026D187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594</ap:Words>
  <ap:Characters>3389</ap:Characters>
  <ap:DocSecurity>0</ap:DocSecurity>
  <ap:Lines>28</ap:Lines>
  <ap:Paragraphs>7</ap:Paragraphs>
  <ap:ScaleCrop>false</ap:ScaleCrop>
  <ap:LinksUpToDate>false</ap:LinksUpToDate>
  <ap:CharactersWithSpaces>3976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2026-04-23T13:16:00.0000000Z</dcterms:created>
  <dcterms:modified xsi:type="dcterms:W3CDTF">2026-04-23T13:16:00.0000000Z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Microsoft® Word voor Microsoft 365</vt:lpwstr>
  </property>
  <property fmtid="{D5CDD505-2E9C-101B-9397-08002B2CF9AE}" pid="4" name="LastSaved">
    <vt:filetime>2026-04-23T00:00:00Z</vt:filetime>
  </property>
  <property fmtid="{D5CDD505-2E9C-101B-9397-08002B2CF9AE}" pid="5" name="Producer">
    <vt:lpwstr>Microsoft® Word voor Microsoft 365</vt:lpwstr>
  </property>
</Properties>
</file>