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0AF4" w:rsidP="00D50AF4" w:rsidRDefault="00D50AF4" w14:paraId="5C8B7A26" w14:textId="00D96745">
      <w:r>
        <w:t>AH 1731</w:t>
      </w:r>
    </w:p>
    <w:p w:rsidR="00D50AF4" w:rsidP="00D50AF4" w:rsidRDefault="00D50AF4" w14:paraId="6334C19B" w14:textId="6A2CDC01">
      <w:r>
        <w:t>2026Z06785</w:t>
      </w:r>
    </w:p>
    <w:p w:rsidRPr="00FE2B4C" w:rsidR="00D50AF4" w:rsidP="00D50AF4" w:rsidRDefault="00D50AF4" w14:paraId="7F524E74" w14:textId="4F653BD9">
      <w:r w:rsidRPr="00D25B3E">
        <w:rPr>
          <w:sz w:val="24"/>
          <w:szCs w:val="24"/>
        </w:rPr>
        <w:t>Antwoord van minister Heerma (Binnenlandse Zaken en Koninkrijksrelaties) (ontvangen</w:t>
      </w:r>
      <w:r>
        <w:rPr>
          <w:sz w:val="24"/>
          <w:szCs w:val="24"/>
        </w:rPr>
        <w:t xml:space="preserve">  23 april 2026)</w:t>
      </w:r>
    </w:p>
    <w:p w:rsidRPr="00FE2B4C" w:rsidR="00D50AF4" w:rsidP="00D50AF4" w:rsidRDefault="00D50AF4" w14:paraId="6DD9DCE4" w14:textId="77777777">
      <w:pPr>
        <w:pStyle w:val="Lijstalinea"/>
        <w:numPr>
          <w:ilvl w:val="0"/>
          <w:numId w:val="1"/>
        </w:numPr>
        <w:autoSpaceDN w:val="0"/>
        <w:spacing w:after="0" w:line="240" w:lineRule="atLeast"/>
        <w:textAlignment w:val="baseline"/>
      </w:pPr>
      <w:r w:rsidRPr="00FE2B4C">
        <w:t>Kent u de berichten “10.000 euro boete, een huisverbod, een lantaarnpaal verplaatst: Arnhem zette alles in tegen overlast Koert H.”, “Wacht niet op steekpartij of brand maar laat overlastgevers afkicken, betoogt Marcouch” en kent u de brief van de Vereniging van Nederlandse Gemeenten (VNG) van 3 februari 2026?</w:t>
      </w:r>
      <w:r>
        <w:rPr>
          <w:rStyle w:val="Voetnootmarkering"/>
        </w:rPr>
        <w:footnoteReference w:id="1"/>
      </w:r>
      <w:r>
        <w:rPr>
          <w:rStyle w:val="Voetnootmarkering"/>
        </w:rPr>
        <w:footnoteReference w:id="2"/>
      </w:r>
      <w:r>
        <w:rPr>
          <w:rStyle w:val="Voetnootmarkering"/>
        </w:rPr>
        <w:footnoteReference w:id="3"/>
      </w:r>
    </w:p>
    <w:p w:rsidRPr="00FE2B4C" w:rsidR="00D50AF4" w:rsidP="00D50AF4" w:rsidRDefault="00D50AF4" w14:paraId="59FC15E8" w14:textId="77777777"/>
    <w:p w:rsidRPr="00FE2B4C" w:rsidR="00D50AF4" w:rsidP="00D50AF4" w:rsidRDefault="00D50AF4" w14:paraId="36E14185" w14:textId="77777777">
      <w:r w:rsidRPr="00FE2B4C">
        <w:t>Ja.</w:t>
      </w:r>
    </w:p>
    <w:p w:rsidRPr="00FE2B4C" w:rsidR="00D50AF4" w:rsidP="00D50AF4" w:rsidRDefault="00D50AF4" w14:paraId="7A9B55CB" w14:textId="77777777"/>
    <w:p w:rsidRPr="00FE2B4C" w:rsidR="00D50AF4" w:rsidP="00D50AF4" w:rsidRDefault="00D50AF4" w14:paraId="34373BB7" w14:textId="77777777">
      <w:pPr>
        <w:pStyle w:val="Lijstalinea"/>
        <w:numPr>
          <w:ilvl w:val="0"/>
          <w:numId w:val="1"/>
        </w:numPr>
        <w:autoSpaceDN w:val="0"/>
        <w:spacing w:after="0" w:line="240" w:lineRule="atLeast"/>
        <w:textAlignment w:val="baseline"/>
      </w:pPr>
      <w:r w:rsidRPr="00FE2B4C">
        <w:t>Kunt u zich voorstellen dat bewoners, lokale handhavers, de burgemeester en wellicht nog anderen “de wanhoop nabij” waren toen nadat heel het beschikbare instrumentarium om overlast tegen te gaan gebruikt was de overlast toch niet stopte? En dat de overlast pas stopte na een ingrijpend incident? Zo ja, waarom? Zo nee, waarom niet?</w:t>
      </w:r>
    </w:p>
    <w:p w:rsidRPr="00FE2B4C" w:rsidR="00D50AF4" w:rsidP="00D50AF4" w:rsidRDefault="00D50AF4" w14:paraId="45FAB5C5" w14:textId="77777777"/>
    <w:p w:rsidRPr="00FE2B4C" w:rsidR="00D50AF4" w:rsidP="00D50AF4" w:rsidRDefault="00D50AF4" w14:paraId="3E1C1BAF" w14:textId="77777777">
      <w:r w:rsidRPr="00FC6458">
        <w:t xml:space="preserve">Ja, </w:t>
      </w:r>
      <w:r>
        <w:t>ik kan mij</w:t>
      </w:r>
      <w:r w:rsidRPr="00FC6458">
        <w:t xml:space="preserve"> goed voorstellen</w:t>
      </w:r>
      <w:r>
        <w:t xml:space="preserve"> dat vormen van overlast met zeer ernstige verschijningsvormen en gevolgen grote impact hebben op inwoners, handhavers en burgemeesters. Ik zie dat alle betrokkenen, professionals, zich vaak enorm inspannen maar dat het effect van die inspanningen in situaties niet tot het gewenste effect leidt. </w:t>
      </w:r>
    </w:p>
    <w:p w:rsidRPr="00FE2B4C" w:rsidR="00D50AF4" w:rsidP="00D50AF4" w:rsidRDefault="00D50AF4" w14:paraId="575EEF99" w14:textId="77777777"/>
    <w:p w:rsidR="00D50AF4" w:rsidP="00D50AF4" w:rsidRDefault="00D50AF4" w14:paraId="701AB76A" w14:textId="77777777">
      <w:pPr>
        <w:pStyle w:val="Lijstalinea"/>
        <w:numPr>
          <w:ilvl w:val="0"/>
          <w:numId w:val="1"/>
        </w:numPr>
        <w:autoSpaceDN w:val="0"/>
        <w:spacing w:after="0" w:line="240" w:lineRule="atLeast"/>
        <w:textAlignment w:val="baseline"/>
      </w:pPr>
      <w:r w:rsidRPr="00FE2B4C">
        <w:t>Deelt u de mening van de burgemeester van Arnhem dat het te laat kan zijn als er pas in het geval acuut gevaar voor de overlastgever en zijn omgeving is er handelingsperspectief ontstaat om in te kunnen grijpen? Zo ja, deelt u dan ook de mening dat burgemeesters de mogelijkheid moeten krijgen “om mensen ook al voor de fase dat gevaar acuut wordt, op te laten nemen”? Zo nee, waarom deelt u die mening niet?</w:t>
      </w:r>
    </w:p>
    <w:p w:rsidR="00D50AF4" w:rsidP="00D50AF4" w:rsidRDefault="00D50AF4" w14:paraId="4BFB60DB" w14:textId="77777777"/>
    <w:p w:rsidR="00D50AF4" w:rsidP="00D50AF4" w:rsidRDefault="00D50AF4" w14:paraId="05BF9B70" w14:textId="77777777">
      <w:r>
        <w:t xml:space="preserve">Vooropgesteld: situaties en de gevolgen van verward of onbegrepen gedrag in de samenleving zullen nooit volledig kunnen worden voorkomen. De inzet van alle </w:t>
      </w:r>
      <w:r>
        <w:lastRenderedPageBreak/>
        <w:t>betrokkenen moet er op gericht zijn om in nauwe verbinding en samenwerking overlast en calamiteiten zo veel mogelijk te voorkomen en hanteerbaar te maken.</w:t>
      </w:r>
    </w:p>
    <w:p w:rsidRPr="00BA4638" w:rsidR="00D50AF4" w:rsidP="00D50AF4" w:rsidRDefault="00D50AF4" w14:paraId="22BABE0E" w14:textId="77777777">
      <w:r>
        <w:t>Ik deel de mening dat er ook voor de burgemeester, vanuit zijn verantwoordelijkheid voor de veiligheid en openbare orde binnen de gemeente, voldoende handelingsperspectief moet zijn om waar nodig tijdig te kunnen ingrijpen. Ik verwijs u in dit verband ook naar het coalitieakkoord ‘Aan de slag’</w:t>
      </w:r>
      <w:r>
        <w:rPr>
          <w:rStyle w:val="Voetnootmarkering"/>
        </w:rPr>
        <w:footnoteReference w:id="4"/>
      </w:r>
      <w:r>
        <w:t xml:space="preserve"> waarin is </w:t>
      </w:r>
      <w:r w:rsidRPr="00FE2B4C">
        <w:t>aangekondigd meer mogelijkheden voor burgemeesters te creëren om door middel van bemoeizorg in te grijpen en meer crisisplekken te realiseren</w:t>
      </w:r>
      <w:r>
        <w:t xml:space="preserve">. Ik ga de komende tijd in gesprek met betrokken partijen, waaronder gemeenten over de verdere uitwerking hiervan en de vraag of burgemeesters meer bevoegdheden en handelingsperspectief nodig hebben. Voor het einde van 2026 volgt een brief met meer uitgewerkte oplossingsrichtingen en/of voorliggende keuzes. </w:t>
      </w:r>
    </w:p>
    <w:p w:rsidRPr="00FE2B4C" w:rsidR="00D50AF4" w:rsidP="00D50AF4" w:rsidRDefault="00D50AF4" w14:paraId="7119D28F" w14:textId="77777777"/>
    <w:p w:rsidRPr="00FE2B4C" w:rsidR="00D50AF4" w:rsidP="00D50AF4" w:rsidRDefault="00D50AF4" w14:paraId="06AFAFFD" w14:textId="77777777">
      <w:pPr>
        <w:pStyle w:val="Lijstalinea"/>
        <w:numPr>
          <w:ilvl w:val="0"/>
          <w:numId w:val="1"/>
        </w:numPr>
        <w:autoSpaceDN w:val="0"/>
        <w:spacing w:after="0" w:line="240" w:lineRule="atLeast"/>
        <w:textAlignment w:val="baseline"/>
      </w:pPr>
      <w:r w:rsidRPr="00FE2B4C">
        <w:t>Herkent</w:t>
      </w:r>
      <w:r>
        <w:t xml:space="preserve"> u </w:t>
      </w:r>
      <w:r w:rsidRPr="00FE2B4C">
        <w:t>het in de VNG-brief gestelde dat “vrijwel iedere gemeente personen met verward en onbegrepen gedrag kent, waarbij het bestuurders ontbreekt aan handelingsperspectief”</w:t>
      </w:r>
      <w:r>
        <w:t>,</w:t>
      </w:r>
      <w:r w:rsidRPr="00FE2B4C">
        <w:t xml:space="preserve"> waarbij gemeentebestuurders “de huidige wettelijke kaders als ontoereikend ervaren voor (overlastgevende) zorgmijders met complexe en multiproblematiek, die niet in aanmerking komen voor gedwongen zorg of voor een strafrechtelijk kader”? Zo ja, over welke informatie beschikt u?</w:t>
      </w:r>
    </w:p>
    <w:p w:rsidRPr="00FE2B4C" w:rsidR="00D50AF4" w:rsidP="00D50AF4" w:rsidRDefault="00D50AF4" w14:paraId="1CFF3017" w14:textId="77777777"/>
    <w:p w:rsidR="00D50AF4" w:rsidP="00D50AF4" w:rsidRDefault="00D50AF4" w14:paraId="04E49828" w14:textId="77777777">
      <w:r>
        <w:t>Ik ken</w:t>
      </w:r>
      <w:r w:rsidRPr="002426D5">
        <w:t xml:space="preserve"> de signalen </w:t>
      </w:r>
      <w:r>
        <w:t>van</w:t>
      </w:r>
      <w:r w:rsidRPr="002426D5">
        <w:t xml:space="preserve"> bestuurders </w:t>
      </w:r>
      <w:r>
        <w:t xml:space="preserve">van gemeenten </w:t>
      </w:r>
      <w:r w:rsidRPr="002426D5">
        <w:t xml:space="preserve">dat de huidige wettelijke </w:t>
      </w:r>
      <w:r w:rsidRPr="00FC6458">
        <w:t xml:space="preserve">kaders als ontoereikend worden ervaren voor effectief ingrijpen bij (overlastgevende) zorgmijders met complexe en multiproblematiek, waarbij de gedwongen zorgwetten nog niet van toepassing zijn. </w:t>
      </w:r>
      <w:r>
        <w:t>Verschillende bestuurders hebben dit verklaard en/of hier aandacht voor gevraagd. In het kader van de parlementaire verkenning Verward/onbegrepen gedrag en Veiligheid</w:t>
      </w:r>
      <w:r>
        <w:rPr>
          <w:rStyle w:val="Voetnootmarkering"/>
        </w:rPr>
        <w:footnoteReference w:id="5"/>
      </w:r>
      <w:r>
        <w:t xml:space="preserve"> heeft ook uw Kamer deze conclusie getrokken en van een aanbeveling voorzien. Deze aanbeveling wordt betrokken in de verkenning van oplossingen, die het kabinet in de Kamerbrief van 11 december 2025</w:t>
      </w:r>
      <w:r>
        <w:rPr>
          <w:rStyle w:val="Voetnootmarkering"/>
        </w:rPr>
        <w:footnoteReference w:id="6"/>
      </w:r>
      <w:r>
        <w:t xml:space="preserve"> heeft aangekondigd.   </w:t>
      </w:r>
    </w:p>
    <w:p w:rsidR="00D50AF4" w:rsidP="00D50AF4" w:rsidRDefault="00D50AF4" w14:paraId="50ADFA0A" w14:textId="77777777"/>
    <w:p w:rsidR="00D50AF4" w:rsidP="00D50AF4" w:rsidRDefault="00D50AF4" w14:paraId="3D5E44B9" w14:textId="77777777">
      <w:r>
        <w:t>Tegelijkertijd</w:t>
      </w:r>
      <w:r w:rsidRPr="009F72F9">
        <w:t xml:space="preserve"> </w:t>
      </w:r>
      <w:r>
        <w:t>zijn er ook signalen dat er vanuit bestaande bevoegdheden handelingsperspectief aanwezig is,</w:t>
      </w:r>
      <w:r w:rsidRPr="009F72F9">
        <w:t xml:space="preserve"> maar dat het </w:t>
      </w:r>
      <w:r>
        <w:t>bijvoorbeeld</w:t>
      </w:r>
      <w:r w:rsidRPr="009F72F9">
        <w:t xml:space="preserve"> ontbreekt </w:t>
      </w:r>
      <w:r>
        <w:t>aan voldoende woon(zorg-)voorzieningen, aan adequate s</w:t>
      </w:r>
      <w:r w:rsidRPr="00296348">
        <w:t>amenwerking en afstemming tussen de diverse domeinen (zorg, veiligheid, wonen)</w:t>
      </w:r>
      <w:r>
        <w:t xml:space="preserve"> en aan een wettelijke grondslag voor gegevensuitwisseling voor vroegtijdige samenwerking. Het is dus van </w:t>
      </w:r>
      <w:r>
        <w:lastRenderedPageBreak/>
        <w:t xml:space="preserve">belang om het vraagstuk van handelingsperspectief en bevoegdheden van de burgemeester in deze samenhang te bezien, zoals dit ook met de brede aanpak Verward/onbegrepen gedrag wordt beoogd. </w:t>
      </w:r>
    </w:p>
    <w:p w:rsidRPr="00FE2B4C" w:rsidR="00D50AF4" w:rsidP="00D50AF4" w:rsidRDefault="00D50AF4" w14:paraId="647F470B" w14:textId="77777777"/>
    <w:p w:rsidRPr="00FE2B4C" w:rsidR="00D50AF4" w:rsidP="00D50AF4" w:rsidRDefault="00D50AF4" w14:paraId="01D56909" w14:textId="77777777">
      <w:pPr>
        <w:pStyle w:val="Lijstalinea"/>
        <w:numPr>
          <w:ilvl w:val="0"/>
          <w:numId w:val="1"/>
        </w:numPr>
        <w:autoSpaceDN w:val="0"/>
        <w:spacing w:after="0" w:line="240" w:lineRule="atLeast"/>
        <w:textAlignment w:val="baseline"/>
      </w:pPr>
      <w:r w:rsidRPr="00FE2B4C">
        <w:t>Deelt u de mening van de VNG “om de wettelijke (on)mogelijkheden en mogelijke aanvullingen op de huidige wettelijke kaders te inventariseren”? En zo ja, hoe en op welke termijn gaat u daarvoor zorgen? Zo nee, waarom acht u die inventarisatie niet nodig?</w:t>
      </w:r>
    </w:p>
    <w:p w:rsidRPr="00FE2B4C" w:rsidR="00D50AF4" w:rsidP="00D50AF4" w:rsidRDefault="00D50AF4" w14:paraId="732B314B" w14:textId="77777777"/>
    <w:p w:rsidRPr="00BA4638" w:rsidR="00D50AF4" w:rsidP="00D50AF4" w:rsidRDefault="00D50AF4" w14:paraId="5B0EFED6" w14:textId="77777777">
      <w:r w:rsidRPr="00FE2B4C">
        <w:t xml:space="preserve">Ja, die mening deel ik. </w:t>
      </w:r>
      <w:r>
        <w:t>Zie mijn reactie op de vragen 3 en 4. De planning is er op gericht dat ik u rond de zomer een stand van zaken brief stuur over de voortgang van de prioriteiten van de brede aanpak. Voor het einde van 2026 volgt een brief met meer uitgewerkte oplossingsrichtingen en/of voorliggende keuzes. De vraag of burgemeesters meer bevoegdheden en handelingsperspectief dienen te krijgen, wordt hierin betrokken.</w:t>
      </w:r>
    </w:p>
    <w:p w:rsidR="007E4181" w:rsidRDefault="007E4181" w14:paraId="69533A92" w14:textId="77777777"/>
    <w:sectPr w:rsidR="007E4181" w:rsidSect="00D50AF4">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6CC6F" w14:textId="77777777" w:rsidR="00D50AF4" w:rsidRDefault="00D50AF4" w:rsidP="00D50AF4">
      <w:pPr>
        <w:spacing w:after="0" w:line="240" w:lineRule="auto"/>
      </w:pPr>
      <w:r>
        <w:separator/>
      </w:r>
    </w:p>
  </w:endnote>
  <w:endnote w:type="continuationSeparator" w:id="0">
    <w:p w14:paraId="6617B456" w14:textId="77777777" w:rsidR="00D50AF4" w:rsidRDefault="00D50AF4" w:rsidP="00D50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D5D49" w14:textId="77777777" w:rsidR="00D50AF4" w:rsidRPr="00D50AF4" w:rsidRDefault="00D50AF4" w:rsidP="00D50A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532E9" w14:textId="77777777" w:rsidR="00D50AF4" w:rsidRPr="00D50AF4" w:rsidRDefault="00D50AF4" w:rsidP="00D50AF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79F81" w14:textId="77777777" w:rsidR="00D50AF4" w:rsidRPr="00D50AF4" w:rsidRDefault="00D50AF4" w:rsidP="00D50A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C23C2" w14:textId="77777777" w:rsidR="00D50AF4" w:rsidRDefault="00D50AF4" w:rsidP="00D50AF4">
      <w:pPr>
        <w:spacing w:after="0" w:line="240" w:lineRule="auto"/>
      </w:pPr>
      <w:r>
        <w:separator/>
      </w:r>
    </w:p>
  </w:footnote>
  <w:footnote w:type="continuationSeparator" w:id="0">
    <w:p w14:paraId="1E43C592" w14:textId="77777777" w:rsidR="00D50AF4" w:rsidRDefault="00D50AF4" w:rsidP="00D50AF4">
      <w:pPr>
        <w:spacing w:after="0" w:line="240" w:lineRule="auto"/>
      </w:pPr>
      <w:r>
        <w:continuationSeparator/>
      </w:r>
    </w:p>
  </w:footnote>
  <w:footnote w:id="1">
    <w:p w14:paraId="253AAA6D" w14:textId="77777777" w:rsidR="00D50AF4" w:rsidRPr="003F5CEF" w:rsidRDefault="00D50AF4" w:rsidP="00D50AF4">
      <w:pPr>
        <w:pStyle w:val="Voetnoottekst"/>
        <w:rPr>
          <w:sz w:val="16"/>
          <w:szCs w:val="16"/>
        </w:rPr>
      </w:pPr>
      <w:r w:rsidRPr="003F5CEF">
        <w:rPr>
          <w:rStyle w:val="Voetnootmarkering"/>
          <w:sz w:val="16"/>
          <w:szCs w:val="16"/>
        </w:rPr>
        <w:footnoteRef/>
      </w:r>
      <w:r w:rsidRPr="003F5CEF">
        <w:rPr>
          <w:sz w:val="16"/>
          <w:szCs w:val="16"/>
        </w:rPr>
        <w:t xml:space="preserve"> Omroep Gelderland, 29 maart 2026 (www.gld.nl/nieuws/8453718/10000-euro-boete-eenhuisverbod-eenlantaarnpaal-verplaatst-arnhem-zette-alles-in-tegen-overlast-koert-h).</w:t>
      </w:r>
    </w:p>
  </w:footnote>
  <w:footnote w:id="2">
    <w:p w14:paraId="56A8EE5D" w14:textId="77777777" w:rsidR="00D50AF4" w:rsidRPr="003F5CEF" w:rsidRDefault="00D50AF4" w:rsidP="00D50AF4">
      <w:pPr>
        <w:pStyle w:val="Voetnoottekst"/>
        <w:rPr>
          <w:sz w:val="16"/>
          <w:szCs w:val="16"/>
        </w:rPr>
      </w:pPr>
      <w:r w:rsidRPr="003F5CEF">
        <w:rPr>
          <w:rStyle w:val="Voetnootmarkering"/>
          <w:sz w:val="16"/>
          <w:szCs w:val="16"/>
        </w:rPr>
        <w:footnoteRef/>
      </w:r>
      <w:r w:rsidRPr="003F5CEF">
        <w:rPr>
          <w:sz w:val="16"/>
          <w:szCs w:val="16"/>
        </w:rPr>
        <w:t xml:space="preserve"> Omroep Gelderland, 3 mei 2025 (www.gld.nl/nieuws/8304718/wacht-niet-op-steekpartij-ofbrand-maar-laatoverlastgevers-afkicken-betoogt-marcouch).</w:t>
      </w:r>
    </w:p>
  </w:footnote>
  <w:footnote w:id="3">
    <w:p w14:paraId="29CD4CAA" w14:textId="77777777" w:rsidR="00D50AF4" w:rsidRPr="003F5CEF" w:rsidRDefault="00D50AF4" w:rsidP="00D50AF4">
      <w:pPr>
        <w:pStyle w:val="Voetnoottekst"/>
        <w:rPr>
          <w:sz w:val="16"/>
          <w:szCs w:val="16"/>
        </w:rPr>
      </w:pPr>
      <w:r w:rsidRPr="003F5CEF">
        <w:rPr>
          <w:rStyle w:val="Voetnootmarkering"/>
          <w:sz w:val="16"/>
          <w:szCs w:val="16"/>
        </w:rPr>
        <w:footnoteRef/>
      </w:r>
      <w:r w:rsidRPr="003F5CEF">
        <w:rPr>
          <w:sz w:val="16"/>
          <w:szCs w:val="16"/>
        </w:rPr>
        <w:t xml:space="preserve"> VNG, 6 februari 2026 (vng.nl/nieuws/vng-inbreng-kamerdebat-verward onbegrepen-gedrag).</w:t>
      </w:r>
    </w:p>
  </w:footnote>
  <w:footnote w:id="4">
    <w:p w14:paraId="4402D84B" w14:textId="77777777" w:rsidR="00D50AF4" w:rsidRPr="003F5CEF" w:rsidRDefault="00D50AF4" w:rsidP="00D50AF4">
      <w:pPr>
        <w:pStyle w:val="Voetnoottekst"/>
        <w:rPr>
          <w:sz w:val="16"/>
          <w:szCs w:val="16"/>
        </w:rPr>
      </w:pPr>
      <w:r w:rsidRPr="003F5CEF">
        <w:rPr>
          <w:rStyle w:val="Voetnootmarkering"/>
          <w:sz w:val="16"/>
          <w:szCs w:val="16"/>
        </w:rPr>
        <w:footnoteRef/>
      </w:r>
      <w:r w:rsidRPr="003F5CEF">
        <w:rPr>
          <w:sz w:val="16"/>
          <w:szCs w:val="16"/>
        </w:rPr>
        <w:t xml:space="preserve"> Coalitieakkoord ‘Aan de slag’, 30 januari 2026 (https://www.kabinetsformatie2025.nl/documenten/2026/01/30/aan-de-slag---coalitieakkoord-2026-2030).</w:t>
      </w:r>
    </w:p>
  </w:footnote>
  <w:footnote w:id="5">
    <w:p w14:paraId="3C309A7A" w14:textId="77777777" w:rsidR="00D50AF4" w:rsidRPr="003F5CEF" w:rsidRDefault="00D50AF4" w:rsidP="00D50AF4">
      <w:pPr>
        <w:pStyle w:val="Voetnoottekst"/>
        <w:rPr>
          <w:sz w:val="16"/>
          <w:szCs w:val="16"/>
        </w:rPr>
      </w:pPr>
      <w:r w:rsidRPr="003F5CEF">
        <w:rPr>
          <w:rStyle w:val="Voetnootmarkering"/>
          <w:sz w:val="16"/>
          <w:szCs w:val="16"/>
        </w:rPr>
        <w:footnoteRef/>
      </w:r>
      <w:r w:rsidRPr="003F5CEF">
        <w:rPr>
          <w:sz w:val="16"/>
          <w:szCs w:val="16"/>
        </w:rPr>
        <w:t xml:space="preserve"> Eindrapport parlementaire verkenning Verward gedrag/veiligheid, 4 juli 2024 (https://www.tweedekamer.nl/kamerstukken/detail?id=2024D28268&amp;did=2024D28268).</w:t>
      </w:r>
    </w:p>
  </w:footnote>
  <w:footnote w:id="6">
    <w:p w14:paraId="2FA2FD02" w14:textId="77777777" w:rsidR="00D50AF4" w:rsidRPr="003F5CEF" w:rsidRDefault="00D50AF4" w:rsidP="00D50AF4">
      <w:pPr>
        <w:pStyle w:val="Voetnoottekst"/>
        <w:rPr>
          <w:sz w:val="16"/>
          <w:szCs w:val="16"/>
        </w:rPr>
      </w:pPr>
      <w:r w:rsidRPr="003F5CEF">
        <w:rPr>
          <w:rStyle w:val="Voetnootmarkering"/>
          <w:sz w:val="16"/>
          <w:szCs w:val="16"/>
        </w:rPr>
        <w:footnoteRef/>
      </w:r>
      <w:r w:rsidRPr="003F5CEF">
        <w:rPr>
          <w:sz w:val="16"/>
          <w:szCs w:val="16"/>
        </w:rPr>
        <w:t xml:space="preserve"> Kamerstukken II, 2025-2026, 25 424, Nr. 772.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4B742" w14:textId="77777777" w:rsidR="00D50AF4" w:rsidRPr="00D50AF4" w:rsidRDefault="00D50AF4" w:rsidP="00D50AF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F28B7" w14:textId="77777777" w:rsidR="00D50AF4" w:rsidRPr="00D50AF4" w:rsidRDefault="00D50AF4" w:rsidP="00D50AF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75E37" w14:textId="77777777" w:rsidR="00D50AF4" w:rsidRPr="00D50AF4" w:rsidRDefault="00D50AF4" w:rsidP="00D50AF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0A0248"/>
    <w:multiLevelType w:val="hybridMultilevel"/>
    <w:tmpl w:val="7DA80A5C"/>
    <w:lvl w:ilvl="0" w:tplc="1FA08E56">
      <w:start w:val="1"/>
      <w:numFmt w:val="decimal"/>
      <w:lvlText w:val="%1."/>
      <w:lvlJc w:val="left"/>
      <w:pPr>
        <w:ind w:left="360" w:hanging="360"/>
      </w:pPr>
      <w:rPr>
        <w:rFonts w:hint="default"/>
      </w:rPr>
    </w:lvl>
    <w:lvl w:ilvl="1" w:tplc="203E3CF6" w:tentative="1">
      <w:start w:val="1"/>
      <w:numFmt w:val="lowerLetter"/>
      <w:lvlText w:val="%2."/>
      <w:lvlJc w:val="left"/>
      <w:pPr>
        <w:ind w:left="1080" w:hanging="360"/>
      </w:pPr>
    </w:lvl>
    <w:lvl w:ilvl="2" w:tplc="186655A0" w:tentative="1">
      <w:start w:val="1"/>
      <w:numFmt w:val="lowerRoman"/>
      <w:lvlText w:val="%3."/>
      <w:lvlJc w:val="right"/>
      <w:pPr>
        <w:ind w:left="1800" w:hanging="180"/>
      </w:pPr>
    </w:lvl>
    <w:lvl w:ilvl="3" w:tplc="35A2DD90" w:tentative="1">
      <w:start w:val="1"/>
      <w:numFmt w:val="decimal"/>
      <w:lvlText w:val="%4."/>
      <w:lvlJc w:val="left"/>
      <w:pPr>
        <w:ind w:left="2520" w:hanging="360"/>
      </w:pPr>
    </w:lvl>
    <w:lvl w:ilvl="4" w:tplc="7DF0C382" w:tentative="1">
      <w:start w:val="1"/>
      <w:numFmt w:val="lowerLetter"/>
      <w:lvlText w:val="%5."/>
      <w:lvlJc w:val="left"/>
      <w:pPr>
        <w:ind w:left="3240" w:hanging="360"/>
      </w:pPr>
    </w:lvl>
    <w:lvl w:ilvl="5" w:tplc="D6EA679E" w:tentative="1">
      <w:start w:val="1"/>
      <w:numFmt w:val="lowerRoman"/>
      <w:lvlText w:val="%6."/>
      <w:lvlJc w:val="right"/>
      <w:pPr>
        <w:ind w:left="3960" w:hanging="180"/>
      </w:pPr>
    </w:lvl>
    <w:lvl w:ilvl="6" w:tplc="86E0EA14" w:tentative="1">
      <w:start w:val="1"/>
      <w:numFmt w:val="decimal"/>
      <w:lvlText w:val="%7."/>
      <w:lvlJc w:val="left"/>
      <w:pPr>
        <w:ind w:left="4680" w:hanging="360"/>
      </w:pPr>
    </w:lvl>
    <w:lvl w:ilvl="7" w:tplc="80D4BCB8" w:tentative="1">
      <w:start w:val="1"/>
      <w:numFmt w:val="lowerLetter"/>
      <w:lvlText w:val="%8."/>
      <w:lvlJc w:val="left"/>
      <w:pPr>
        <w:ind w:left="5400" w:hanging="360"/>
      </w:pPr>
    </w:lvl>
    <w:lvl w:ilvl="8" w:tplc="69984AAA" w:tentative="1">
      <w:start w:val="1"/>
      <w:numFmt w:val="lowerRoman"/>
      <w:lvlText w:val="%9."/>
      <w:lvlJc w:val="right"/>
      <w:pPr>
        <w:ind w:left="6120" w:hanging="180"/>
      </w:pPr>
    </w:lvl>
  </w:abstractNum>
  <w:num w:numId="1" w16cid:durableId="1608389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AF4"/>
    <w:rsid w:val="005B375F"/>
    <w:rsid w:val="007E4181"/>
    <w:rsid w:val="00D50A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2D5DD"/>
  <w15:chartTrackingRefBased/>
  <w15:docId w15:val="{9FEE746A-FBFB-4F71-BEAB-F31E4E88E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50A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50A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50AF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50AF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50AF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50AF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0AF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0AF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0AF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0AF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50AF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50AF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50AF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50AF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50AF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0AF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0AF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0AF4"/>
    <w:rPr>
      <w:rFonts w:eastAsiaTheme="majorEastAsia" w:cstheme="majorBidi"/>
      <w:color w:val="272727" w:themeColor="text1" w:themeTint="D8"/>
    </w:rPr>
  </w:style>
  <w:style w:type="paragraph" w:styleId="Titel">
    <w:name w:val="Title"/>
    <w:basedOn w:val="Standaard"/>
    <w:next w:val="Standaard"/>
    <w:link w:val="TitelChar"/>
    <w:uiPriority w:val="10"/>
    <w:qFormat/>
    <w:rsid w:val="00D50A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0AF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0AF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0AF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0AF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0AF4"/>
    <w:rPr>
      <w:i/>
      <w:iCs/>
      <w:color w:val="404040" w:themeColor="text1" w:themeTint="BF"/>
    </w:rPr>
  </w:style>
  <w:style w:type="paragraph" w:styleId="Lijstalinea">
    <w:name w:val="List Paragraph"/>
    <w:basedOn w:val="Standaard"/>
    <w:uiPriority w:val="34"/>
    <w:qFormat/>
    <w:rsid w:val="00D50AF4"/>
    <w:pPr>
      <w:ind w:left="720"/>
      <w:contextualSpacing/>
    </w:pPr>
  </w:style>
  <w:style w:type="character" w:styleId="Intensievebenadrukking">
    <w:name w:val="Intense Emphasis"/>
    <w:basedOn w:val="Standaardalinea-lettertype"/>
    <w:uiPriority w:val="21"/>
    <w:qFormat/>
    <w:rsid w:val="00D50AF4"/>
    <w:rPr>
      <w:i/>
      <w:iCs/>
      <w:color w:val="2F5496" w:themeColor="accent1" w:themeShade="BF"/>
    </w:rPr>
  </w:style>
  <w:style w:type="paragraph" w:styleId="Duidelijkcitaat">
    <w:name w:val="Intense Quote"/>
    <w:basedOn w:val="Standaard"/>
    <w:next w:val="Standaard"/>
    <w:link w:val="DuidelijkcitaatChar"/>
    <w:uiPriority w:val="30"/>
    <w:qFormat/>
    <w:rsid w:val="00D50A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50AF4"/>
    <w:rPr>
      <w:i/>
      <w:iCs/>
      <w:color w:val="2F5496" w:themeColor="accent1" w:themeShade="BF"/>
    </w:rPr>
  </w:style>
  <w:style w:type="character" w:styleId="Intensieveverwijzing">
    <w:name w:val="Intense Reference"/>
    <w:basedOn w:val="Standaardalinea-lettertype"/>
    <w:uiPriority w:val="32"/>
    <w:qFormat/>
    <w:rsid w:val="00D50AF4"/>
    <w:rPr>
      <w:b/>
      <w:bCs/>
      <w:smallCaps/>
      <w:color w:val="2F5496" w:themeColor="accent1" w:themeShade="BF"/>
      <w:spacing w:val="5"/>
    </w:rPr>
  </w:style>
  <w:style w:type="paragraph" w:customStyle="1" w:styleId="Referentiegegevens">
    <w:name w:val="Referentiegegevens"/>
    <w:basedOn w:val="Standaard"/>
    <w:next w:val="Standaard"/>
    <w:rsid w:val="00D50AF4"/>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50AF4"/>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D50AF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50AF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D50AF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50AF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50AF4"/>
    <w:rPr>
      <w:vertAlign w:val="superscript"/>
    </w:rPr>
  </w:style>
  <w:style w:type="paragraph" w:styleId="Koptekst">
    <w:name w:val="header"/>
    <w:basedOn w:val="Standaard"/>
    <w:link w:val="KoptekstChar"/>
    <w:uiPriority w:val="99"/>
    <w:unhideWhenUsed/>
    <w:rsid w:val="00D50AF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50AF4"/>
  </w:style>
  <w:style w:type="paragraph" w:styleId="Voettekst">
    <w:name w:val="footer"/>
    <w:basedOn w:val="Standaard"/>
    <w:link w:val="VoettekstChar"/>
    <w:uiPriority w:val="99"/>
    <w:unhideWhenUsed/>
    <w:rsid w:val="00D50AF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50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762</ap:Words>
  <ap:Characters>4195</ap:Characters>
  <ap:DocSecurity>0</ap:DocSecurity>
  <ap:Lines>34</ap:Lines>
  <ap:Paragraphs>9</ap:Paragraphs>
  <ap:ScaleCrop>false</ap:ScaleCrop>
  <ap:LinksUpToDate>false</ap:LinksUpToDate>
  <ap:CharactersWithSpaces>4948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2026-04-23T11:30:00.0000000Z</dcterms:created>
  <dcterms:modified xsi:type="dcterms:W3CDTF">2026-04-23T11:30:00.0000000Z</dcterms:modified>
  <version/>
  <category/>
</coreProperties>
</file>