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2214EC2" w14:textId="77777777">
        <w:tc>
          <w:tcPr>
            <w:tcW w:w="6379" w:type="dxa"/>
            <w:gridSpan w:val="2"/>
            <w:tcBorders>
              <w:top w:val="nil"/>
              <w:left w:val="nil"/>
              <w:bottom w:val="nil"/>
              <w:right w:val="nil"/>
            </w:tcBorders>
            <w:vAlign w:val="center"/>
          </w:tcPr>
          <w:p w:rsidR="004330ED" w:rsidP="00EA1CE4" w:rsidRDefault="004330ED" w14:paraId="0B76FE9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12DFD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91D57D1" w14:textId="77777777">
        <w:trPr>
          <w:cantSplit/>
        </w:trPr>
        <w:tc>
          <w:tcPr>
            <w:tcW w:w="10348" w:type="dxa"/>
            <w:gridSpan w:val="3"/>
            <w:tcBorders>
              <w:top w:val="single" w:color="auto" w:sz="4" w:space="0"/>
              <w:left w:val="nil"/>
              <w:bottom w:val="nil"/>
              <w:right w:val="nil"/>
            </w:tcBorders>
          </w:tcPr>
          <w:p w:rsidR="004330ED" w:rsidP="004A1E29" w:rsidRDefault="004330ED" w14:paraId="12D74F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69C33AF" w14:textId="77777777">
        <w:trPr>
          <w:cantSplit/>
        </w:trPr>
        <w:tc>
          <w:tcPr>
            <w:tcW w:w="10348" w:type="dxa"/>
            <w:gridSpan w:val="3"/>
            <w:tcBorders>
              <w:top w:val="nil"/>
              <w:left w:val="nil"/>
              <w:bottom w:val="nil"/>
              <w:right w:val="nil"/>
            </w:tcBorders>
          </w:tcPr>
          <w:p w:rsidR="004330ED" w:rsidP="00BF623B" w:rsidRDefault="004330ED" w14:paraId="25BEDFCB" w14:textId="77777777">
            <w:pPr>
              <w:pStyle w:val="Amendement"/>
              <w:tabs>
                <w:tab w:val="clear" w:pos="3310"/>
                <w:tab w:val="clear" w:pos="3600"/>
              </w:tabs>
              <w:rPr>
                <w:rFonts w:ascii="Times New Roman" w:hAnsi="Times New Roman"/>
                <w:b w:val="0"/>
              </w:rPr>
            </w:pPr>
          </w:p>
        </w:tc>
      </w:tr>
      <w:tr w:rsidR="004330ED" w:rsidTr="00EA1CE4" w14:paraId="6F4CE126" w14:textId="77777777">
        <w:trPr>
          <w:cantSplit/>
        </w:trPr>
        <w:tc>
          <w:tcPr>
            <w:tcW w:w="10348" w:type="dxa"/>
            <w:gridSpan w:val="3"/>
            <w:tcBorders>
              <w:top w:val="nil"/>
              <w:left w:val="nil"/>
              <w:bottom w:val="single" w:color="auto" w:sz="4" w:space="0"/>
              <w:right w:val="nil"/>
            </w:tcBorders>
          </w:tcPr>
          <w:p w:rsidR="004330ED" w:rsidP="00BF623B" w:rsidRDefault="004330ED" w14:paraId="5177783F" w14:textId="77777777">
            <w:pPr>
              <w:pStyle w:val="Amendement"/>
              <w:tabs>
                <w:tab w:val="clear" w:pos="3310"/>
                <w:tab w:val="clear" w:pos="3600"/>
              </w:tabs>
              <w:rPr>
                <w:rFonts w:ascii="Times New Roman" w:hAnsi="Times New Roman"/>
              </w:rPr>
            </w:pPr>
          </w:p>
        </w:tc>
      </w:tr>
      <w:tr w:rsidR="004330ED" w:rsidTr="00EA1CE4" w14:paraId="65DD4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666DF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B953349" w14:textId="77777777">
            <w:pPr>
              <w:suppressAutoHyphens/>
              <w:ind w:left="-70"/>
              <w:rPr>
                <w:b/>
              </w:rPr>
            </w:pPr>
          </w:p>
        </w:tc>
      </w:tr>
      <w:tr w:rsidR="003C21AC" w:rsidTr="00EA1CE4" w14:paraId="7667B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5DE3" w14:paraId="74A9DD8F" w14:textId="310C12D4">
            <w:pPr>
              <w:pStyle w:val="Amendement"/>
              <w:tabs>
                <w:tab w:val="clear" w:pos="3310"/>
                <w:tab w:val="clear" w:pos="3600"/>
              </w:tabs>
              <w:rPr>
                <w:rFonts w:ascii="Times New Roman" w:hAnsi="Times New Roman"/>
              </w:rPr>
            </w:pPr>
            <w:r>
              <w:rPr>
                <w:rFonts w:ascii="Times New Roman" w:hAnsi="Times New Roman"/>
              </w:rPr>
              <w:t>36 915 XIV</w:t>
            </w:r>
          </w:p>
        </w:tc>
        <w:tc>
          <w:tcPr>
            <w:tcW w:w="7371" w:type="dxa"/>
            <w:gridSpan w:val="2"/>
          </w:tcPr>
          <w:p w:rsidRPr="00855DE3" w:rsidR="003C21AC" w:rsidP="00855DE3" w:rsidRDefault="00855DE3" w14:paraId="33A5B042" w14:textId="02066644">
            <w:pPr>
              <w:rPr>
                <w:b/>
                <w:bCs/>
              </w:rPr>
            </w:pPr>
            <w:r w:rsidRPr="00855DE3">
              <w:rPr>
                <w:b/>
                <w:bCs/>
                <w:szCs w:val="24"/>
              </w:rPr>
              <w:t>Wijziging van de begrotingsstaten van het Ministerie van Landbouw, Visserij, Voedselzekerheid en Natuur (XIV) en het Diergezondheidsfonds (F) voor het jaar 2026 (wijziging samenhangende met de Voorjaarsnota)</w:t>
            </w:r>
          </w:p>
        </w:tc>
      </w:tr>
      <w:tr w:rsidR="003C21AC" w:rsidTr="00EA1CE4" w14:paraId="39343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F6F76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77EDEBF" w14:textId="77777777">
            <w:pPr>
              <w:pStyle w:val="Amendement"/>
              <w:tabs>
                <w:tab w:val="clear" w:pos="3310"/>
                <w:tab w:val="clear" w:pos="3600"/>
              </w:tabs>
              <w:ind w:left="-70"/>
              <w:rPr>
                <w:rFonts w:ascii="Times New Roman" w:hAnsi="Times New Roman"/>
              </w:rPr>
            </w:pPr>
          </w:p>
        </w:tc>
      </w:tr>
      <w:tr w:rsidR="003C21AC" w:rsidTr="00EA1CE4" w14:paraId="59B28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36DED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E10E874" w14:textId="77777777">
            <w:pPr>
              <w:pStyle w:val="Amendement"/>
              <w:tabs>
                <w:tab w:val="clear" w:pos="3310"/>
                <w:tab w:val="clear" w:pos="3600"/>
              </w:tabs>
              <w:ind w:left="-70"/>
              <w:rPr>
                <w:rFonts w:ascii="Times New Roman" w:hAnsi="Times New Roman"/>
              </w:rPr>
            </w:pPr>
          </w:p>
        </w:tc>
      </w:tr>
      <w:tr w:rsidR="003C21AC" w:rsidTr="00EA1CE4" w14:paraId="6EC6D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58A78A" w14:textId="237ED1E1">
            <w:pPr>
              <w:pStyle w:val="Amendement"/>
              <w:tabs>
                <w:tab w:val="clear" w:pos="3310"/>
                <w:tab w:val="clear" w:pos="3600"/>
              </w:tabs>
              <w:rPr>
                <w:rFonts w:ascii="Times New Roman" w:hAnsi="Times New Roman"/>
              </w:rPr>
            </w:pPr>
            <w:r w:rsidRPr="00C035D4">
              <w:rPr>
                <w:rFonts w:ascii="Times New Roman" w:hAnsi="Times New Roman"/>
              </w:rPr>
              <w:t xml:space="preserve">Nr. </w:t>
            </w:r>
            <w:r w:rsidR="00855DE3">
              <w:rPr>
                <w:rFonts w:ascii="Times New Roman" w:hAnsi="Times New Roman"/>
                <w:caps/>
              </w:rPr>
              <w:t>5</w:t>
            </w:r>
          </w:p>
        </w:tc>
        <w:tc>
          <w:tcPr>
            <w:tcW w:w="7371" w:type="dxa"/>
            <w:gridSpan w:val="2"/>
          </w:tcPr>
          <w:p w:rsidRPr="00C035D4" w:rsidR="003C21AC" w:rsidP="006E0971" w:rsidRDefault="003C21AC" w14:paraId="54201B5E" w14:textId="28F1FD3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55DE3">
              <w:rPr>
                <w:rFonts w:ascii="Times New Roman" w:hAnsi="Times New Roman"/>
                <w:caps/>
              </w:rPr>
              <w:t>teunissen</w:t>
            </w:r>
          </w:p>
        </w:tc>
      </w:tr>
      <w:tr w:rsidR="003C21AC" w:rsidTr="00EA1CE4" w14:paraId="4EDCD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E11BD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F512BE" w14:textId="16FF001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55DE3">
              <w:rPr>
                <w:rFonts w:ascii="Times New Roman" w:hAnsi="Times New Roman"/>
                <w:b w:val="0"/>
              </w:rPr>
              <w:t>23 april 2026</w:t>
            </w:r>
          </w:p>
        </w:tc>
      </w:tr>
      <w:tr w:rsidR="00B01BA6" w:rsidTr="00EA1CE4" w14:paraId="3EC71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9081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CF8251" w14:textId="77777777">
            <w:pPr>
              <w:pStyle w:val="Amendement"/>
              <w:tabs>
                <w:tab w:val="clear" w:pos="3310"/>
                <w:tab w:val="clear" w:pos="3600"/>
              </w:tabs>
              <w:ind w:left="-70"/>
              <w:rPr>
                <w:rFonts w:ascii="Times New Roman" w:hAnsi="Times New Roman"/>
                <w:b w:val="0"/>
              </w:rPr>
            </w:pPr>
          </w:p>
        </w:tc>
      </w:tr>
      <w:tr w:rsidRPr="00EA69AC" w:rsidR="00B01BA6" w:rsidTr="00EA1CE4" w14:paraId="1342F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5BAE84" w14:textId="77777777">
            <w:pPr>
              <w:ind w:firstLine="284"/>
            </w:pPr>
            <w:r w:rsidRPr="00EA69AC">
              <w:t>De ondergetekende stelt het volgende amendement voor:</w:t>
            </w:r>
          </w:p>
        </w:tc>
      </w:tr>
    </w:tbl>
    <w:p w:rsidRPr="00EA69AC" w:rsidR="004330ED" w:rsidP="00D774B3" w:rsidRDefault="004330ED" w14:paraId="0B0362F5" w14:textId="77777777"/>
    <w:p w:rsidRPr="00855DE3" w:rsidR="00855DE3" w:rsidP="00855DE3" w:rsidRDefault="00855DE3" w14:paraId="4AB680C0" w14:textId="62E9C61E">
      <w:r>
        <w:tab/>
      </w:r>
      <w:r w:rsidRPr="00855DE3">
        <w:t>De begrotingsstaat wordt als volgt gewijzigd:</w:t>
      </w:r>
    </w:p>
    <w:p w:rsidRPr="00855DE3" w:rsidR="00855DE3" w:rsidP="00855DE3" w:rsidRDefault="00855DE3" w14:paraId="56762595" w14:textId="77777777"/>
    <w:p w:rsidRPr="00855DE3" w:rsidR="00855DE3" w:rsidP="00855DE3" w:rsidRDefault="00855DE3" w14:paraId="0D8CAB2F" w14:textId="77777777">
      <w:r w:rsidRPr="00855DE3">
        <w:t>I</w:t>
      </w:r>
    </w:p>
    <w:p w:rsidRPr="00855DE3" w:rsidR="00855DE3" w:rsidP="00855DE3" w:rsidRDefault="00855DE3" w14:paraId="688FECAF" w14:textId="77777777"/>
    <w:p w:rsidRPr="00855DE3" w:rsidR="00855DE3" w:rsidP="00855DE3" w:rsidRDefault="00855DE3" w14:paraId="7477E1C5" w14:textId="71506569">
      <w:r>
        <w:tab/>
      </w:r>
      <w:r w:rsidRPr="00855DE3">
        <w:t xml:space="preserve">In </w:t>
      </w:r>
      <w:r w:rsidRPr="00855DE3">
        <w:rPr>
          <w:b/>
        </w:rPr>
        <w:t>artikel 21 Land- en tuinbouw</w:t>
      </w:r>
      <w:r w:rsidRPr="00855DE3">
        <w:t xml:space="preserve"> worden het verplichtingenbedrag en het uitgavenbedrag </w:t>
      </w:r>
      <w:r w:rsidRPr="00855DE3">
        <w:rPr>
          <w:b/>
        </w:rPr>
        <w:t>verlaagd</w:t>
      </w:r>
      <w:r w:rsidRPr="00855DE3">
        <w:t xml:space="preserve"> met</w:t>
      </w:r>
      <w:r w:rsidRPr="00855DE3">
        <w:rPr>
          <w:b/>
        </w:rPr>
        <w:t> € 1.000</w:t>
      </w:r>
      <w:r w:rsidRPr="00855DE3">
        <w:t xml:space="preserve"> (x € 1.000).</w:t>
      </w:r>
    </w:p>
    <w:p w:rsidRPr="00855DE3" w:rsidR="00855DE3" w:rsidP="00855DE3" w:rsidRDefault="00855DE3" w14:paraId="361D277F" w14:textId="77777777"/>
    <w:p w:rsidRPr="00855DE3" w:rsidR="00855DE3" w:rsidP="00855DE3" w:rsidRDefault="00855DE3" w14:paraId="17810064" w14:textId="77777777">
      <w:r w:rsidRPr="00855DE3">
        <w:t>II</w:t>
      </w:r>
    </w:p>
    <w:p w:rsidRPr="00855DE3" w:rsidR="00855DE3" w:rsidP="00855DE3" w:rsidRDefault="00855DE3" w14:paraId="4AF8BA38" w14:textId="77777777"/>
    <w:p w:rsidRPr="00855DE3" w:rsidR="00855DE3" w:rsidP="00855DE3" w:rsidRDefault="00855DE3" w14:paraId="430CD188" w14:textId="344F57D8">
      <w:r>
        <w:tab/>
      </w:r>
      <w:r w:rsidRPr="00855DE3">
        <w:t xml:space="preserve">In </w:t>
      </w:r>
      <w:r w:rsidRPr="00855DE3">
        <w:rPr>
          <w:b/>
        </w:rPr>
        <w:t>artikel 24 Uitvoering en toezicht</w:t>
      </w:r>
      <w:r w:rsidRPr="00855DE3">
        <w:t xml:space="preserve"> van de begrotingsstaat worden het verplichtingenbedrag en het uitgavenbedrag </w:t>
      </w:r>
      <w:r w:rsidRPr="00855DE3">
        <w:rPr>
          <w:b/>
        </w:rPr>
        <w:t>verhoogd</w:t>
      </w:r>
      <w:r w:rsidRPr="00855DE3">
        <w:t xml:space="preserve"> met </w:t>
      </w:r>
      <w:r w:rsidRPr="00855DE3">
        <w:rPr>
          <w:b/>
        </w:rPr>
        <w:t>€ 1.000</w:t>
      </w:r>
      <w:r w:rsidRPr="00855DE3">
        <w:t xml:space="preserve"> (x € 1.000).</w:t>
      </w:r>
    </w:p>
    <w:p w:rsidRPr="00855DE3" w:rsidR="00855DE3" w:rsidP="00855DE3" w:rsidRDefault="00855DE3" w14:paraId="5DCF2A6B" w14:textId="77777777"/>
    <w:p w:rsidRPr="00855DE3" w:rsidR="00855DE3" w:rsidP="00855DE3" w:rsidRDefault="00855DE3" w14:paraId="6F9B26CE" w14:textId="77777777">
      <w:pPr>
        <w:rPr>
          <w:b/>
        </w:rPr>
      </w:pPr>
      <w:r w:rsidRPr="00855DE3">
        <w:rPr>
          <w:b/>
        </w:rPr>
        <w:t>Toelichting</w:t>
      </w:r>
    </w:p>
    <w:p w:rsidRPr="00855DE3" w:rsidR="00855DE3" w:rsidP="00855DE3" w:rsidRDefault="00855DE3" w14:paraId="2E2CA82B" w14:textId="77777777"/>
    <w:p w:rsidRPr="00855DE3" w:rsidR="00855DE3" w:rsidP="00855DE3" w:rsidRDefault="00855DE3" w14:paraId="023C52DD" w14:textId="77777777">
      <w:r w:rsidRPr="00855DE3">
        <w:t>De indiener stelt voor om € 1 miljoen aan middelen vrij te maken voor de Nederlandse Voedsel- en Warenautoriteit (NVWA) voor het aanpakken van dierenmishandeling en het toezicht op dierenwelzijn.</w:t>
      </w:r>
    </w:p>
    <w:p w:rsidRPr="00855DE3" w:rsidR="00855DE3" w:rsidP="00855DE3" w:rsidRDefault="00855DE3" w14:paraId="5F43A892" w14:textId="77777777"/>
    <w:p w:rsidRPr="00855DE3" w:rsidR="00855DE3" w:rsidP="00855DE3" w:rsidRDefault="00855DE3" w14:paraId="41A6E366" w14:textId="77777777">
      <w:r w:rsidRPr="00855DE3">
        <w:t>De NVWA heeft een tekort van €3,2 miljoen voor de LVVN-opdracht voor 2026. Dit vangt de NVWA op door in de volle breedte van publieke belangen te korten. De indiener is van mening dat het toezicht op dierenwelzijn moet worden geïntensiveerd, en er zeker niet op moet worden gekort. Met meer middelen, krijgt de NVWA hier meer mogelijkheden voor, zonder dat dit ten koste gaat van het toezicht op andere publieke belangen.</w:t>
      </w:r>
    </w:p>
    <w:p w:rsidRPr="00855DE3" w:rsidR="00855DE3" w:rsidP="00855DE3" w:rsidRDefault="00855DE3" w14:paraId="3A6EA249" w14:textId="77777777"/>
    <w:p w:rsidRPr="00855DE3" w:rsidR="00855DE3" w:rsidP="00855DE3" w:rsidRDefault="00855DE3" w14:paraId="4154A961" w14:textId="77777777">
      <w:r w:rsidRPr="00855DE3">
        <w:t>De Tweede Kamer vindt een stevige aanpak van dierenmishandeling belangrijk, zo blijkt ook uit de aangenomen Wet aanpak dierenmishandeling en dierverwaarlozing, waardoor er hogere maximumstraffen voor dierenbeulen zijn, de rechter een (levenslang) houdverbod kan opleggen bij ernstige dierenmishandeling en handhavende instanties een bedrijf mogen stilleggen vanwege dierenleed. Een belangrijke mijlpaal voor de bescherming van dieren, maar deze nieuwe instrumenten zijn alleen effectief als dierenmishandeling ook wordt gesignaleerd</w:t>
      </w:r>
    </w:p>
    <w:p w:rsidRPr="00855DE3" w:rsidR="00855DE3" w:rsidP="00855DE3" w:rsidRDefault="00855DE3" w14:paraId="67F2C66D" w14:textId="77777777"/>
    <w:p w:rsidRPr="00855DE3" w:rsidR="00855DE3" w:rsidP="00855DE3" w:rsidRDefault="00855DE3" w14:paraId="67B33BC8" w14:textId="77777777">
      <w:r w:rsidRPr="00855DE3">
        <w:t xml:space="preserve">In de praktijk zien we dat malafide hondenfokkers te vaak wegkomen met het houden van honden in donkere en vieze schuren, of dat er pas wordt ingegrepen nadat incidenten door dierenbelangenorganisaties, journalisten of gedupeerden aan het licht zijn gebracht. Zo werd onlangs eindelijk ingegrepen bij een malafide hondenfokker waar doodzieke pups, die onder de vlooien zaten en nauwelijks gesocialiseerd waren, werden verkocht, maar pas een maand nadat Omroep Brabant dit aan het </w:t>
      </w:r>
      <w:r w:rsidRPr="00855DE3">
        <w:lastRenderedPageBreak/>
        <w:t>licht had gebracht en hierover uitgebreid had gerapporteerd</w:t>
      </w:r>
      <w:r w:rsidRPr="00855DE3">
        <w:rPr>
          <w:vertAlign w:val="superscript"/>
        </w:rPr>
        <w:footnoteReference w:id="1"/>
      </w:r>
      <w:r w:rsidRPr="00855DE3">
        <w:rPr>
          <w:vertAlign w:val="superscript"/>
        </w:rPr>
        <w:footnoteReference w:id="2"/>
      </w:r>
      <w:r w:rsidRPr="00855DE3">
        <w:t xml:space="preserve">. Ook in de veehouderij zien we dat ernstige dierenwelzijnsovertredingen te lang blijven voortbestaan door onvoldoende toezicht. Er zijn veel plekken waar de NVWA jarenlang niet komt kijken. Zo was de </w:t>
      </w:r>
      <w:proofErr w:type="spellStart"/>
      <w:r w:rsidRPr="00855DE3">
        <w:t>toezichtsintensiteit</w:t>
      </w:r>
      <w:proofErr w:type="spellEnd"/>
      <w:r w:rsidRPr="00855DE3">
        <w:t xml:space="preserve"> voor dierenwelzijn op primaire bedrijven in 2025 maar 4% (Antwoorden feitelijke vragen over de eerste suppletoire begroting LVVN 2026). </w:t>
      </w:r>
    </w:p>
    <w:p w:rsidRPr="00855DE3" w:rsidR="00855DE3" w:rsidP="00855DE3" w:rsidRDefault="00855DE3" w14:paraId="62094EFB" w14:textId="77777777"/>
    <w:p w:rsidRPr="00855DE3" w:rsidR="00855DE3" w:rsidP="00855DE3" w:rsidRDefault="00855DE3" w14:paraId="1A27DF88" w14:textId="77777777">
      <w:r w:rsidRPr="00855DE3">
        <w:t>Dekking wordt gevonden in artikel 21 van de begroting van Landbouw, Visserij, Voedselzekerheid en Natuur van de niet juridisch verplichte post «subsidies – Emissiearm veevoer». Voor deze post is in totaal € 3,2 miljoen gereserveerd. Met deze verschuiving blijft nog steeds een bedrag van € 2,2 miljoen beschikbaar voor de, door het ministerie gewenste, onderzoeken.</w:t>
      </w:r>
    </w:p>
    <w:p w:rsidRPr="00855DE3" w:rsidR="00855DE3" w:rsidP="00855DE3" w:rsidRDefault="00855DE3" w14:paraId="06B730E9" w14:textId="77777777"/>
    <w:p w:rsidRPr="00855DE3" w:rsidR="00855DE3" w:rsidP="00855DE3" w:rsidRDefault="00855DE3" w14:paraId="3CDC1F94" w14:textId="77777777">
      <w:r w:rsidRPr="00855DE3">
        <w:t>Teunissen</w:t>
      </w:r>
    </w:p>
    <w:p w:rsidRPr="00EA69AC" w:rsidR="00B4708A" w:rsidP="00855DE3" w:rsidRDefault="00B4708A" w14:paraId="7C513B1D" w14:textId="22FA857D"/>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3132" w14:textId="77777777" w:rsidR="00855DE3" w:rsidRDefault="00855DE3">
      <w:pPr>
        <w:spacing w:line="20" w:lineRule="exact"/>
      </w:pPr>
    </w:p>
  </w:endnote>
  <w:endnote w:type="continuationSeparator" w:id="0">
    <w:p w14:paraId="44174822" w14:textId="77777777" w:rsidR="00855DE3" w:rsidRDefault="00855DE3">
      <w:pPr>
        <w:pStyle w:val="Amendement"/>
      </w:pPr>
      <w:r>
        <w:rPr>
          <w:b w:val="0"/>
        </w:rPr>
        <w:t xml:space="preserve"> </w:t>
      </w:r>
    </w:p>
  </w:endnote>
  <w:endnote w:type="continuationNotice" w:id="1">
    <w:p w14:paraId="7AC92664" w14:textId="77777777" w:rsidR="00855DE3" w:rsidRDefault="00855D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FE69" w14:textId="77777777" w:rsidR="00855DE3" w:rsidRDefault="00855DE3">
      <w:pPr>
        <w:pStyle w:val="Amendement"/>
      </w:pPr>
      <w:r>
        <w:rPr>
          <w:b w:val="0"/>
        </w:rPr>
        <w:separator/>
      </w:r>
    </w:p>
  </w:footnote>
  <w:footnote w:type="continuationSeparator" w:id="0">
    <w:p w14:paraId="675EDCA9" w14:textId="77777777" w:rsidR="00855DE3" w:rsidRDefault="00855DE3">
      <w:r>
        <w:continuationSeparator/>
      </w:r>
    </w:p>
  </w:footnote>
  <w:footnote w:id="1">
    <w:p w14:paraId="63B44ECC" w14:textId="77777777" w:rsidR="00855DE3" w:rsidRDefault="00855DE3" w:rsidP="00855DE3">
      <w:pPr>
        <w:pStyle w:val="Voetnoottekst"/>
      </w:pPr>
      <w:r>
        <w:rPr>
          <w:rStyle w:val="Voetnootmarkering"/>
        </w:rPr>
        <w:footnoteRef/>
      </w:r>
      <w:r>
        <w:t xml:space="preserve"> </w:t>
      </w:r>
      <w:hyperlink r:id="rId1">
        <w:r w:rsidRPr="00D47C26">
          <w:rPr>
            <w:sz w:val="20"/>
          </w:rPr>
          <w:t>https://www.omroepbrabant.nl/nieuws/6007350/inval-bij-omstreden-hondenfokker-actie-van-nvwa-politie-en-gemeente-best</w:t>
        </w:r>
      </w:hyperlink>
    </w:p>
  </w:footnote>
  <w:footnote w:id="2">
    <w:p w14:paraId="173FE6BE" w14:textId="77777777" w:rsidR="00855DE3" w:rsidRDefault="00855DE3" w:rsidP="00855DE3">
      <w:pPr>
        <w:pStyle w:val="Voetnoottekst"/>
      </w:pPr>
      <w:r>
        <w:rPr>
          <w:rStyle w:val="Voetnootmarkering"/>
        </w:rPr>
        <w:footnoteRef/>
      </w:r>
      <w:r>
        <w:t xml:space="preserve"> </w:t>
      </w:r>
      <w:r w:rsidRPr="00D47C26">
        <w:rPr>
          <w:sz w:val="20"/>
        </w:rPr>
        <w:t>https://www.omroepbrabant.nl/nieuws/6005650/heeft-omstreden-hondenfokker-vergunning-gemeente-doet-al-weken-onderzoek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E3"/>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F6B5F"/>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55DE3"/>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5CA1E"/>
  <w15:docId w15:val="{B04008CF-6E0D-4BBB-BF5A-73EB7309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855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mroepbrabant.nl/nieuws/6007350/inval-bij-omstreden-hondenfokker-actie-van-nvwa-politie-en-gemeente-b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490</ap:Words>
  <ap:Characters>2701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2026-04-23T08:44:00.0000000Z</dcterms:created>
  <dcterms:modified xsi:type="dcterms:W3CDTF">2026-04-23T08:45:00.0000000Z</dcterms:modified>
  <dc:description>------------------------</dc:description>
  <dc:subject/>
  <keywords/>
  <version/>
  <category/>
</coreProperties>
</file>