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C94" w:rsidP="005E7C94" w:rsidRDefault="005E7C94" w14:paraId="0E2A8C1B" w14:textId="33807A96">
      <w:pPr>
        <w:rPr>
          <w:b/>
        </w:rPr>
      </w:pPr>
      <w:r>
        <w:rPr>
          <w:b/>
        </w:rPr>
        <w:t>AH 1724</w:t>
      </w:r>
    </w:p>
    <w:p w:rsidR="005E7C94" w:rsidP="005E7C94" w:rsidRDefault="005E7C94" w14:paraId="01EC2F80" w14:textId="3B80003E">
      <w:pPr>
        <w:rPr>
          <w:b/>
        </w:rPr>
      </w:pPr>
      <w:r>
        <w:rPr>
          <w:b/>
        </w:rPr>
        <w:t>2026Z06401</w:t>
      </w:r>
    </w:p>
    <w:p w:rsidR="005E7C94" w:rsidP="005E7C94" w:rsidRDefault="005E7C94" w14:paraId="71BBE3F0" w14:textId="6579DCE3">
      <w:pPr>
        <w:rPr>
          <w:b/>
        </w:rPr>
      </w:pPr>
      <w:r w:rsidRPr="005E7C94">
        <w:rPr>
          <w:b/>
          <w:sz w:val="24"/>
          <w:szCs w:val="24"/>
        </w:rPr>
        <w:t xml:space="preserve">Antwoord van minister Van Essen (Landbouw, Visserij, Voedselzekerheid en Natuur) (ontvangen </w:t>
      </w:r>
      <w:r>
        <w:rPr>
          <w:b/>
          <w:sz w:val="24"/>
          <w:szCs w:val="24"/>
        </w:rPr>
        <w:t xml:space="preserve"> 23 april 2026)</w:t>
      </w:r>
    </w:p>
    <w:p w:rsidRPr="00C25A1D" w:rsidR="005E7C94" w:rsidP="005E7C94" w:rsidRDefault="005E7C94" w14:paraId="114DA5C7" w14:textId="77777777">
      <w:pPr>
        <w:rPr>
          <w:rStyle w:val="Zwaar"/>
          <w:b w:val="0"/>
          <w:bCs w:val="0"/>
        </w:rPr>
      </w:pPr>
      <w:r w:rsidRPr="00C25A1D">
        <w:rPr>
          <w:rStyle w:val="Zwaar"/>
        </w:rPr>
        <w:t>1</w:t>
      </w:r>
    </w:p>
    <w:p w:rsidR="005E7C94" w:rsidP="005E7C94" w:rsidRDefault="005E7C94" w14:paraId="6ADD7F15" w14:textId="77777777">
      <w:r w:rsidRPr="007D1959">
        <w:t>Klopt het dat bij een systeem van doelsturing op bedrijfsniveau gegevens over emissies, managementmaatregelen of prestaties van individuele landbouwbedrijven verzameld en verwerkt zullen worden?</w:t>
      </w:r>
    </w:p>
    <w:p w:rsidR="005E7C94" w:rsidP="005E7C94" w:rsidRDefault="005E7C94" w14:paraId="4E6146E2" w14:textId="77777777">
      <w:pPr>
        <w:rPr>
          <w:rStyle w:val="Zwaar"/>
          <w:b w:val="0"/>
          <w:bCs w:val="0"/>
        </w:rPr>
      </w:pPr>
    </w:p>
    <w:p w:rsidR="005E7C94" w:rsidP="005E7C94" w:rsidRDefault="005E7C94" w14:paraId="04E9287E" w14:textId="77777777">
      <w:pPr>
        <w:rPr>
          <w:rStyle w:val="Zwaar"/>
          <w:b w:val="0"/>
          <w:bCs w:val="0"/>
        </w:rPr>
      </w:pPr>
      <w:r w:rsidRPr="00C25A1D">
        <w:rPr>
          <w:rStyle w:val="Zwaar"/>
        </w:rPr>
        <w:t>Antwoord</w:t>
      </w:r>
    </w:p>
    <w:p w:rsidRPr="00C25A1D" w:rsidR="005E7C94" w:rsidP="005E7C94" w:rsidRDefault="005E7C94" w14:paraId="7FC31BD2" w14:textId="77777777">
      <w:pPr>
        <w:rPr>
          <w:b/>
          <w:bCs/>
        </w:rPr>
      </w:pPr>
      <w:r>
        <w:rPr>
          <w:rStyle w:val="Zwaar"/>
        </w:rPr>
        <w:t xml:space="preserve">Ja, dat klopt. </w:t>
      </w:r>
    </w:p>
    <w:p w:rsidR="005E7C94" w:rsidP="005E7C94" w:rsidRDefault="005E7C94" w14:paraId="7B0F5460" w14:textId="77777777"/>
    <w:p w:rsidR="005E7C94" w:rsidP="005E7C94" w:rsidRDefault="005E7C94" w14:paraId="1624E847" w14:textId="77777777">
      <w:r>
        <w:t>2</w:t>
      </w:r>
    </w:p>
    <w:p w:rsidR="005E7C94" w:rsidP="005E7C94" w:rsidRDefault="005E7C94" w14:paraId="20EFB9F2" w14:textId="77777777">
      <w:r w:rsidRPr="007D1959">
        <w:t>Klopt het dat dergelijke gegevens, wanneer zij bij de overheid berusten, in beginsel onder de reikwijdte van de Wet open overheid (Woo) kunnen vallen?</w:t>
      </w:r>
    </w:p>
    <w:p w:rsidR="005E7C94" w:rsidP="005E7C94" w:rsidRDefault="005E7C94" w14:paraId="27BD3DB3" w14:textId="77777777">
      <w:r>
        <w:br/>
        <w:t>Antwoord</w:t>
      </w:r>
    </w:p>
    <w:p w:rsidR="005E7C94" w:rsidP="005E7C94" w:rsidRDefault="005E7C94" w14:paraId="21F4CC21" w14:textId="77777777">
      <w:r>
        <w:t xml:space="preserve">Ja, dat kan. </w:t>
      </w:r>
      <w:r w:rsidRPr="00DB397D">
        <w:t>De Woo geeft algemene regels voor het openbaar maken van de informatie waarover de overheid beschikt. Daaronder val</w:t>
      </w:r>
      <w:r>
        <w:t xml:space="preserve">len in beginsel ook </w:t>
      </w:r>
      <w:r w:rsidRPr="00DB397D">
        <w:t>de bedrijfs</w:t>
      </w:r>
      <w:r>
        <w:t xml:space="preserve">gegevens </w:t>
      </w:r>
      <w:r w:rsidRPr="00DB397D">
        <w:t>van individuele bedrijven waar de overheid over beschikt, ongeacht hoe de overheid daarover de beschikking heeft gekregen</w:t>
      </w:r>
      <w:r>
        <w:t xml:space="preserve">. Doorslaggevend voor de vraag of gegevens </w:t>
      </w:r>
      <w:r w:rsidRPr="007D1959">
        <w:t xml:space="preserve">onder de reikwijdte van de </w:t>
      </w:r>
      <w:r>
        <w:t>W</w:t>
      </w:r>
      <w:r w:rsidRPr="007D1959">
        <w:t>oo vallen</w:t>
      </w:r>
      <w:r>
        <w:t>, is of er een verband bestaat tussen de informatie en de publieke taak van het bestuursorgaan. Niet alle gegevens die bij de overheid berusten zijn per definitie verbonden aan de publieke taak van in dit geval de Minister van LVVN. Wat publieke taken zijn moet ruim worden uitgelegd zo blijkt uit de memorie van toelichting bij de Woo.</w:t>
      </w:r>
      <w:r>
        <w:rPr>
          <w:rStyle w:val="Voetnootmarkering"/>
        </w:rPr>
        <w:footnoteReference w:id="1"/>
      </w:r>
    </w:p>
    <w:p w:rsidR="005E7C94" w:rsidP="005E7C94" w:rsidRDefault="005E7C94" w14:paraId="4747C822" w14:textId="77777777"/>
    <w:p w:rsidR="005E7C94" w:rsidP="005E7C94" w:rsidRDefault="005E7C94" w14:paraId="27D59865" w14:textId="77777777">
      <w:r>
        <w:t>3</w:t>
      </w:r>
    </w:p>
    <w:p w:rsidR="005E7C94" w:rsidP="005E7C94" w:rsidRDefault="005E7C94" w14:paraId="48441E94" w14:textId="77777777">
      <w:r w:rsidRPr="007D1959">
        <w:t>Deelt u de zorg dat openbaarmaking van gedetailleerde bedrijfsgegevens van individuele landbouwbedrijven kan leiden tot ongewenste effecten zoals reputatieschade, actiedruk of juridisering richting individuele ondernemers?</w:t>
      </w:r>
    </w:p>
    <w:p w:rsidR="005E7C94" w:rsidP="005E7C94" w:rsidRDefault="005E7C94" w14:paraId="7855DCF8" w14:textId="77777777">
      <w:r>
        <w:br/>
        <w:t>Antwoord</w:t>
      </w:r>
    </w:p>
    <w:p w:rsidR="005E7C94" w:rsidP="005E7C94" w:rsidRDefault="005E7C94" w14:paraId="110B01B2" w14:textId="77777777">
      <w:r>
        <w:lastRenderedPageBreak/>
        <w:t xml:space="preserve">Ik begrijp dat openbaarmaking van gedetailleerde bedrijfsgegevens van individuele landbouwbedrijven impact kan hebben voor individuele ondernemers, zeker als bedrijfsgegevens gelijk zijn aan het privéadres. Ik begrijp </w:t>
      </w:r>
      <w:r w:rsidRPr="00886858">
        <w:t xml:space="preserve">dat dit </w:t>
      </w:r>
      <w:r>
        <w:t xml:space="preserve">zijn weerslag </w:t>
      </w:r>
      <w:r w:rsidRPr="00886858">
        <w:t>kan hebben op ondernemers en hun gezinnen.</w:t>
      </w:r>
      <w:r>
        <w:t xml:space="preserve"> Zoals ik in mijn brief over de zienswijzeprocedure bij de openbaarmaking van emissiegegevens 15 april 2026</w:t>
      </w:r>
      <w:r w:rsidRPr="0069337F">
        <w:rPr>
          <w:rStyle w:val="Voetnootmarkering"/>
          <w:shd w:val="clear" w:color="auto" w:fill="FFFFFF" w:themeFill="background1"/>
        </w:rPr>
        <w:footnoteReference w:id="2"/>
      </w:r>
      <w:r w:rsidRPr="0069337F">
        <w:rPr>
          <w:shd w:val="clear" w:color="auto" w:fill="FFFFFF" w:themeFill="background1"/>
        </w:rPr>
        <w:t xml:space="preserve"> heb</w:t>
      </w:r>
      <w:r w:rsidRPr="0069337F">
        <w:t xml:space="preserve"> aangegeven</w:t>
      </w:r>
      <w:r>
        <w:t xml:space="preserve"> werk ik in dit kader met het ministerie van Justitie en Veiligheid aan een onderzoek naar de sociale veiligheid van agrarisch ondernemers. </w:t>
      </w:r>
    </w:p>
    <w:p w:rsidR="005E7C94" w:rsidP="005E7C94" w:rsidRDefault="005E7C94" w14:paraId="6E4CB6D8" w14:textId="77777777"/>
    <w:p w:rsidR="005E7C94" w:rsidP="005E7C94" w:rsidRDefault="005E7C94" w14:paraId="100F6A9E" w14:textId="77777777"/>
    <w:p w:rsidR="005E7C94" w:rsidP="005E7C94" w:rsidRDefault="005E7C94" w14:paraId="3A79E379" w14:textId="77777777"/>
    <w:p w:rsidR="005E7C94" w:rsidP="005E7C94" w:rsidRDefault="005E7C94" w14:paraId="71187C02" w14:textId="77777777"/>
    <w:p w:rsidR="005E7C94" w:rsidP="005E7C94" w:rsidRDefault="005E7C94" w14:paraId="535A5DE0" w14:textId="77777777">
      <w:pPr>
        <w:spacing w:after="200" w:line="276" w:lineRule="auto"/>
      </w:pPr>
      <w:r>
        <w:t>4</w:t>
      </w:r>
      <w:r>
        <w:br/>
      </w:r>
      <w:r w:rsidRPr="007D1959">
        <w:t>Hoe wordt voorkomen dat bedrijfsgegevens die nodig zijn voor doelsturing via Woo-verzoeken openbaar gemaakt kunnen worden?</w:t>
      </w:r>
    </w:p>
    <w:p w:rsidRPr="001A4C84" w:rsidR="005E7C94" w:rsidP="005E7C94" w:rsidRDefault="005E7C94" w14:paraId="4CD02BAC" w14:textId="77777777">
      <w:r>
        <w:t xml:space="preserve">Antwoord </w:t>
      </w:r>
      <w:r>
        <w:br/>
        <w:t>Openbaarheid van overheidsinformatie is een belangrijk onderdeel van onze</w:t>
      </w:r>
    </w:p>
    <w:p w:rsidR="005E7C94" w:rsidP="005E7C94" w:rsidRDefault="005E7C94" w14:paraId="69284265" w14:textId="77777777">
      <w:r>
        <w:t xml:space="preserve">democratische rechtsstaat. Openbaarheid van gegevens maakt het mogelijk voor belangenorganisaties, onderzoekers en burgers informatie te vergaren over onder andere hun leefomgeving. </w:t>
      </w:r>
    </w:p>
    <w:p w:rsidR="005E7C94" w:rsidP="005E7C94" w:rsidRDefault="005E7C94" w14:paraId="4887FF86" w14:textId="77777777"/>
    <w:p w:rsidR="005E7C94" w:rsidP="005E7C94" w:rsidRDefault="005E7C94" w14:paraId="24628190" w14:textId="77777777">
      <w:pPr>
        <w:rPr>
          <w:szCs w:val="18"/>
        </w:rPr>
      </w:pPr>
      <w:r>
        <w:rPr>
          <w:szCs w:val="18"/>
        </w:rPr>
        <w:t xml:space="preserve">Daarom zijn er internationaal afspraken gemaakt over openbaarheid van informatie. Deze afspraken zijn vastgelegd </w:t>
      </w:r>
      <w:r w:rsidRPr="00D8070F">
        <w:rPr>
          <w:szCs w:val="18"/>
        </w:rPr>
        <w:t>in het Verdrag van Aarhus (hierna: het verdrag) en de Europese milieu-informatierichtlijn (Richtlijn 2003/4/EG, hierna: de richtlijn)</w:t>
      </w:r>
      <w:r>
        <w:rPr>
          <w:szCs w:val="18"/>
        </w:rPr>
        <w:t xml:space="preserve">. De richtlijn en het verdrag zijn geïmplementeerd in de Woo. </w:t>
      </w:r>
    </w:p>
    <w:p w:rsidR="005E7C94" w:rsidP="005E7C94" w:rsidRDefault="005E7C94" w14:paraId="72112888" w14:textId="77777777">
      <w:pPr>
        <w:rPr>
          <w:szCs w:val="18"/>
        </w:rPr>
      </w:pPr>
    </w:p>
    <w:p w:rsidR="005E7C94" w:rsidP="005E7C94" w:rsidRDefault="005E7C94" w14:paraId="174CE497" w14:textId="77777777">
      <w:pPr>
        <w:rPr>
          <w:szCs w:val="18"/>
        </w:rPr>
      </w:pPr>
      <w:r>
        <w:rPr>
          <w:szCs w:val="18"/>
        </w:rPr>
        <w:t xml:space="preserve">Ik streef er dan ook niet naar om dergelijke informatie te onttrekken van de openbaarheid. Tegelijkertijd kunnen er wel dilemma’s spelen, bijvoorbeeld wanneer de openbaarmaking van dergelijke gegevens mede raakt aan de persoonlijke levenssfeer van agrarische ondernemers. Daarbij spelen een aantal elementen een rol. </w:t>
      </w:r>
    </w:p>
    <w:p w:rsidR="005E7C94" w:rsidP="005E7C94" w:rsidRDefault="005E7C94" w14:paraId="7BEA4001" w14:textId="77777777">
      <w:pPr>
        <w:rPr>
          <w:szCs w:val="18"/>
        </w:rPr>
      </w:pPr>
    </w:p>
    <w:p w:rsidR="005E7C94" w:rsidP="005E7C94" w:rsidRDefault="005E7C94" w14:paraId="64A66DAF" w14:textId="77777777">
      <w:pPr>
        <w:rPr>
          <w:szCs w:val="18"/>
        </w:rPr>
      </w:pPr>
      <w:r>
        <w:rPr>
          <w:szCs w:val="18"/>
        </w:rPr>
        <w:t xml:space="preserve">Als er een verzoek wordt gedaan tot openbaarmaking, is het van belang om welke gegevens verzocht wordt. Als </w:t>
      </w:r>
      <w:r w:rsidRPr="00962027">
        <w:rPr>
          <w:szCs w:val="18"/>
        </w:rPr>
        <w:t>bedrijfs</w:t>
      </w:r>
      <w:r>
        <w:rPr>
          <w:szCs w:val="18"/>
        </w:rPr>
        <w:t>g</w:t>
      </w:r>
      <w:r w:rsidRPr="00962027">
        <w:rPr>
          <w:szCs w:val="18"/>
        </w:rPr>
        <w:t>egevens ook als milieu-informatie aan te merken</w:t>
      </w:r>
      <w:r>
        <w:rPr>
          <w:szCs w:val="18"/>
        </w:rPr>
        <w:t xml:space="preserve"> zijn</w:t>
      </w:r>
      <w:r w:rsidRPr="00962027">
        <w:rPr>
          <w:szCs w:val="18"/>
        </w:rPr>
        <w:t>, dan dient een afweging</w:t>
      </w:r>
      <w:r>
        <w:rPr>
          <w:szCs w:val="18"/>
        </w:rPr>
        <w:t xml:space="preserve"> </w:t>
      </w:r>
      <w:r w:rsidRPr="00962027">
        <w:rPr>
          <w:szCs w:val="18"/>
        </w:rPr>
        <w:t xml:space="preserve">te worden gemaakt tussen het belang van openbaarmaking tegenover het belang van het bedrijf om de bedrijfsgegevens niet </w:t>
      </w:r>
      <w:r w:rsidRPr="00962027">
        <w:rPr>
          <w:szCs w:val="18"/>
        </w:rPr>
        <w:lastRenderedPageBreak/>
        <w:t>openbaar te maken. Bij deze belangenafweging staat openbaarmaking van de gegevens voorop. Er kan alleen van openbaarmaking van de (betreffende) informatie worden afgezien wanneer het bedrijf concreet kan onderbouwen dat openbaarmaking daadwerkelijk en ernstige schade toebrengt aan het bedrijfsbelang</w:t>
      </w:r>
      <w:r>
        <w:rPr>
          <w:rStyle w:val="Voetnootmarkering"/>
          <w:szCs w:val="18"/>
        </w:rPr>
        <w:footnoteReference w:id="3"/>
      </w:r>
      <w:r w:rsidRPr="00962027">
        <w:rPr>
          <w:szCs w:val="18"/>
        </w:rPr>
        <w:t>.</w:t>
      </w:r>
    </w:p>
    <w:p w:rsidR="005E7C94" w:rsidP="005E7C94" w:rsidRDefault="005E7C94" w14:paraId="5FCAAE36" w14:textId="77777777">
      <w:pPr>
        <w:rPr>
          <w:szCs w:val="18"/>
        </w:rPr>
      </w:pPr>
    </w:p>
    <w:p w:rsidR="005E7C94" w:rsidP="005E7C94" w:rsidRDefault="005E7C94" w14:paraId="7D8A2D13" w14:textId="77777777">
      <w:r>
        <w:t xml:space="preserve">Op grond van </w:t>
      </w:r>
      <w:r w:rsidRPr="00FF36D5">
        <w:t>artikel 5.1, zevende lid</w:t>
      </w:r>
      <w:r>
        <w:t>, van de Woo mogen er bij emissiegegevens gee</w:t>
      </w:r>
      <w:r w:rsidRPr="00FF36D5">
        <w:t>n uitzonderingsgronden worden toegepast. Deze gegevens moeten dan ook altijd openbaar worden gemaakt</w:t>
      </w:r>
      <w:r>
        <w:t xml:space="preserve"> als daartoe een verzoek wordt gedaan</w:t>
      </w:r>
      <w:r w:rsidRPr="00FF36D5">
        <w:t>. Ook als het hierbij gaat om gegevens die de persoonlijke levenssfeer raken, zoals bedrijfsadressen die tevens woonadressen zijn</w:t>
      </w:r>
      <w:r>
        <w:t>.</w:t>
      </w:r>
      <w:r>
        <w:rPr>
          <w:rStyle w:val="Voetnootmarkering"/>
        </w:rPr>
        <w:footnoteReference w:id="4"/>
      </w:r>
      <w:r w:rsidRPr="00FF36D5">
        <w:t xml:space="preserve"> Dit laatste is een verplichting die direct voortvloeit uit de richtlijn.</w:t>
      </w:r>
    </w:p>
    <w:p w:rsidR="005E7C94" w:rsidP="005E7C94" w:rsidRDefault="005E7C94" w14:paraId="38F01B7A" w14:textId="77777777">
      <w:pPr>
        <w:rPr>
          <w:szCs w:val="18"/>
        </w:rPr>
      </w:pPr>
    </w:p>
    <w:p w:rsidRPr="00CD50AF" w:rsidR="005E7C94" w:rsidP="005E7C94" w:rsidRDefault="005E7C94" w14:paraId="6E5AEE9C" w14:textId="77777777">
      <w:pPr>
        <w:rPr>
          <w:rFonts w:eastAsia="Verdana" w:cs="Verdana"/>
        </w:rPr>
      </w:pPr>
      <w:r>
        <w:t xml:space="preserve">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Woo, de richtlijn en het verdrag bieden. </w:t>
      </w:r>
      <w:r w:rsidRPr="00886858">
        <w:t xml:space="preserve"> </w:t>
      </w:r>
      <w:r w:rsidRPr="00722C72">
        <w:t>Dit zal ook worden meegenomen in de wetsevaluatie van de Woo en bij de vormgeving van doelsturing.</w:t>
      </w:r>
    </w:p>
    <w:p w:rsidRPr="00C25A1D" w:rsidR="005E7C94" w:rsidP="005E7C94" w:rsidRDefault="005E7C94" w14:paraId="3180C7F7" w14:textId="77777777">
      <w:pPr>
        <w:spacing w:after="200" w:line="276" w:lineRule="auto"/>
      </w:pPr>
      <w:r>
        <w:t xml:space="preserve">5 </w:t>
      </w:r>
      <w:r>
        <w:br/>
      </w:r>
      <w:r w:rsidRPr="007D1959">
        <w:t>Wordt overwogen om de dataverzameling voor doelsturing (deels) buiten de overheid te organiseren, bijvoorbeeld via ketenorganisaties, sectorale systemen of onafhankelijke dataplatforms?</w:t>
      </w:r>
    </w:p>
    <w:p w:rsidR="005E7C94" w:rsidP="005E7C94" w:rsidRDefault="005E7C94" w14:paraId="34841AC9" w14:textId="77777777">
      <w:r>
        <w:t xml:space="preserve">Antwoord </w:t>
      </w:r>
      <w:r>
        <w:br/>
        <w:t xml:space="preserve">In het kader van doelsturing zal nog besloten moeten worden hoe de organisatie van data delen ingericht zal worden. Daarbij is het goed om op te merken dat informatie die nodig is voor een goede taakuitoefening door de overheid niet gepositioneerd kan worden buiten de invloedsfeer van het ministerie waardoor documenten buiten de reikwijdte van de Woo vallen. </w:t>
      </w:r>
      <w:r w:rsidRPr="0046543F">
        <w:t xml:space="preserve">Ook indien het verzamelen, controleren en bewerken van agrarische bedrijfsinformatie gebeurt door een specifiek daarvoor op te richten private entiteit, is niet uit te sluiten dat die entiteit geheel of gedeeltelijk onder de Woo valt, omdat voor milieu-informatie een ruim begrip van “overheid” moet worden gehanteerd. </w:t>
      </w:r>
      <w:r>
        <w:t xml:space="preserve">Bij besluitvorming door de overheid is het noodzakelijk dat de overheid over relevante gegevens beschikt. </w:t>
      </w:r>
    </w:p>
    <w:p w:rsidR="005E7C94" w:rsidP="005E7C94" w:rsidRDefault="005E7C94" w14:paraId="4B045282" w14:textId="77777777"/>
    <w:p w:rsidR="005E7C94" w:rsidP="005E7C94" w:rsidRDefault="005E7C94" w14:paraId="7FDE159F" w14:textId="77777777">
      <w:r>
        <w:lastRenderedPageBreak/>
        <w:t>6</w:t>
      </w:r>
      <w:r>
        <w:br/>
      </w:r>
      <w:r w:rsidRPr="007D1959">
        <w:t>Bent u bekend met systemen in de veehouderij waarbij gegevens over diergezondheid en bedrijfsvoering via ketenpartijen worden verzameld, zoals binnen de zuivelsector via systemen als KoeMonitor/KoeKompas?</w:t>
      </w:r>
    </w:p>
    <w:p w:rsidR="005E7C94" w:rsidP="005E7C94" w:rsidRDefault="005E7C94" w14:paraId="05F07126" w14:textId="77777777">
      <w:r>
        <w:br/>
        <w:t xml:space="preserve">Antwoord </w:t>
      </w:r>
      <w:r>
        <w:br/>
        <w:t xml:space="preserve">Ja, daar ben ik mee bekend. </w:t>
      </w:r>
    </w:p>
    <w:p w:rsidR="005E7C94" w:rsidP="005E7C94" w:rsidRDefault="005E7C94" w14:paraId="74315FFF" w14:textId="77777777"/>
    <w:p w:rsidR="005E7C94" w:rsidP="005E7C94" w:rsidRDefault="005E7C94" w14:paraId="253CA563" w14:textId="77777777">
      <w:r>
        <w:t xml:space="preserve">7 </w:t>
      </w:r>
      <w:r>
        <w:br/>
        <w:t>Ziet u mogelijkheden om monitoring in het kader van doelsturing primair via gebiedsmonitoring te organiseren, bijvoorbeeld via gebiedscoöperaties of andere collectieve verbanden van boeren, zodat niet direct bedrijfsgegevens van individuele landbouwbedrijven bij de overheid berusten?</w:t>
      </w:r>
      <w:r>
        <w:br/>
      </w:r>
      <w:r>
        <w:br/>
        <w:t xml:space="preserve">Antwoord </w:t>
      </w:r>
      <w:r>
        <w:br/>
        <w:t xml:space="preserve">Bij een systeem van doelsturing op bedrijfsniveau zal monitoring primair via individuele landbouwbedrijven georganiseerd worden. Bovendien is voor sommige toepassingsvormen van doelsturing herleidbaarheid naar bedrijven een vereiste. Hiernaast kunnen de mogelijkheden naar gebiedsmonitoring verkend worden om gegevens op een meer geaggregeerd niveau te verzamelen. Zie ook het antwoord op vragen 4 en 5 voor het geval herleidbaarheid naar bedrijven nodig is. </w:t>
      </w:r>
    </w:p>
    <w:p w:rsidR="005E7C94" w:rsidP="005E7C94" w:rsidRDefault="005E7C94" w14:paraId="22A1823C" w14:textId="77777777"/>
    <w:p w:rsidR="005E7C94" w:rsidP="005E7C94" w:rsidRDefault="005E7C94" w14:paraId="290E0546" w14:textId="77777777"/>
    <w:p w:rsidR="005E7C94" w:rsidP="005E7C94" w:rsidRDefault="005E7C94" w14:paraId="19ED213A" w14:textId="77777777"/>
    <w:p w:rsidR="005E7C94" w:rsidP="005E7C94" w:rsidRDefault="005E7C94" w14:paraId="39207CE5" w14:textId="77777777"/>
    <w:p w:rsidR="005E7C94" w:rsidP="005E7C94" w:rsidRDefault="005E7C94" w14:paraId="2E643A54" w14:textId="77777777"/>
    <w:p w:rsidR="005E7C94" w:rsidP="005E7C94" w:rsidRDefault="005E7C94" w14:paraId="561E79E3" w14:textId="77777777"/>
    <w:p w:rsidR="005E7C94" w:rsidP="005E7C94" w:rsidRDefault="005E7C94" w14:paraId="6A36DD58" w14:textId="77777777"/>
    <w:p w:rsidR="005E7C94" w:rsidP="005E7C94" w:rsidRDefault="005E7C94" w14:paraId="55D657AD" w14:textId="77777777"/>
    <w:p w:rsidR="005E7C94" w:rsidP="005E7C94" w:rsidRDefault="005E7C94" w14:paraId="1AEE7878" w14:textId="77777777"/>
    <w:p w:rsidR="005E7C94" w:rsidP="005E7C94" w:rsidRDefault="005E7C94" w14:paraId="4990474B" w14:textId="77777777"/>
    <w:p w:rsidR="005E7C94" w:rsidP="005E7C94" w:rsidRDefault="005E7C94" w14:paraId="3F0BEED3" w14:textId="77777777"/>
    <w:p w:rsidR="005E7C94" w:rsidP="005E7C94" w:rsidRDefault="005E7C94" w14:paraId="47D5E1AE" w14:textId="77777777">
      <w:r>
        <w:t>8</w:t>
      </w:r>
      <w:r>
        <w:br/>
      </w:r>
      <w:r w:rsidRPr="007D1959">
        <w:t>Welke waarborgen worden overwogen om ervoor te zorgen dat boeren veilig en zonder risico op openbaarmaking van bedrijfsgevoelige informatie kunnen deelnemen aan systemen voor doelsturing?</w:t>
      </w:r>
    </w:p>
    <w:p w:rsidR="005E7C94" w:rsidP="005E7C94" w:rsidRDefault="005E7C94" w14:paraId="733F9F8F" w14:textId="77777777"/>
    <w:p w:rsidR="005E7C94" w:rsidP="005E7C94" w:rsidRDefault="005E7C94" w14:paraId="6AD9187F" w14:textId="77777777">
      <w:r>
        <w:t>Antwoord</w:t>
      </w:r>
      <w:r>
        <w:br/>
        <w:t xml:space="preserve">Er moeten hierover nog keuzes worden gemaakt, waarbij uiteindelijk van belang is dat besluiten zorgvuldig worden voorbereid en dragend worden gemotiveerd. Bij het maken van deze keuzes zal ik de belangen van openbaarheid en de bescherming van bedrijfs- en persoonsgegevens afwegen binnen de geldende kaders.  </w:t>
      </w:r>
      <w:r>
        <w:br/>
      </w:r>
    </w:p>
    <w:p w:rsidR="005E7C94" w:rsidP="005E7C94" w:rsidRDefault="005E7C94" w14:paraId="258DC18A" w14:textId="77777777">
      <w:r>
        <w:t xml:space="preserve">9 </w:t>
      </w:r>
      <w:r>
        <w:br/>
        <w:t>Kunt u deze vragen beantwoorden voorafgaand aan het op donderdag 9 april 2026 geplande commissiedebat Doelsturing?</w:t>
      </w:r>
    </w:p>
    <w:p w:rsidR="005E7C94" w:rsidP="005E7C94" w:rsidRDefault="005E7C94" w14:paraId="4A469948" w14:textId="77777777"/>
    <w:p w:rsidRPr="0069337F" w:rsidR="005E7C94" w:rsidP="005E7C94" w:rsidRDefault="005E7C94" w14:paraId="11734A4F" w14:textId="77777777">
      <w:pPr>
        <w:rPr>
          <w:highlight w:val="yellow"/>
        </w:rPr>
      </w:pPr>
      <w:r>
        <w:t xml:space="preserve">Antwoord </w:t>
      </w:r>
      <w:r>
        <w:br/>
        <w:t>Het commissiedebat Doelsturing is door uw Kamer uitgesteld tot nader order. De reguliere termijn voor het beantwoorden van Kamervragen is gehanteerd.</w:t>
      </w:r>
    </w:p>
    <w:p w:rsidR="005E7C94" w:rsidP="005E7C94" w:rsidRDefault="005E7C94" w14:paraId="0EF66270" w14:textId="77777777"/>
    <w:p w:rsidR="005E7C94" w:rsidP="005E7C94" w:rsidRDefault="005E7C94" w14:paraId="1D2B1CD6" w14:textId="77777777">
      <w:pPr>
        <w:rPr>
          <w:b/>
        </w:rPr>
      </w:pPr>
    </w:p>
    <w:p w:rsidR="005E7C94" w:rsidP="005E7C94" w:rsidRDefault="005E7C94" w14:paraId="19FDEF6C" w14:textId="77777777"/>
    <w:p w:rsidR="00324603" w:rsidRDefault="00324603" w14:paraId="3DD6C61F" w14:textId="77777777"/>
    <w:sectPr w:rsidR="00324603" w:rsidSect="005E7C9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7CCB" w14:textId="77777777" w:rsidR="005E7C94" w:rsidRDefault="005E7C94" w:rsidP="005E7C94">
      <w:pPr>
        <w:spacing w:after="0" w:line="240" w:lineRule="auto"/>
      </w:pPr>
      <w:r>
        <w:separator/>
      </w:r>
    </w:p>
  </w:endnote>
  <w:endnote w:type="continuationSeparator" w:id="0">
    <w:p w14:paraId="578F886C" w14:textId="77777777" w:rsidR="005E7C94" w:rsidRDefault="005E7C94" w:rsidP="005E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DAD" w14:textId="77777777" w:rsidR="005E7C94" w:rsidRPr="005E7C94" w:rsidRDefault="005E7C94" w:rsidP="005E7C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D230" w14:textId="77777777" w:rsidR="005E7C94" w:rsidRPr="005E7C94" w:rsidRDefault="005E7C94" w:rsidP="005E7C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49C5" w14:textId="77777777" w:rsidR="005E7C94" w:rsidRPr="005E7C94" w:rsidRDefault="005E7C94" w:rsidP="005E7C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D80F" w14:textId="77777777" w:rsidR="005E7C94" w:rsidRDefault="005E7C94" w:rsidP="005E7C94">
      <w:pPr>
        <w:spacing w:after="0" w:line="240" w:lineRule="auto"/>
      </w:pPr>
      <w:r>
        <w:separator/>
      </w:r>
    </w:p>
  </w:footnote>
  <w:footnote w:type="continuationSeparator" w:id="0">
    <w:p w14:paraId="20EAEEB4" w14:textId="77777777" w:rsidR="005E7C94" w:rsidRDefault="005E7C94" w:rsidP="005E7C94">
      <w:pPr>
        <w:spacing w:after="0" w:line="240" w:lineRule="auto"/>
      </w:pPr>
      <w:r>
        <w:continuationSeparator/>
      </w:r>
    </w:p>
  </w:footnote>
  <w:footnote w:id="1">
    <w:p w14:paraId="2287E16B" w14:textId="77777777" w:rsidR="005E7C94" w:rsidRDefault="005E7C94" w:rsidP="005E7C94">
      <w:pPr>
        <w:pStyle w:val="Voetnoottekst"/>
      </w:pPr>
      <w:r>
        <w:rPr>
          <w:rStyle w:val="Voetnootmarkering"/>
        </w:rPr>
        <w:footnoteRef/>
      </w:r>
      <w:r>
        <w:t xml:space="preserve"> Kamerstukken I</w:t>
      </w:r>
      <w:r w:rsidRPr="00C8798A">
        <w:t xml:space="preserve"> 2020</w:t>
      </w:r>
      <w:r>
        <w:t>/</w:t>
      </w:r>
      <w:r w:rsidRPr="00C8798A">
        <w:t>21, 33328, N</w:t>
      </w:r>
      <w:r>
        <w:t xml:space="preserve">, p. 41. </w:t>
      </w:r>
    </w:p>
  </w:footnote>
  <w:footnote w:id="2">
    <w:p w14:paraId="51DF7F91" w14:textId="77777777" w:rsidR="005E7C94" w:rsidRDefault="005E7C94" w:rsidP="005E7C94">
      <w:pPr>
        <w:pStyle w:val="Voetnoottekst"/>
      </w:pPr>
      <w:r>
        <w:rPr>
          <w:rStyle w:val="Voetnootmarkering"/>
        </w:rPr>
        <w:footnoteRef/>
      </w:r>
      <w:r>
        <w:t xml:space="preserve"> Kamerstukken II 2025/26, 32802, nr. 140, </w:t>
      </w:r>
      <w:hyperlink r:id="rId1" w:history="1">
        <w:r w:rsidRPr="00534401">
          <w:rPr>
            <w:rStyle w:val="Hyperlink"/>
          </w:rPr>
          <w:t>Zienswijzeprocedure Woo-verzoeken emissiegegevens | Tweede Kamer der Staten-Generaal</w:t>
        </w:r>
      </w:hyperlink>
    </w:p>
  </w:footnote>
  <w:footnote w:id="3">
    <w:p w14:paraId="062DB246" w14:textId="77777777" w:rsidR="005E7C94" w:rsidRDefault="005E7C94" w:rsidP="005E7C94">
      <w:pPr>
        <w:pStyle w:val="Voetnoottekst"/>
      </w:pPr>
      <w:r>
        <w:rPr>
          <w:rStyle w:val="Voetnootmarkering"/>
        </w:rPr>
        <w:footnoteRef/>
      </w:r>
      <w:r>
        <w:t xml:space="preserve"> </w:t>
      </w:r>
      <w:r w:rsidRPr="00CA6263">
        <w:t>Zie o.a. ABRvS 16 oktober 2019, ECLI:NL:RVS:2019:3490 en ABRvS 25 februari 2026, ECLI:NL:RVS:2026:1075</w:t>
      </w:r>
    </w:p>
  </w:footnote>
  <w:footnote w:id="4">
    <w:p w14:paraId="221CDDAE" w14:textId="77777777" w:rsidR="005E7C94" w:rsidRDefault="005E7C94" w:rsidP="005E7C94">
      <w:pPr>
        <w:pStyle w:val="Voetnoottekst"/>
      </w:pPr>
      <w:r>
        <w:rPr>
          <w:rStyle w:val="Voetnootmarkering"/>
        </w:rPr>
        <w:footnoteRef/>
      </w:r>
      <w:r>
        <w:t xml:space="preserve"> </w:t>
      </w:r>
      <w:r w:rsidRPr="00CA6263">
        <w:t>Advies van de Autoriteit Persoonsgegevens van 28 oktober 2025. Zie in dit verband ook de uitspraak van de Afdeling bestuursrechtspraak van de Raad van State van 25 september 2025, ECLI:NL:RVS:2025:4557.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0B9A" w14:textId="77777777" w:rsidR="005E7C94" w:rsidRPr="005E7C94" w:rsidRDefault="005E7C94" w:rsidP="005E7C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CDFE" w14:textId="77777777" w:rsidR="005E7C94" w:rsidRPr="005E7C94" w:rsidRDefault="005E7C94" w:rsidP="005E7C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24C0" w14:textId="77777777" w:rsidR="005E7C94" w:rsidRPr="005E7C94" w:rsidRDefault="005E7C94" w:rsidP="005E7C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94"/>
    <w:rsid w:val="002341B8"/>
    <w:rsid w:val="00324603"/>
    <w:rsid w:val="005E7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466D"/>
  <w15:chartTrackingRefBased/>
  <w15:docId w15:val="{EEF50C9F-2A22-4796-A1C8-A70B35C4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7C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7C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7C9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7C9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7C9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7C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7C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7C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7C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C9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7C9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7C9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7C9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7C9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7C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C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C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C94"/>
    <w:rPr>
      <w:rFonts w:eastAsiaTheme="majorEastAsia" w:cstheme="majorBidi"/>
      <w:color w:val="272727" w:themeColor="text1" w:themeTint="D8"/>
    </w:rPr>
  </w:style>
  <w:style w:type="paragraph" w:styleId="Titel">
    <w:name w:val="Title"/>
    <w:basedOn w:val="Standaard"/>
    <w:next w:val="Standaard"/>
    <w:link w:val="TitelChar"/>
    <w:uiPriority w:val="10"/>
    <w:qFormat/>
    <w:rsid w:val="005E7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7C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C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7C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C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7C94"/>
    <w:rPr>
      <w:i/>
      <w:iCs/>
      <w:color w:val="404040" w:themeColor="text1" w:themeTint="BF"/>
    </w:rPr>
  </w:style>
  <w:style w:type="paragraph" w:styleId="Lijstalinea">
    <w:name w:val="List Paragraph"/>
    <w:basedOn w:val="Standaard"/>
    <w:uiPriority w:val="34"/>
    <w:qFormat/>
    <w:rsid w:val="005E7C94"/>
    <w:pPr>
      <w:ind w:left="720"/>
      <w:contextualSpacing/>
    </w:pPr>
  </w:style>
  <w:style w:type="character" w:styleId="Intensievebenadrukking">
    <w:name w:val="Intense Emphasis"/>
    <w:basedOn w:val="Standaardalinea-lettertype"/>
    <w:uiPriority w:val="21"/>
    <w:qFormat/>
    <w:rsid w:val="005E7C94"/>
    <w:rPr>
      <w:i/>
      <w:iCs/>
      <w:color w:val="2F5496" w:themeColor="accent1" w:themeShade="BF"/>
    </w:rPr>
  </w:style>
  <w:style w:type="paragraph" w:styleId="Duidelijkcitaat">
    <w:name w:val="Intense Quote"/>
    <w:basedOn w:val="Standaard"/>
    <w:next w:val="Standaard"/>
    <w:link w:val="DuidelijkcitaatChar"/>
    <w:uiPriority w:val="30"/>
    <w:qFormat/>
    <w:rsid w:val="005E7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7C94"/>
    <w:rPr>
      <w:i/>
      <w:iCs/>
      <w:color w:val="2F5496" w:themeColor="accent1" w:themeShade="BF"/>
    </w:rPr>
  </w:style>
  <w:style w:type="character" w:styleId="Intensieveverwijzing">
    <w:name w:val="Intense Reference"/>
    <w:basedOn w:val="Standaardalinea-lettertype"/>
    <w:uiPriority w:val="32"/>
    <w:qFormat/>
    <w:rsid w:val="005E7C94"/>
    <w:rPr>
      <w:b/>
      <w:bCs/>
      <w:smallCaps/>
      <w:color w:val="2F5496" w:themeColor="accent1" w:themeShade="BF"/>
      <w:spacing w:val="5"/>
    </w:rPr>
  </w:style>
  <w:style w:type="paragraph" w:styleId="Koptekst">
    <w:name w:val="header"/>
    <w:basedOn w:val="Standaard"/>
    <w:link w:val="KoptekstChar1"/>
    <w:rsid w:val="005E7C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E7C94"/>
  </w:style>
  <w:style w:type="character" w:customStyle="1" w:styleId="KoptekstChar1">
    <w:name w:val="Koptekst Char1"/>
    <w:basedOn w:val="Standaardalinea-lettertype"/>
    <w:link w:val="Koptekst"/>
    <w:rsid w:val="005E7C9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1"/>
    <w:rsid w:val="005E7C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E7C94"/>
  </w:style>
  <w:style w:type="character" w:customStyle="1" w:styleId="VoettekstChar1">
    <w:name w:val="Voettekst Char1"/>
    <w:basedOn w:val="Standaardalinea-lettertype"/>
    <w:link w:val="Voettekst"/>
    <w:rsid w:val="005E7C9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E7C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locked/>
    <w:rsid w:val="005E7C94"/>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E7C94"/>
    <w:rPr>
      <w:rFonts w:ascii="Verdana" w:hAnsi="Verdana"/>
      <w:noProof/>
      <w:sz w:val="13"/>
      <w:szCs w:val="24"/>
      <w:lang w:eastAsia="nl-NL"/>
    </w:rPr>
  </w:style>
  <w:style w:type="paragraph" w:customStyle="1" w:styleId="Huisstijl-Gegeven">
    <w:name w:val="Huisstijl-Gegeven"/>
    <w:basedOn w:val="Standaard"/>
    <w:link w:val="Huisstijl-GegevenCharChar"/>
    <w:rsid w:val="005E7C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E7C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E7C9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E7C94"/>
    <w:rPr>
      <w:color w:val="0000FF"/>
      <w:u w:val="single"/>
    </w:rPr>
  </w:style>
  <w:style w:type="paragraph" w:customStyle="1" w:styleId="Huisstijl-Retouradres">
    <w:name w:val="Huisstijl-Retouradres"/>
    <w:basedOn w:val="Standaard"/>
    <w:rsid w:val="005E7C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E7C94"/>
    <w:pPr>
      <w:spacing w:after="0"/>
    </w:pPr>
    <w:rPr>
      <w:b/>
    </w:rPr>
  </w:style>
  <w:style w:type="paragraph" w:customStyle="1" w:styleId="Huisstijl-Paginanummering">
    <w:name w:val="Huisstijl-Paginanummering"/>
    <w:basedOn w:val="Standaard"/>
    <w:rsid w:val="005E7C94"/>
    <w:pPr>
      <w:spacing w:after="0" w:line="180" w:lineRule="exact"/>
    </w:pPr>
    <w:rPr>
      <w:rFonts w:ascii="Verdana" w:eastAsia="Times New Roman" w:hAnsi="Verdana" w:cs="Times New Roman"/>
      <w:noProof/>
      <w:kern w:val="0"/>
      <w:sz w:val="13"/>
      <w:szCs w:val="24"/>
      <w:lang w:eastAsia="nl-NL"/>
      <w14:ligatures w14:val="none"/>
    </w:rPr>
  </w:style>
  <w:style w:type="paragraph" w:styleId="Voetnoottekst">
    <w:name w:val="footnote text"/>
    <w:basedOn w:val="Standaard"/>
    <w:link w:val="VoetnoottekstChar"/>
    <w:unhideWhenUsed/>
    <w:rsid w:val="005E7C9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E7C94"/>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5E7C94"/>
    <w:rPr>
      <w:b/>
      <w:bCs/>
    </w:rPr>
  </w:style>
  <w:style w:type="character" w:styleId="Voetnootmarkering">
    <w:name w:val="footnote reference"/>
    <w:basedOn w:val="Standaardalinea-lettertype"/>
    <w:uiPriority w:val="99"/>
    <w:semiHidden/>
    <w:unhideWhenUsed/>
    <w:rsid w:val="005E7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tweedekamer.nl%2Fkamerstukken%2Fbrieven_regering%2Fdetail%3Fid%3D2026Z07968%26did%3D2026D17970&amp;data=05%7C02%7Ch.c.huijer%40minezk.nl%7C65857464fdad48e33bf008de9b8d5214%7C1321633ef6b944e2a44f59b9d264ecb7%7C0%7C0%7C639119228415468431%7CUnknown%7CTWFpbGZsb3d8eyJFbXB0eU1hcGkiOnRydWUsIlYiOiIwLjAuMDAwMCIsIlAiOiJXaW4zMiIsIkFOIjoiTWFpbCIsIldUIjoyfQ%3D%3D%7C0%7C%7C%7C&amp;sdata=0imJIKTgLsRoexBs0Z5bnxX6V4ixWVQOgrznlMju5fI%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1131</ap:Words>
  <ap:Characters>6226</ap:Characters>
  <ap:DocSecurity>0</ap:DocSecurity>
  <ap:Lines>51</ap:Lines>
  <ap:Paragraphs>14</ap:Paragraphs>
  <ap:ScaleCrop>false</ap:ScaleCrop>
  <ap:LinksUpToDate>false</ap:LinksUpToDate>
  <ap:CharactersWithSpaces>7343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2026-04-23T07:53:00.0000000Z</dcterms:created>
  <dcterms:modified xsi:type="dcterms:W3CDTF">2026-04-23T07:54:00.0000000Z</dcterms:modified>
  <version/>
  <category/>
</coreProperties>
</file>