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2026Z08721</w:t>
        <w:br/>
      </w:r>
      <w:proofErr w:type="spellEnd"/>
    </w:p>
    <w:p>
      <w:pPr>
        <w:pStyle w:val="Normal"/>
        <w:rPr>
          <w:b w:val="1"/>
          <w:bCs w:val="1"/>
        </w:rPr>
      </w:pPr>
      <w:r w:rsidR="250AE766">
        <w:rPr>
          <w:b w:val="0"/>
          <w:bCs w:val="0"/>
        </w:rPr>
        <w:t>(ingezonden 22 april 2026)</w:t>
        <w:br/>
      </w:r>
    </w:p>
    <w:p>
      <w:r>
        <w:t xml:space="preserve">Vragen van het lid Bushoff (GroenLinks-PvdA) aan de minister van Volksgezondheid, Welzijn en Sport over de verkoop van niet-preferente geneesmiddelen</w:t>
      </w:r>
      <w:r>
        <w:br/>
      </w:r>
    </w:p>
    <w:p>
      <w:pPr>
        <w:pStyle w:val="ListParagraph"/>
        <w:numPr>
          <w:ilvl w:val="0"/>
          <w:numId w:val="100505120"/>
        </w:numPr>
        <w:ind w:left="360"/>
      </w:pPr>
      <w:r>
        <w:t xml:space="preserve">Op welke wettelijke bepaling, regelgeving of contractuele afspraak baseerde u uw uitspraak tijdens het commissiedebat Eerstelijnszorg op 1 april 2026 dat apotheken gedurende zes weken een niet-preferent middel mogen blijven afleveren nadat het preferente middel na een tekort weer beschikbaar is?</w:t>
      </w:r>
      <w:r>
        <w:br/>
      </w:r>
    </w:p>
    <w:p>
      <w:pPr>
        <w:pStyle w:val="ListParagraph"/>
        <w:numPr>
          <w:ilvl w:val="0"/>
          <w:numId w:val="100505120"/>
        </w:numPr>
        <w:ind w:left="360"/>
      </w:pPr>
      <w:r>
        <w:t xml:space="preserve">Wat zijn de huidige regels en wettelijke bepalingen voor de vergoedingen en verstrekkingen van geneesmiddelen binnen het preferentiebeleid?</w:t>
      </w:r>
      <w:r>
        <w:br/>
      </w:r>
    </w:p>
    <w:p>
      <w:pPr>
        <w:pStyle w:val="ListParagraph"/>
        <w:numPr>
          <w:ilvl w:val="0"/>
          <w:numId w:val="100505120"/>
        </w:numPr>
        <w:ind w:left="360"/>
      </w:pPr>
      <w:r>
        <w:t xml:space="preserve">Wat zijn daarbij specifiek de regels voor verkoop en vergoedingen wanneer preferente middelen na een periode van tekorten weer leverbaar zijn? Wat betekent dit voor de verkoop en vergoedingen van niet-preferente middelen?  </w:t>
      </w:r>
      <w:r>
        <w:br/>
      </w:r>
    </w:p>
    <w:p>
      <w:pPr>
        <w:pStyle w:val="ListParagraph"/>
        <w:numPr>
          <w:ilvl w:val="0"/>
          <w:numId w:val="100505120"/>
        </w:numPr>
        <w:ind w:left="360"/>
      </w:pPr>
      <w:r>
        <w:t xml:space="preserve">Klopt het dat niet-preferente middelen niet meer verstrekt mogen worden wanneer het preferente middel weer beschikbaar is of slechts tegen de laagste prijsgarantie (LPG) worden vergoed?</w:t>
      </w:r>
      <w:r>
        <w:br/>
      </w:r>
    </w:p>
    <w:p>
      <w:pPr>
        <w:pStyle w:val="ListParagraph"/>
        <w:numPr>
          <w:ilvl w:val="0"/>
          <w:numId w:val="100505120"/>
        </w:numPr>
        <w:ind w:left="360"/>
      </w:pPr>
      <w:r>
        <w:t xml:space="preserve">Klopt het dat aflevering van niet-preferentie middelen negatief meetelt in de preferentiegraad van apotheken en invloed heeft op de contractonderhandelingen voor het volgende jaar?</w:t>
      </w:r>
      <w:r>
        <w:br/>
      </w:r>
    </w:p>
    <w:p>
      <w:pPr>
        <w:pStyle w:val="ListParagraph"/>
        <w:numPr>
          <w:ilvl w:val="0"/>
          <w:numId w:val="100505120"/>
        </w:numPr>
        <w:ind w:left="360"/>
      </w:pPr>
      <w:r>
        <w:t xml:space="preserve">Klopt het dat de enige coulanceregelingen rondom het preferentiebeleid gelden rondom de jaarwisseling en bij geplande grote preferentiewissels, en dat dit slechts bij een beperkt aantal zorgverzekeraars geldt?</w:t>
      </w:r>
      <w:r>
        <w:br/>
      </w:r>
    </w:p>
    <w:p>
      <w:pPr>
        <w:pStyle w:val="ListParagraph"/>
        <w:numPr>
          <w:ilvl w:val="0"/>
          <w:numId w:val="100505120"/>
        </w:numPr>
        <w:ind w:left="360"/>
      </w:pPr>
      <w:r>
        <w:t xml:space="preserve">Deelt u de opvatting dat dit beleid leidt tot medicijnenverspilling in tijden van schaarste en financiële risico’s voor apothekers, die niet-preferente middelen op de plank (moeten) laten liggen?</w:t>
      </w:r>
      <w:r>
        <w:br/>
      </w:r>
    </w:p>
    <w:p>
      <w:pPr>
        <w:pStyle w:val="ListParagraph"/>
        <w:numPr>
          <w:ilvl w:val="0"/>
          <w:numId w:val="100505120"/>
        </w:numPr>
        <w:ind w:left="360"/>
      </w:pPr>
      <w:r>
        <w:t xml:space="preserve">Deelt u de mening dat de huidige situatie meer ruimte vraagt om de risico’s en verspilling aan te pakken?</w:t>
      </w:r>
      <w:r>
        <w:br/>
      </w:r>
    </w:p>
    <w:p>
      <w:pPr>
        <w:pStyle w:val="ListParagraph"/>
        <w:numPr>
          <w:ilvl w:val="0"/>
          <w:numId w:val="100505120"/>
        </w:numPr>
        <w:ind w:left="360"/>
      </w:pPr>
      <w:r>
        <w:t xml:space="preserve">Hoe kijkt u naar de mogelijkheid om apotheken bij de (terug)komst van een preferent aangewezen geneesmiddel meer tijd te geven om de bestaande voorraad van het niet-preferente middel uit te verkopen? Hoe beziet u hierbij de mogelijkheid tot het invoeren van een uitverkooptermijn van niet-preferente middelen na een tekortperiode?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