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498C" w:rsidR="00323DA3" w:rsidP="00765FFB" w:rsidRDefault="00323DA3" w14:paraId="36AD6EDB" w14:textId="11E5F681">
      <w:pPr>
        <w:pStyle w:val="broodtekst"/>
      </w:pPr>
      <w:bookmarkStart w:name="_Hlk203990286" w:id="0"/>
      <w:bookmarkStart w:name="_Hlk203483837" w:id="1"/>
      <w:bookmarkStart w:name="_Hlk225256849" w:id="2"/>
      <w:bookmarkStart w:name="_Hlk226116985" w:id="3"/>
      <w:r w:rsidRPr="000D498C">
        <w:t>Op 10 maart jl. heb ik uw Kamer, naar aanleiding van de mondelinge vragen van het lid Boomsma</w:t>
      </w:r>
      <w:r w:rsidR="00765FFB">
        <w:t>,</w:t>
      </w:r>
      <w:r w:rsidRPr="000D498C" w:rsidR="005C1CE4">
        <w:rPr>
          <w:rStyle w:val="Voetnootmarkering"/>
          <w:color w:val="000000" w:themeColor="text1"/>
        </w:rPr>
        <w:footnoteReference w:id="1"/>
      </w:r>
      <w:r w:rsidRPr="000D498C">
        <w:t xml:space="preserve"> geïnformeerd over de noodzaak om schijnerkenningen tegen te gaan. Daarbij heb ik toegezegd uw Kamer </w:t>
      </w:r>
      <w:r w:rsidR="00616616">
        <w:t>in</w:t>
      </w:r>
      <w:r w:rsidRPr="000D498C">
        <w:t xml:space="preserve"> april te informeren over een plan van aanpak. Met deze brief geef ik</w:t>
      </w:r>
      <w:r w:rsidRPr="00D5075B" w:rsidR="00765FFB">
        <w:t xml:space="preserve">, mede namens de </w:t>
      </w:r>
      <w:r w:rsidRPr="00D5075B" w:rsidR="00E33EC5">
        <w:t>s</w:t>
      </w:r>
      <w:r w:rsidRPr="00D5075B" w:rsidR="006261DC">
        <w:t xml:space="preserve">taatssecretaris </w:t>
      </w:r>
      <w:r w:rsidRPr="00D5075B" w:rsidR="00765FFB">
        <w:t>van Justitie en Veiligheid,</w:t>
      </w:r>
      <w:r w:rsidRPr="00D5075B">
        <w:t xml:space="preserve"> invulling aan die toezegging.</w:t>
      </w:r>
      <w:r w:rsidRPr="000D498C" w:rsidR="00C96DA7">
        <w:t xml:space="preserve"> </w:t>
      </w:r>
    </w:p>
    <w:p w:rsidRPr="000D498C" w:rsidR="00323DA3" w:rsidP="000D498C" w:rsidRDefault="00323DA3" w14:paraId="3682890C" w14:textId="77777777">
      <w:pPr>
        <w:pStyle w:val="Geenafstand"/>
        <w:rPr>
          <w:color w:val="000000" w:themeColor="text1"/>
          <w:szCs w:val="18"/>
          <w:lang w:val="nl-NL"/>
        </w:rPr>
      </w:pPr>
    </w:p>
    <w:p w:rsidRPr="000D498C" w:rsidR="00323DA3" w:rsidP="00765FFB" w:rsidRDefault="00323DA3" w14:paraId="48D061C2" w14:textId="3D490EE2">
      <w:pPr>
        <w:pStyle w:val="broodtekst"/>
      </w:pPr>
      <w:r w:rsidRPr="000D498C">
        <w:t xml:space="preserve">Het tegengaan van schijnerkenningen is een prioriteit van het kabinet. Van een schijnerkenning is sprake wanneer een kind wordt erkend met als </w:t>
      </w:r>
      <w:r w:rsidR="00A36804">
        <w:t xml:space="preserve">enige </w:t>
      </w:r>
      <w:r w:rsidRPr="000D498C">
        <w:t>doel het verkrijgen van verblijfsrecht of nationaliteit, zonder dat feitelijk invulling wordt gegeven aan het ouderschap. De erkenning wordt in dat geval gebruikt als instrument om verblijfsrechten te verkrijgen</w:t>
      </w:r>
      <w:r w:rsidR="00685060">
        <w:t xml:space="preserve"> in plaats van </w:t>
      </w:r>
      <w:r w:rsidRPr="000D498C">
        <w:t>een daadwerkelijke ouder-kindrelatie tot stand te brengen</w:t>
      </w:r>
      <w:r w:rsidR="00685060">
        <w:t xml:space="preserve">, met </w:t>
      </w:r>
      <w:r w:rsidR="00D60B03">
        <w:t>nadelige gevolgen voor het kind</w:t>
      </w:r>
      <w:r w:rsidR="005D32F9">
        <w:t xml:space="preserve"> en </w:t>
      </w:r>
      <w:r w:rsidRPr="000D498C">
        <w:t xml:space="preserve"> het migratie- en nationaliteitsbeleid</w:t>
      </w:r>
      <w:r w:rsidR="005D32F9">
        <w:t xml:space="preserve"> </w:t>
      </w:r>
      <w:r w:rsidRPr="000D498C">
        <w:t>en oneigenlijk gebruik van publieke voorzieningen.</w:t>
      </w:r>
    </w:p>
    <w:p w:rsidRPr="000D498C" w:rsidR="00323DA3" w:rsidP="00765FFB" w:rsidRDefault="00323DA3" w14:paraId="7D43257E" w14:textId="77777777">
      <w:pPr>
        <w:pStyle w:val="broodtekst"/>
      </w:pPr>
    </w:p>
    <w:p w:rsidRPr="000D498C" w:rsidR="00323DA3" w:rsidP="00765FFB" w:rsidRDefault="00323DA3" w14:paraId="140240B2" w14:textId="443C1EEB">
      <w:pPr>
        <w:pStyle w:val="broodtekst"/>
      </w:pPr>
      <w:r w:rsidRPr="000D498C">
        <w:t xml:space="preserve">De afgelopen jaren is </w:t>
      </w:r>
      <w:r w:rsidR="005D32F9">
        <w:t>het aantal</w:t>
      </w:r>
      <w:r w:rsidRPr="000D498C">
        <w:t xml:space="preserve"> signalen van mogelijke schijnerkenningen</w:t>
      </w:r>
      <w:r w:rsidR="005D32F9">
        <w:t xml:space="preserve"> toegenomen</w:t>
      </w:r>
      <w:r w:rsidRPr="000D498C">
        <w:t xml:space="preserve">. Zo is het aantal signalen bij de Immigratie- en Naturalisatiedienst (IND) gestegen van enkele tientallen per </w:t>
      </w:r>
      <w:r w:rsidRPr="00765FFB">
        <w:t>jaar</w:t>
      </w:r>
      <w:r w:rsidRPr="000D498C">
        <w:t xml:space="preserve"> naar circa 250 in 2024 en ongeveer 410 in 2025</w:t>
      </w:r>
      <w:r w:rsidR="00765FFB">
        <w:t>.</w:t>
      </w:r>
      <w:r w:rsidR="00477CAC">
        <w:rPr>
          <w:rStyle w:val="Voetnootmarkering"/>
          <w:color w:val="000000" w:themeColor="text1"/>
        </w:rPr>
        <w:footnoteReference w:id="2"/>
      </w:r>
      <w:r w:rsidRPr="000D498C">
        <w:t xml:space="preserve"> Er zijn daarnaast gevallen bekend </w:t>
      </w:r>
      <w:r w:rsidR="00352211">
        <w:t xml:space="preserve">bij de IND </w:t>
      </w:r>
      <w:r w:rsidRPr="000D498C">
        <w:t xml:space="preserve">waarin één persoon meerdere kinderen erkent zonder </w:t>
      </w:r>
      <w:r w:rsidR="00756CD4">
        <w:t xml:space="preserve">de intentie een </w:t>
      </w:r>
      <w:r w:rsidRPr="000D498C">
        <w:t>daadwerkelijke ouderrol</w:t>
      </w:r>
      <w:r w:rsidR="00352211">
        <w:t xml:space="preserve"> te willen vervullen</w:t>
      </w:r>
      <w:r w:rsidRPr="000D498C">
        <w:t xml:space="preserve">. Tegelijkertijd blijkt het lastig om misbruik effectief tegen te gaan, onder meer </w:t>
      </w:r>
      <w:r w:rsidR="005D32F9">
        <w:t>door</w:t>
      </w:r>
      <w:r w:rsidRPr="000D498C" w:rsidR="005D32F9">
        <w:t xml:space="preserve"> </w:t>
      </w:r>
      <w:r w:rsidRPr="000D498C">
        <w:t>beperkte mogelijkheden om vooraf</w:t>
      </w:r>
      <w:r w:rsidR="005D32F9">
        <w:t xml:space="preserve"> </w:t>
      </w:r>
      <w:r w:rsidRPr="000D498C">
        <w:t>te toetsen en achteraf in te grijpen wanneer misbruik wordt vermoed of vastgesteld.</w:t>
      </w:r>
    </w:p>
    <w:p w:rsidRPr="000D498C" w:rsidR="00323DA3" w:rsidP="000D498C" w:rsidRDefault="00323DA3" w14:paraId="3578B220" w14:textId="77777777">
      <w:pPr>
        <w:pStyle w:val="Geenafstand"/>
        <w:rPr>
          <w:color w:val="000000" w:themeColor="text1"/>
          <w:szCs w:val="18"/>
          <w:lang w:val="nl-NL"/>
        </w:rPr>
      </w:pPr>
    </w:p>
    <w:p w:rsidRPr="000D498C" w:rsidR="00323DA3" w:rsidP="00765FFB" w:rsidRDefault="00323DA3" w14:paraId="725637B6" w14:textId="44BA6DBC">
      <w:pPr>
        <w:pStyle w:val="broodtekst"/>
      </w:pPr>
      <w:r w:rsidRPr="000D498C">
        <w:t>In het coalitieakkoord is opgenomen dat erkenning van buitenlandse kinderen wordt geconcentreerd bij gemeenten met specifieke kennis en expertise en dat schijnerkenners strafrechtelijk worden vervolgd.</w:t>
      </w:r>
      <w:r w:rsidRPr="000D498C" w:rsidR="00765FFB">
        <w:rPr>
          <w:rStyle w:val="Voetnootmarkering"/>
          <w:color w:val="000000" w:themeColor="text1"/>
        </w:rPr>
        <w:footnoteReference w:id="3"/>
      </w:r>
      <w:r w:rsidRPr="000D498C">
        <w:t xml:space="preserve"> Tevens heb ik uw Kamer toegezegd te informeren over lessen uit andere landen</w:t>
      </w:r>
      <w:r w:rsidR="005D32F9">
        <w:t>,</w:t>
      </w:r>
      <w:r w:rsidRPr="000D498C">
        <w:t xml:space="preserve"> </w:t>
      </w:r>
      <w:r w:rsidR="00685060">
        <w:t>over</w:t>
      </w:r>
      <w:r w:rsidRPr="000D498C">
        <w:t xml:space="preserve"> de zaak betreffende een man met 25 erkenningen</w:t>
      </w:r>
      <w:r w:rsidR="00765FFB">
        <w:t>,</w:t>
      </w:r>
      <w:r w:rsidRPr="000D498C" w:rsidR="005C1CE4">
        <w:rPr>
          <w:rStyle w:val="Voetnootmarkering"/>
          <w:color w:val="000000" w:themeColor="text1"/>
        </w:rPr>
        <w:footnoteReference w:id="4"/>
      </w:r>
      <w:r w:rsidRPr="000D498C">
        <w:t xml:space="preserve"> en over de nadere uitwerking van maatregelen ter voorkoming van schijnerkenningen. Daarnaast heb ik toegezegd een wetswijziging voor te bereiden teneinde strafrechtelijke vervolging van schijnerkenners mogelijk te maken.</w:t>
      </w:r>
      <w:r w:rsidR="00D541E2">
        <w:t xml:space="preserve"> De noodzaak </w:t>
      </w:r>
      <w:r w:rsidR="005D32F9">
        <w:t>daarvan</w:t>
      </w:r>
      <w:r w:rsidR="00D541E2">
        <w:t xml:space="preserve"> wordt momenteel nader </w:t>
      </w:r>
      <w:r w:rsidR="005D32F9">
        <w:t>onderzocht</w:t>
      </w:r>
      <w:r w:rsidR="00D541E2">
        <w:t>.</w:t>
      </w:r>
    </w:p>
    <w:p w:rsidRPr="000D498C" w:rsidR="00323DA3" w:rsidP="000D498C" w:rsidRDefault="00323DA3" w14:paraId="2BB7FED7" w14:textId="77777777">
      <w:pPr>
        <w:pStyle w:val="Geenafstand"/>
        <w:rPr>
          <w:color w:val="000000" w:themeColor="text1"/>
          <w:szCs w:val="18"/>
          <w:lang w:val="nl-NL"/>
        </w:rPr>
      </w:pPr>
    </w:p>
    <w:p w:rsidRPr="000D498C" w:rsidR="00323DA3" w:rsidP="000D498C" w:rsidRDefault="00323DA3" w14:paraId="7D8A5097" w14:textId="4CB8406B">
      <w:pPr>
        <w:pStyle w:val="Geenafstand"/>
        <w:rPr>
          <w:b/>
          <w:bCs/>
          <w:color w:val="000000" w:themeColor="text1"/>
          <w:szCs w:val="18"/>
          <w:lang w:val="nl-NL"/>
        </w:rPr>
      </w:pPr>
      <w:r w:rsidRPr="000D498C">
        <w:rPr>
          <w:b/>
          <w:bCs/>
          <w:color w:val="000000" w:themeColor="text1"/>
          <w:szCs w:val="18"/>
          <w:lang w:val="nl-NL"/>
        </w:rPr>
        <w:t>Aanpak</w:t>
      </w:r>
    </w:p>
    <w:p w:rsidRPr="000D498C" w:rsidR="00323DA3" w:rsidP="00765FFB" w:rsidRDefault="00323DA3" w14:paraId="3E42A9A4" w14:textId="57C1C6E3">
      <w:pPr>
        <w:pStyle w:val="broodtekst"/>
      </w:pPr>
      <w:bookmarkStart w:name="_Hlk226114765" w:id="4"/>
      <w:r w:rsidRPr="000D498C">
        <w:t xml:space="preserve">In samenwerking </w:t>
      </w:r>
      <w:r w:rsidR="00765FFB">
        <w:t xml:space="preserve">tussen </w:t>
      </w:r>
      <w:r w:rsidRPr="000D498C" w:rsidR="00765FFB">
        <w:t xml:space="preserve">de ministeries van Justitie en Veiligheid </w:t>
      </w:r>
      <w:r w:rsidR="00765FFB">
        <w:t xml:space="preserve">(JenV) </w:t>
      </w:r>
      <w:r w:rsidRPr="000D498C" w:rsidR="00765FFB">
        <w:t xml:space="preserve">en Buitenlandse Zaken </w:t>
      </w:r>
      <w:r w:rsidR="00765FFB">
        <w:t xml:space="preserve">en de </w:t>
      </w:r>
      <w:r w:rsidRPr="000D498C">
        <w:t xml:space="preserve">betrokken ketenpartners, waaronder de IND, de Vereniging van Nederlandse Gemeenten (VNG), de Nederlandse Vereniging voor Burgerzaken (NVVB), het Openbaar Ministerie (OM), is een samenhangend pakket aan maatregelen </w:t>
      </w:r>
      <w:r w:rsidR="00D541E2">
        <w:t>opgesteld</w:t>
      </w:r>
      <w:r w:rsidR="00A36804">
        <w:t xml:space="preserve"> die op korte termijn kunnen worden uitgevoerd</w:t>
      </w:r>
      <w:r w:rsidRPr="000D498C">
        <w:t xml:space="preserve">. </w:t>
      </w:r>
      <w:r w:rsidR="00A36804">
        <w:t xml:space="preserve">Verkend wordt of aanvullende maatregelen voor een structurele en duurzame aanpak nodig en mogelijk zijn. </w:t>
      </w:r>
      <w:r w:rsidRPr="000D498C">
        <w:t>De</w:t>
      </w:r>
      <w:r w:rsidRPr="000D498C" w:rsidR="00927B42">
        <w:t>ze</w:t>
      </w:r>
      <w:r w:rsidRPr="000D498C">
        <w:t xml:space="preserve"> aanpak is </w:t>
      </w:r>
      <w:r w:rsidRPr="000D498C" w:rsidR="00DD20B4">
        <w:t xml:space="preserve">erop </w:t>
      </w:r>
      <w:r w:rsidRPr="000D498C">
        <w:t xml:space="preserve">gericht </w:t>
      </w:r>
      <w:r w:rsidRPr="000D498C" w:rsidR="005C1CE4">
        <w:t>om</w:t>
      </w:r>
      <w:r w:rsidRPr="000D498C">
        <w:t xml:space="preserve"> misbruik tegen</w:t>
      </w:r>
      <w:r w:rsidRPr="000D498C" w:rsidR="00DD20B4">
        <w:t xml:space="preserve"> te </w:t>
      </w:r>
      <w:r w:rsidRPr="000D498C">
        <w:t xml:space="preserve">gaan, zonder afbreuk te doen aan het reguliere recht </w:t>
      </w:r>
      <w:r w:rsidR="00D541E2">
        <w:t xml:space="preserve">om te erkennen </w:t>
      </w:r>
      <w:r w:rsidRPr="000D498C">
        <w:t>en het belang van het kind.</w:t>
      </w:r>
    </w:p>
    <w:bookmarkEnd w:id="4"/>
    <w:p w:rsidRPr="000D498C" w:rsidR="00323DA3" w:rsidP="000D498C" w:rsidRDefault="00323DA3" w14:paraId="1E72CAED" w14:textId="77777777">
      <w:pPr>
        <w:pStyle w:val="Geenafstand"/>
        <w:rPr>
          <w:color w:val="000000" w:themeColor="text1"/>
          <w:szCs w:val="18"/>
          <w:lang w:val="nl-NL"/>
        </w:rPr>
      </w:pPr>
    </w:p>
    <w:p w:rsidRPr="00D5075B" w:rsidR="00323DA3" w:rsidP="00765FFB" w:rsidRDefault="00323DA3" w14:paraId="34DFB17A" w14:textId="529E1C61">
      <w:pPr>
        <w:pStyle w:val="broodtekst"/>
      </w:pPr>
      <w:r w:rsidRPr="00D5075B">
        <w:t xml:space="preserve">De aanpak kent een gefaseerde opzet en richt zich op twee sporen. Enerzijds wordt ingezet op het voorkomen van schijnerkenningen door </w:t>
      </w:r>
      <w:r w:rsidRPr="00D5075B" w:rsidR="005D32F9">
        <w:t>versterking</w:t>
      </w:r>
      <w:r w:rsidRPr="00D5075B">
        <w:t xml:space="preserve"> van de beoordelingspraktijk en expertise bij uitvoerende partijen. Anderzijds </w:t>
      </w:r>
      <w:r w:rsidRPr="00D5075B" w:rsidR="00756CD4">
        <w:t xml:space="preserve">wordt ingezet </w:t>
      </w:r>
      <w:r w:rsidRPr="00D5075B">
        <w:t xml:space="preserve">op het verbeteren van de mogelijkheden om op te treden </w:t>
      </w:r>
      <w:r w:rsidRPr="00D5075B" w:rsidR="005D32F9">
        <w:t>bij</w:t>
      </w:r>
      <w:r w:rsidRPr="00D5075B">
        <w:t xml:space="preserve"> misbruik, zodat ongewenste rechtsgevolgen, zoals het verkrijgen van verblijfsrecht of nationaliteit, zoveel mogelijk worden voorkomen of</w:t>
      </w:r>
      <w:r w:rsidRPr="00D5075B" w:rsidR="005C1CE4">
        <w:t xml:space="preserve">, </w:t>
      </w:r>
      <w:r w:rsidRPr="00D5075B">
        <w:t>waar nodig</w:t>
      </w:r>
      <w:r w:rsidRPr="00D5075B" w:rsidR="005C1CE4">
        <w:t xml:space="preserve">, </w:t>
      </w:r>
      <w:r w:rsidRPr="00D5075B">
        <w:t>ongedaan gemaakt.</w:t>
      </w:r>
    </w:p>
    <w:p w:rsidRPr="00D5075B" w:rsidR="00CB3554" w:rsidP="000D498C" w:rsidRDefault="00CB3554" w14:paraId="75F4F3AA" w14:textId="77777777">
      <w:pPr>
        <w:pStyle w:val="Geenafstand"/>
        <w:rPr>
          <w:color w:val="000000" w:themeColor="text1"/>
          <w:szCs w:val="18"/>
          <w:lang w:val="nl-NL"/>
        </w:rPr>
      </w:pPr>
    </w:p>
    <w:p w:rsidRPr="00D5075B" w:rsidR="00817650" w:rsidP="00765FFB" w:rsidRDefault="00817650" w14:paraId="75585B92" w14:textId="6FC9392C">
      <w:pPr>
        <w:pStyle w:val="broodtekst"/>
      </w:pPr>
      <w:r w:rsidRPr="00D5075B">
        <w:t xml:space="preserve">Ter ondersteuning van de verdere uitwerking van deze aanpak is tevens gekeken naar de wijze waarop andere landen omgaan met schijnerkenningen. België heeft, evenals Nederland, in de afgelopen jaren te maken gehad met een toename van vermoedelijke schijnerkenningen en heeft daarop het toetsings- en uitvoeringsproces aangescherpt. Een belangrijk verschil met de Nederlandse situatie is dat in België reeds in een vroeg stadium meerdere ketenpartners worden betrokken bij de beoordeling van een erkenningsaanvraag. Waar in Nederland de beoordeling primair bij de ambtenaar van de burgerlijke stand ligt, eventueel in afstemming met de IND, wordt in België bij signalen van mogelijke fraude ook het parket </w:t>
      </w:r>
      <w:r w:rsidRPr="00D5075B" w:rsidR="00D60B03">
        <w:t xml:space="preserve">van de Procureur des Konings </w:t>
      </w:r>
      <w:r w:rsidRPr="00D5075B">
        <w:t>betrokken. Hierdoor vindt eerder een bredere toets plaats en ontstaat een sterkere basis voor weigering of opschorting van erkenning</w:t>
      </w:r>
      <w:r w:rsidRPr="00D5075B" w:rsidR="00685060">
        <w:t>en</w:t>
      </w:r>
      <w:r w:rsidRPr="00D5075B">
        <w:t>. Daarnaast kent België</w:t>
      </w:r>
      <w:r w:rsidRPr="00D5075B" w:rsidR="00352211">
        <w:t>, net als Nederland,</w:t>
      </w:r>
      <w:r w:rsidRPr="00D5075B">
        <w:t xml:space="preserve"> de mogelijkheid om een erkenningsprocedure tijdelijk op te schorten wanneer twijfel bestaat over de intentie van de erkenning, zodat nader onderzoek kan worden verricht.</w:t>
      </w:r>
    </w:p>
    <w:p w:rsidRPr="00D5075B" w:rsidR="00817650" w:rsidP="00765FFB" w:rsidRDefault="00817650" w14:paraId="59BDE839" w14:textId="77777777">
      <w:pPr>
        <w:pStyle w:val="broodtekst"/>
      </w:pPr>
    </w:p>
    <w:p w:rsidRPr="00D5075B" w:rsidR="00817650" w:rsidP="00765FFB" w:rsidRDefault="00352211" w14:paraId="6582BA08" w14:textId="2BBDEC62">
      <w:pPr>
        <w:pStyle w:val="broodtekst"/>
      </w:pPr>
      <w:r w:rsidRPr="00D5075B">
        <w:t>I</w:t>
      </w:r>
      <w:r w:rsidRPr="00D5075B" w:rsidR="00817650">
        <w:t xml:space="preserve">n België </w:t>
      </w:r>
      <w:r w:rsidRPr="00D5075B">
        <w:t xml:space="preserve">zijn </w:t>
      </w:r>
      <w:r w:rsidRPr="00D5075B" w:rsidR="00817650">
        <w:t>de mogelijkheden om een erkenning te laten plaatsvinden geografisch beperkt. Een erkenning kan uitsluitend worden gedaan in de geboorteplaats van het kind, de verblijfplaats van de moeder of de woonplaats van de erkenner. Hiermee wordt voorkomen dat betrokkenen strategisch kiezen voor gemeenten waar de toetsing mogelijk minder strikt is</w:t>
      </w:r>
      <w:r w:rsidRPr="00D5075B" w:rsidR="00477CAC">
        <w:t xml:space="preserve"> of eindeloos blijven proberen een kind te erkennen</w:t>
      </w:r>
      <w:r w:rsidRPr="00D5075B" w:rsidR="00817650">
        <w:t>. In Nederland kan een erkenning vooralsnog in iedere gemeente plaatsvinden. Tevens is sprake van een meer geïntegreerde samenwerking tussen gemeenten, parket en vreemdelingenautoriteiten, waarbij informatie-uitwisseling structureler is ingericht. De Belgische aanpak kenmerkt zich daarmee door een vroegtijdige, bredere en meer geïntegreerde toetsing van erkenningen, met meer ruimte voor onderzoek en sturing in de uitvoeringspraktijk. Deze elementen worden betrokken bij de verdere uitwerking van de Nederlandse aanpak. Aanvullende informatie over de Duitse aanpak wordt momenteel verzameld en kan in een volgende voortgangsbrief worden meegenomen.</w:t>
      </w:r>
    </w:p>
    <w:p w:rsidRPr="00D5075B" w:rsidR="00323DA3" w:rsidP="000D498C" w:rsidRDefault="00323DA3" w14:paraId="22C70428" w14:textId="742E4F67">
      <w:pPr>
        <w:pStyle w:val="Geenafstand"/>
        <w:rPr>
          <w:b/>
          <w:bCs/>
          <w:color w:val="000000" w:themeColor="text1"/>
          <w:szCs w:val="18"/>
          <w:lang w:val="nl-NL"/>
        </w:rPr>
      </w:pPr>
      <w:r w:rsidRPr="00D5075B">
        <w:rPr>
          <w:b/>
          <w:bCs/>
          <w:color w:val="000000" w:themeColor="text1"/>
          <w:szCs w:val="18"/>
          <w:lang w:val="nl-NL"/>
        </w:rPr>
        <w:t>Korte termijnmaatregelen</w:t>
      </w:r>
    </w:p>
    <w:p w:rsidRPr="00D5075B" w:rsidR="00733525" w:rsidP="00765FFB" w:rsidRDefault="00733525" w14:paraId="300D4B35" w14:textId="77777777">
      <w:pPr>
        <w:pStyle w:val="broodtekst"/>
      </w:pPr>
      <w:bookmarkStart w:name="_Hlk225514401" w:id="5"/>
      <w:r w:rsidRPr="00D5075B">
        <w:t>De inzet op korte termijn richt zich op de volgende maatregelen:</w:t>
      </w:r>
    </w:p>
    <w:p w:rsidRPr="00D5075B" w:rsidR="00733525" w:rsidP="00733525" w:rsidRDefault="00733525" w14:paraId="7A95112A" w14:textId="73B78E07">
      <w:pPr>
        <w:pStyle w:val="broodtekst"/>
        <w:numPr>
          <w:ilvl w:val="0"/>
          <w:numId w:val="11"/>
        </w:numPr>
      </w:pPr>
      <w:r w:rsidRPr="00D5075B">
        <w:t xml:space="preserve"> </w:t>
      </w:r>
      <w:r w:rsidRPr="00D5075B">
        <w:tab/>
        <w:t>Het intensiveren van de controle door de ambtenaar van de burgerlijke</w:t>
      </w:r>
    </w:p>
    <w:p w:rsidRPr="00D5075B" w:rsidR="00733525" w:rsidP="00733525" w:rsidRDefault="00733525" w14:paraId="225555B5" w14:textId="73BB5482">
      <w:pPr>
        <w:pStyle w:val="broodtekst"/>
      </w:pPr>
      <w:r w:rsidRPr="00D5075B">
        <w:tab/>
      </w:r>
      <w:r w:rsidRPr="00D5075B">
        <w:tab/>
      </w:r>
      <w:r w:rsidRPr="00D5075B">
        <w:tab/>
        <w:t>stand;</w:t>
      </w:r>
    </w:p>
    <w:p w:rsidRPr="00D5075B" w:rsidR="00733525" w:rsidP="00733525" w:rsidRDefault="00733525" w14:paraId="1D7065B7" w14:textId="5EB2FFD7">
      <w:pPr>
        <w:pStyle w:val="broodtekst"/>
        <w:numPr>
          <w:ilvl w:val="0"/>
          <w:numId w:val="11"/>
        </w:numPr>
      </w:pPr>
      <w:r w:rsidRPr="00D5075B">
        <w:t xml:space="preserve"> </w:t>
      </w:r>
      <w:r w:rsidRPr="00D5075B">
        <w:tab/>
        <w:t>Het inrichten van een expertiseteam ter ondersteuning van gemeenten;</w:t>
      </w:r>
    </w:p>
    <w:p w:rsidRPr="00D5075B" w:rsidR="00733525" w:rsidP="00733525" w:rsidRDefault="00733525" w14:paraId="3FE420A1" w14:textId="33CF6FB4">
      <w:pPr>
        <w:pStyle w:val="broodtekst"/>
        <w:numPr>
          <w:ilvl w:val="0"/>
          <w:numId w:val="11"/>
        </w:numPr>
      </w:pPr>
      <w:r w:rsidRPr="00D5075B">
        <w:t xml:space="preserve"> </w:t>
      </w:r>
      <w:r w:rsidRPr="00D5075B">
        <w:tab/>
        <w:t>Het standaardiseren van het verzoek tot vernietiging;</w:t>
      </w:r>
    </w:p>
    <w:p w:rsidRPr="00D5075B" w:rsidR="00733525" w:rsidP="00733525" w:rsidRDefault="00733525" w14:paraId="0B8DEF09" w14:textId="1E0C8A8D">
      <w:pPr>
        <w:pStyle w:val="broodtekst"/>
        <w:numPr>
          <w:ilvl w:val="0"/>
          <w:numId w:val="12"/>
        </w:numPr>
      </w:pPr>
      <w:r w:rsidRPr="00D5075B">
        <w:t xml:space="preserve"> </w:t>
      </w:r>
      <w:r w:rsidRPr="00D5075B">
        <w:tab/>
        <w:t>Het aanvechten van buitenlandse erkenningen.</w:t>
      </w:r>
    </w:p>
    <w:p w:rsidRPr="00D5075B" w:rsidR="00733525" w:rsidP="00733525" w:rsidRDefault="00733525" w14:paraId="319D3D63" w14:textId="77777777">
      <w:pPr>
        <w:pStyle w:val="broodtekst"/>
      </w:pPr>
    </w:p>
    <w:p w:rsidRPr="00D5075B" w:rsidR="003F154D" w:rsidP="00733525" w:rsidRDefault="00323DA3" w14:paraId="5115EE6E" w14:textId="2F473731">
      <w:pPr>
        <w:pStyle w:val="broodtekst"/>
      </w:pPr>
      <w:r w:rsidRPr="00D5075B">
        <w:t xml:space="preserve">Allereerst </w:t>
      </w:r>
      <w:r w:rsidRPr="00D5075B" w:rsidR="001D5ECC">
        <w:t xml:space="preserve">wordt erop ingezet </w:t>
      </w:r>
      <w:r w:rsidRPr="00D5075B" w:rsidR="00B22642">
        <w:t>dat de ambtenaar van de burgerlijke stand actiever aan de gemeente</w:t>
      </w:r>
      <w:r w:rsidRPr="00D5075B" w:rsidR="00756CD4">
        <w:t xml:space="preserve">lijke </w:t>
      </w:r>
      <w:r w:rsidRPr="00D5075B" w:rsidR="00B22642">
        <w:t xml:space="preserve">balie gaat controleren op schijnerkenningen. Dat geldt zowel </w:t>
      </w:r>
      <w:r w:rsidRPr="00D5075B" w:rsidR="00685060">
        <w:t>voor</w:t>
      </w:r>
      <w:r w:rsidRPr="00D5075B" w:rsidR="00B22642">
        <w:t xml:space="preserve"> erkenningen in Nederland als </w:t>
      </w:r>
      <w:r w:rsidRPr="00D5075B" w:rsidR="00685060">
        <w:t xml:space="preserve">voor </w:t>
      </w:r>
      <w:r w:rsidRPr="00D5075B" w:rsidR="00B22642">
        <w:t>verzoeken om buitenlandse erkenningen te registreren</w:t>
      </w:r>
      <w:r w:rsidRPr="00D5075B" w:rsidR="00477CAC">
        <w:t xml:space="preserve"> in de Basisregistratie Personen (hierna: BRP)</w:t>
      </w:r>
      <w:r w:rsidRPr="00D5075B" w:rsidR="00B22642">
        <w:t xml:space="preserve">. Daartoe </w:t>
      </w:r>
      <w:r w:rsidRPr="00D5075B" w:rsidR="001D5ECC">
        <w:t>versterken w</w:t>
      </w:r>
      <w:r w:rsidRPr="00D5075B" w:rsidR="00A36804">
        <w:t>ij</w:t>
      </w:r>
      <w:r w:rsidRPr="00D5075B">
        <w:t xml:space="preserve"> de beoordelingspositie van de ambtenaar van de burgerlijke stand. Gemeenten </w:t>
      </w:r>
      <w:r w:rsidRPr="00D5075B" w:rsidR="00477CAC">
        <w:t xml:space="preserve">zullen beter </w:t>
      </w:r>
      <w:r w:rsidRPr="00D5075B">
        <w:t xml:space="preserve">worden </w:t>
      </w:r>
      <w:r w:rsidRPr="00D5075B" w:rsidR="00352211">
        <w:t xml:space="preserve">beter </w:t>
      </w:r>
      <w:r w:rsidRPr="00D5075B">
        <w:t xml:space="preserve">ondersteund bij het herkennen en beoordelen van signalen van mogelijke schijnerkenningen. </w:t>
      </w:r>
      <w:r w:rsidRPr="00D5075B" w:rsidR="00505F23">
        <w:t xml:space="preserve">Dit </w:t>
      </w:r>
      <w:r w:rsidRPr="00D5075B" w:rsidR="00477CAC">
        <w:t>zal</w:t>
      </w:r>
      <w:r w:rsidRPr="00D5075B" w:rsidR="00505F23">
        <w:t xml:space="preserve"> onder meer </w:t>
      </w:r>
      <w:r w:rsidRPr="00D5075B" w:rsidR="00477CAC">
        <w:t xml:space="preserve">gebeuren </w:t>
      </w:r>
      <w:r w:rsidRPr="00D5075B" w:rsidR="00505F23">
        <w:t>door gerichte</w:t>
      </w:r>
      <w:r w:rsidRPr="00D5075B">
        <w:t xml:space="preserve"> kennis</w:t>
      </w:r>
      <w:r w:rsidRPr="00D5075B" w:rsidR="00505F23">
        <w:t>deling</w:t>
      </w:r>
      <w:r w:rsidRPr="00D5075B">
        <w:t xml:space="preserve"> en </w:t>
      </w:r>
      <w:r w:rsidRPr="00D5075B" w:rsidR="00505F23">
        <w:t xml:space="preserve">het aanscherpen van handreikingen, </w:t>
      </w:r>
      <w:r w:rsidRPr="00D5075B" w:rsidR="00C96DA7">
        <w:t>zoals een processtappenoverzicht en een indicatorenlijst</w:t>
      </w:r>
      <w:r w:rsidRPr="00D5075B">
        <w:t>.</w:t>
      </w:r>
      <w:r w:rsidRPr="00D5075B" w:rsidR="005C1CE4">
        <w:t xml:space="preserve"> </w:t>
      </w:r>
      <w:r w:rsidRPr="00D5075B" w:rsidR="00746685">
        <w:t xml:space="preserve">Deze handreikingen </w:t>
      </w:r>
      <w:r w:rsidRPr="00D5075B" w:rsidR="00927B42">
        <w:t>beschrijven</w:t>
      </w:r>
      <w:r w:rsidRPr="00D5075B" w:rsidR="00746685">
        <w:t xml:space="preserve"> concreet welke signalen kunnen duiden op een schijnerkenning en welke stappen gemeenten vervolgens kunnen zetten. Een g</w:t>
      </w:r>
      <w:r w:rsidRPr="00D5075B" w:rsidR="00DD20B4">
        <w:t>ezamenlijk</w:t>
      </w:r>
      <w:r w:rsidRPr="00D5075B" w:rsidR="00EB27E1">
        <w:t>e</w:t>
      </w:r>
      <w:r w:rsidRPr="00D5075B" w:rsidR="00DD20B4">
        <w:t xml:space="preserve"> werkgroep</w:t>
      </w:r>
      <w:r w:rsidRPr="00D5075B" w:rsidR="00746685">
        <w:t>, bestaande uit de NVVB, VNG, IND</w:t>
      </w:r>
      <w:r w:rsidRPr="00D5075B" w:rsidR="00D60B03">
        <w:t>, OM</w:t>
      </w:r>
      <w:r w:rsidRPr="00D5075B" w:rsidR="00746685">
        <w:t xml:space="preserve"> en JenV</w:t>
      </w:r>
      <w:r w:rsidRPr="00D5075B" w:rsidR="000E5C86">
        <w:t>,</w:t>
      </w:r>
      <w:r w:rsidRPr="00D5075B" w:rsidR="00746685">
        <w:t xml:space="preserve"> </w:t>
      </w:r>
      <w:r w:rsidRPr="00D5075B" w:rsidR="00BB278E">
        <w:t>h</w:t>
      </w:r>
      <w:r w:rsidRPr="00D5075B" w:rsidR="00EB27E1">
        <w:t xml:space="preserve">eeft </w:t>
      </w:r>
      <w:r w:rsidRPr="00D5075B" w:rsidR="00BB278E">
        <w:t xml:space="preserve">deze </w:t>
      </w:r>
      <w:r w:rsidRPr="00D5075B" w:rsidR="00927B42">
        <w:t>handreikingen</w:t>
      </w:r>
      <w:r w:rsidRPr="00D5075B" w:rsidR="00BB278E">
        <w:t xml:space="preserve"> </w:t>
      </w:r>
      <w:r w:rsidRPr="00D5075B" w:rsidR="00746685">
        <w:t>vastgesteld</w:t>
      </w:r>
      <w:r w:rsidRPr="00D5075B" w:rsidR="00EB27E1">
        <w:t>.</w:t>
      </w:r>
      <w:r w:rsidRPr="00D5075B" w:rsidR="00746685">
        <w:t xml:space="preserve"> </w:t>
      </w:r>
      <w:r w:rsidRPr="00D5075B" w:rsidR="00EB27E1">
        <w:t>Deze</w:t>
      </w:r>
      <w:r w:rsidRPr="00D5075B" w:rsidR="00746685">
        <w:t xml:space="preserve"> </w:t>
      </w:r>
      <w:r w:rsidRPr="00D5075B" w:rsidR="001D5ECC">
        <w:t>zijn</w:t>
      </w:r>
      <w:r w:rsidRPr="00D5075B" w:rsidR="00927B42">
        <w:t xml:space="preserve"> </w:t>
      </w:r>
      <w:r w:rsidRPr="00D5075B" w:rsidR="00352211">
        <w:t xml:space="preserve">als </w:t>
      </w:r>
      <w:r w:rsidRPr="00D5075B" w:rsidR="000E5C86">
        <w:t>eerste</w:t>
      </w:r>
      <w:r w:rsidRPr="00D5075B" w:rsidR="00352211">
        <w:t xml:space="preserve"> </w:t>
      </w:r>
      <w:r w:rsidRPr="00D5075B" w:rsidR="000E5C86">
        <w:t xml:space="preserve">stap </w:t>
      </w:r>
      <w:r w:rsidRPr="00D5075B" w:rsidR="00927B42">
        <w:t xml:space="preserve">verspreid onder </w:t>
      </w:r>
      <w:r w:rsidRPr="00D5075B" w:rsidR="00352211">
        <w:t>de pilot</w:t>
      </w:r>
      <w:r w:rsidRPr="00D5075B" w:rsidR="00927B42">
        <w:t xml:space="preserve">gemeenten en toegelicht door de NVVB. </w:t>
      </w:r>
      <w:r w:rsidRPr="00D5075B" w:rsidR="00EE007B">
        <w:t xml:space="preserve">Bij de uitrol van deze maatregelen wordt tevens getoetst </w:t>
      </w:r>
      <w:r w:rsidRPr="00D5075B" w:rsidR="00A36804">
        <w:t xml:space="preserve">of </w:t>
      </w:r>
      <w:r w:rsidRPr="00D5075B" w:rsidR="00EE007B">
        <w:t>gemeenten hiermee voldoende in staat zijn om signalen van mogelijke schijnerkenningen te herkennen en te beoordelen.</w:t>
      </w:r>
    </w:p>
    <w:p w:rsidRPr="00D5075B" w:rsidR="003F154D" w:rsidP="000D498C" w:rsidRDefault="003F154D" w14:paraId="373DD044" w14:textId="77777777">
      <w:pPr>
        <w:pStyle w:val="Geenafstand"/>
        <w:rPr>
          <w:color w:val="000000" w:themeColor="text1"/>
          <w:szCs w:val="18"/>
          <w:lang w:val="nl-NL"/>
        </w:rPr>
      </w:pPr>
    </w:p>
    <w:p w:rsidRPr="00D5075B" w:rsidR="003F154D" w:rsidP="00765FFB" w:rsidRDefault="00323DA3" w14:paraId="6A712DCE" w14:textId="6F5AB842">
      <w:pPr>
        <w:pStyle w:val="broodtekst"/>
      </w:pPr>
      <w:r w:rsidRPr="00D5075B">
        <w:t xml:space="preserve">Daarnaast </w:t>
      </w:r>
      <w:r w:rsidRPr="00D5075B" w:rsidR="00E033C3">
        <w:t xml:space="preserve">is </w:t>
      </w:r>
      <w:r w:rsidRPr="00D5075B">
        <w:t xml:space="preserve">een pilot </w:t>
      </w:r>
      <w:r w:rsidRPr="00D5075B" w:rsidR="00756CD4">
        <w:t>voorbereid</w:t>
      </w:r>
      <w:r w:rsidRPr="00D5075B" w:rsidR="00E033C3">
        <w:t xml:space="preserve"> </w:t>
      </w:r>
      <w:r w:rsidRPr="00D5075B">
        <w:t xml:space="preserve">met een multidisciplinair expertiseteam, waarin expertise van verschillende ketenpartners wordt gebundeld. Dit team ondersteunt gemeenten bij complexe casuïstiek en </w:t>
      </w:r>
      <w:r w:rsidRPr="00D5075B" w:rsidR="00505F23">
        <w:t>bevordert</w:t>
      </w:r>
      <w:r w:rsidRPr="00D5075B">
        <w:t xml:space="preserve"> een uniforme toepassing van de bestaande beoordelingsruimte. </w:t>
      </w:r>
      <w:r w:rsidRPr="00D5075B" w:rsidR="00746685">
        <w:t xml:space="preserve">Dit multidisciplinair expertiseteam </w:t>
      </w:r>
      <w:r w:rsidRPr="00D5075B" w:rsidR="00BB278E">
        <w:t xml:space="preserve">bestaat uit deskundigen van onder meer </w:t>
      </w:r>
      <w:r w:rsidRPr="00D5075B" w:rsidR="000E5C86">
        <w:t xml:space="preserve">de </w:t>
      </w:r>
      <w:r w:rsidRPr="00D5075B" w:rsidR="00BB278E">
        <w:t>NVVB</w:t>
      </w:r>
      <w:r w:rsidRPr="00D5075B" w:rsidR="00D60B03">
        <w:t xml:space="preserve"> en </w:t>
      </w:r>
      <w:r w:rsidRPr="00D5075B" w:rsidR="00352211">
        <w:t xml:space="preserve">de </w:t>
      </w:r>
      <w:r w:rsidRPr="00D5075B" w:rsidR="00BB278E">
        <w:t>IND,</w:t>
      </w:r>
      <w:r w:rsidRPr="00D5075B" w:rsidR="00D60B03">
        <w:t xml:space="preserve"> </w:t>
      </w:r>
      <w:r w:rsidRPr="00D5075B" w:rsidR="00352211">
        <w:t xml:space="preserve">aangevuld met deskundigheid uit kleinere en grotere gemeenten. Indien nodig wordt extra expertise gevraagd bij </w:t>
      </w:r>
      <w:r w:rsidRPr="00D5075B" w:rsidR="000E5C86">
        <w:t xml:space="preserve">de </w:t>
      </w:r>
      <w:r w:rsidRPr="00D5075B" w:rsidR="00BB278E">
        <w:t>DT&amp;V</w:t>
      </w:r>
      <w:r w:rsidRPr="00D5075B" w:rsidR="00352211">
        <w:t xml:space="preserve"> en </w:t>
      </w:r>
      <w:r w:rsidRPr="00D5075B" w:rsidR="000E5C86">
        <w:t xml:space="preserve">de </w:t>
      </w:r>
      <w:r w:rsidRPr="00D5075B" w:rsidR="00352211">
        <w:t>VNG</w:t>
      </w:r>
      <w:r w:rsidRPr="00D5075B" w:rsidR="000E5C86">
        <w:t>,</w:t>
      </w:r>
      <w:r w:rsidRPr="00D5075B" w:rsidR="00352211">
        <w:t xml:space="preserve"> en k</w:t>
      </w:r>
      <w:r w:rsidRPr="00D5075B" w:rsidR="000E5C86">
        <w:t>unnen</w:t>
      </w:r>
      <w:r w:rsidRPr="00D5075B" w:rsidR="00352211">
        <w:t xml:space="preserve"> gemeenten gedurende de pilotfase </w:t>
      </w:r>
      <w:r w:rsidRPr="00D5075B" w:rsidR="000E5C86">
        <w:t xml:space="preserve">het expertiseteam raadplegen </w:t>
      </w:r>
      <w:r w:rsidRPr="00D5075B" w:rsidR="00BB278E">
        <w:t xml:space="preserve">bij twijfelgevallen. Het expertiseteam </w:t>
      </w:r>
      <w:r w:rsidRPr="00D5075B" w:rsidR="00616616">
        <w:t>zal naar verwachting</w:t>
      </w:r>
      <w:r w:rsidRPr="00D5075B" w:rsidR="00BB278E">
        <w:t xml:space="preserve"> </w:t>
      </w:r>
      <w:r w:rsidRPr="00D5075B" w:rsidR="00477CAC">
        <w:t>in</w:t>
      </w:r>
      <w:r w:rsidRPr="00D5075B" w:rsidR="00BB278E">
        <w:t xml:space="preserve"> april 2026</w:t>
      </w:r>
      <w:r w:rsidRPr="00D5075B" w:rsidR="00616616">
        <w:t xml:space="preserve"> van start gaan</w:t>
      </w:r>
      <w:r w:rsidRPr="00D5075B" w:rsidR="00BB278E">
        <w:t xml:space="preserve"> en is vanaf dat moment </w:t>
      </w:r>
      <w:r w:rsidRPr="00D5075B" w:rsidR="00927B42">
        <w:t xml:space="preserve">direct </w:t>
      </w:r>
      <w:r w:rsidRPr="00D5075B" w:rsidR="00BB278E">
        <w:t>beschikbaar voor ondersteuning van gemeenten</w:t>
      </w:r>
      <w:r w:rsidRPr="00D5075B" w:rsidR="00927B42">
        <w:t xml:space="preserve"> bij concrete casuïstiek</w:t>
      </w:r>
      <w:r w:rsidRPr="00D5075B" w:rsidR="00BB278E">
        <w:t>.</w:t>
      </w:r>
    </w:p>
    <w:p w:rsidRPr="00D5075B" w:rsidR="00323DA3" w:rsidP="00765FFB" w:rsidRDefault="00323DA3" w14:paraId="73F0651B" w14:textId="77777777">
      <w:pPr>
        <w:pStyle w:val="broodtekst"/>
      </w:pPr>
    </w:p>
    <w:p w:rsidRPr="00D5075B" w:rsidR="00746685" w:rsidP="00765FFB" w:rsidRDefault="00323DA3" w14:paraId="501A4B73" w14:textId="6A48F6D5">
      <w:pPr>
        <w:pStyle w:val="broodtekst"/>
      </w:pPr>
      <w:r w:rsidRPr="00D5075B">
        <w:t xml:space="preserve">Voorts wordt de samenwerking tussen betrokken partijen geïntensiveerd om effectiever te kunnen optreden wanneer sprake is van misbruik. In </w:t>
      </w:r>
      <w:r w:rsidRPr="00D5075B" w:rsidR="00746685">
        <w:t xml:space="preserve">april 2026 start </w:t>
      </w:r>
      <w:r w:rsidRPr="00D5075B" w:rsidR="00505F23">
        <w:t xml:space="preserve">een pilot </w:t>
      </w:r>
      <w:r w:rsidRPr="00D5075B">
        <w:t xml:space="preserve">tussen het OM en de IND gericht op het ontwikkelen en inzetten van een standaardverzoek tot </w:t>
      </w:r>
      <w:r w:rsidRPr="00D5075B" w:rsidR="00D60B03">
        <w:t xml:space="preserve">vernietiging </w:t>
      </w:r>
      <w:r w:rsidRPr="00D5075B">
        <w:t>van schijnerkenningen</w:t>
      </w:r>
      <w:r w:rsidRPr="00D5075B" w:rsidR="00D60B03">
        <w:t xml:space="preserve"> bij de rechtbank</w:t>
      </w:r>
      <w:r w:rsidRPr="00D5075B">
        <w:t xml:space="preserve">. </w:t>
      </w:r>
      <w:r w:rsidRPr="00D5075B" w:rsidR="00BB278E">
        <w:t>Dit houdt in dat het OM bij de civiele rechter verzoek</w:t>
      </w:r>
      <w:r w:rsidRPr="00D5075B" w:rsidR="001E3021">
        <w:t>t</w:t>
      </w:r>
      <w:r w:rsidRPr="00D5075B" w:rsidR="00BB278E">
        <w:t xml:space="preserve"> om een erkenning te </w:t>
      </w:r>
      <w:r w:rsidRPr="00D5075B" w:rsidR="00D60B03">
        <w:t>vernietigen</w:t>
      </w:r>
      <w:r w:rsidRPr="00D5075B" w:rsidR="00BB278E">
        <w:t xml:space="preserve"> wanneer deze is gedaan met een oneigenlijk doel, zoals het verkrijgen van verblijfsrecht. </w:t>
      </w:r>
      <w:r w:rsidRPr="00D5075B" w:rsidR="00746685">
        <w:t xml:space="preserve">Het OM </w:t>
      </w:r>
      <w:r w:rsidRPr="00D5075B" w:rsidR="00927B42">
        <w:t xml:space="preserve">dient </w:t>
      </w:r>
      <w:r w:rsidRPr="00D5075B" w:rsidR="001D5ECC">
        <w:t xml:space="preserve">in </w:t>
      </w:r>
      <w:r w:rsidRPr="00D5075B" w:rsidR="00746685">
        <w:t xml:space="preserve">april 2026 drie verzoeken tot </w:t>
      </w:r>
      <w:r w:rsidRPr="00D5075B" w:rsidR="00D541E2">
        <w:t>vernietiging van erkenning</w:t>
      </w:r>
      <w:r w:rsidRPr="00D5075B" w:rsidR="00756CD4">
        <w:t>en</w:t>
      </w:r>
      <w:r w:rsidRPr="00D5075B" w:rsidR="00D541E2">
        <w:t xml:space="preserve"> </w:t>
      </w:r>
      <w:r w:rsidRPr="00D5075B" w:rsidR="00927B42">
        <w:t xml:space="preserve">in </w:t>
      </w:r>
      <w:r w:rsidRPr="00D5075B" w:rsidR="00BB278E">
        <w:t xml:space="preserve">bij de civiele rechter, om deze werkwijze in de praktijk te testen en te standaardiseren. </w:t>
      </w:r>
      <w:r w:rsidRPr="00D5075B">
        <w:t xml:space="preserve">Dit moet bijdragen aan een meer efficiënte en uniforme werkwijze bij het starten van procedures tot vernietiging van </w:t>
      </w:r>
      <w:r w:rsidRPr="00D5075B" w:rsidR="00C96DA7">
        <w:t>schijn</w:t>
      </w:r>
      <w:r w:rsidRPr="00D5075B">
        <w:t>erkenningen.</w:t>
      </w:r>
      <w:r w:rsidRPr="00D5075B" w:rsidR="005C1CE4">
        <w:t xml:space="preserve"> </w:t>
      </w:r>
    </w:p>
    <w:p w:rsidRPr="00D5075B" w:rsidR="00746685" w:rsidP="00765FFB" w:rsidRDefault="00746685" w14:paraId="747698EE" w14:textId="77777777">
      <w:pPr>
        <w:pStyle w:val="broodtekst"/>
      </w:pPr>
    </w:p>
    <w:p w:rsidRPr="00D5075B" w:rsidR="00C96DA7" w:rsidP="00765FFB" w:rsidRDefault="00323DA3" w14:paraId="6CC34ADD" w14:textId="6B6BDC84">
      <w:pPr>
        <w:pStyle w:val="broodtekst"/>
      </w:pPr>
      <w:r w:rsidRPr="00D5075B">
        <w:t xml:space="preserve">Daarnaast wordt </w:t>
      </w:r>
      <w:r w:rsidRPr="00D5075B" w:rsidR="00927B42">
        <w:t xml:space="preserve">momenteel </w:t>
      </w:r>
      <w:r w:rsidRPr="00D5075B">
        <w:t>in samenwerking met de NVVB en de IND een pilot uitgevoerd waarin gemeenten schijnerkenningen die zijn vastgelegd in buitenlandse akten kunnen aanvechten.</w:t>
      </w:r>
      <w:r w:rsidRPr="00D5075B" w:rsidR="00746685">
        <w:t xml:space="preserve"> </w:t>
      </w:r>
      <w:r w:rsidRPr="00D5075B" w:rsidR="00BB278E">
        <w:t xml:space="preserve">Dit betreft situaties waarin een erkenning in het buitenland heeft plaatsgevonden </w:t>
      </w:r>
      <w:r w:rsidRPr="00D5075B" w:rsidR="00505F23">
        <w:t>en</w:t>
      </w:r>
      <w:r w:rsidRPr="00D5075B" w:rsidR="00352211">
        <w:t xml:space="preserve"> in Nederland </w:t>
      </w:r>
      <w:r w:rsidRPr="00D5075B" w:rsidR="00505F23">
        <w:t>wordt ingeschreven</w:t>
      </w:r>
      <w:r w:rsidRPr="00D5075B" w:rsidR="00477CAC">
        <w:t xml:space="preserve"> in de BRP</w:t>
      </w:r>
      <w:r w:rsidRPr="00D5075B" w:rsidR="00505F23">
        <w:t xml:space="preserve">, met </w:t>
      </w:r>
      <w:r w:rsidRPr="00D5075B" w:rsidR="00352211">
        <w:t>mogelijk</w:t>
      </w:r>
      <w:r w:rsidRPr="00D5075B" w:rsidR="00505F23">
        <w:t>e</w:t>
      </w:r>
      <w:r w:rsidRPr="00D5075B" w:rsidR="00352211">
        <w:t xml:space="preserve"> </w:t>
      </w:r>
      <w:r w:rsidRPr="00D5075B" w:rsidR="00BB278E">
        <w:t xml:space="preserve">gevolgen voor verblijf of nationaliteit. </w:t>
      </w:r>
      <w:r w:rsidRPr="00D5075B" w:rsidR="00746685">
        <w:t xml:space="preserve">De NVVB heeft </w:t>
      </w:r>
      <w:r w:rsidRPr="00D5075B" w:rsidR="00505F23">
        <w:t>hiervoor</w:t>
      </w:r>
      <w:r w:rsidRPr="00D5075B" w:rsidR="00927B42">
        <w:t xml:space="preserve"> </w:t>
      </w:r>
      <w:r w:rsidRPr="00D5075B" w:rsidR="00746685">
        <w:t xml:space="preserve">modelbrieven </w:t>
      </w:r>
      <w:r w:rsidRPr="00D5075B" w:rsidR="00927B42">
        <w:t xml:space="preserve">opgesteld en </w:t>
      </w:r>
      <w:r w:rsidRPr="00D5075B" w:rsidR="00BB278E">
        <w:t>verstuurd aan</w:t>
      </w:r>
      <w:r w:rsidRPr="00D5075B" w:rsidR="00746685">
        <w:t xml:space="preserve"> deelnemende gemeenten. </w:t>
      </w:r>
      <w:r w:rsidRPr="00D5075B" w:rsidR="004C73B2">
        <w:t>Het advies van d</w:t>
      </w:r>
      <w:r w:rsidRPr="00D5075B" w:rsidR="00927B42">
        <w:t xml:space="preserve">e IND </w:t>
      </w:r>
      <w:r w:rsidRPr="00D5075B" w:rsidR="004C73B2">
        <w:t xml:space="preserve">wordt betrokken </w:t>
      </w:r>
      <w:r w:rsidRPr="00D5075B" w:rsidR="001D5ECC">
        <w:t xml:space="preserve">bij het </w:t>
      </w:r>
      <w:r w:rsidRPr="00D5075B" w:rsidR="00800474">
        <w:t>aanscherpen</w:t>
      </w:r>
      <w:r w:rsidRPr="00D5075B" w:rsidR="001D5ECC">
        <w:t xml:space="preserve"> van</w:t>
      </w:r>
      <w:r w:rsidRPr="00D5075B" w:rsidR="00927B42">
        <w:t xml:space="preserve"> deze modelbrieven, zodat deze aansluiten bij het vreemdelingenrechtelijk</w:t>
      </w:r>
      <w:r w:rsidRPr="00D5075B" w:rsidR="00B22642">
        <w:t>e</w:t>
      </w:r>
      <w:r w:rsidRPr="00D5075B" w:rsidR="00927B42">
        <w:t xml:space="preserve"> kader. </w:t>
      </w:r>
      <w:r w:rsidRPr="00D5075B" w:rsidR="00BB278E">
        <w:t xml:space="preserve">Deze modelbrieven zijn bedoeld voor situaties waarin gemeenten op basis van </w:t>
      </w:r>
      <w:r w:rsidRPr="00D5075B" w:rsidR="00FA60B2">
        <w:t xml:space="preserve">terugmeldingen van de IND </w:t>
      </w:r>
      <w:r w:rsidRPr="00D5075B" w:rsidR="00BB278E">
        <w:t>vermoed</w:t>
      </w:r>
      <w:r w:rsidRPr="00D5075B" w:rsidR="00EB27E1">
        <w:t>en</w:t>
      </w:r>
      <w:r w:rsidRPr="00D5075B" w:rsidR="00BB278E">
        <w:t xml:space="preserve"> dat sprake is van een schijnerkenning en </w:t>
      </w:r>
      <w:r w:rsidRPr="00D5075B" w:rsidR="00B22642">
        <w:t xml:space="preserve">overwegen </w:t>
      </w:r>
      <w:r w:rsidRPr="00D5075B" w:rsidR="00BB278E">
        <w:t xml:space="preserve">om </w:t>
      </w:r>
      <w:r w:rsidRPr="00D5075B" w:rsidR="00B22642">
        <w:t xml:space="preserve">de </w:t>
      </w:r>
      <w:r w:rsidRPr="00D5075B" w:rsidR="00BB278E">
        <w:t xml:space="preserve">erkenning </w:t>
      </w:r>
      <w:r w:rsidRPr="00D5075B" w:rsidR="00B22642">
        <w:t xml:space="preserve">niet te registreren, dan wel een procedure </w:t>
      </w:r>
      <w:r w:rsidRPr="00D5075B" w:rsidR="00BB278E">
        <w:t xml:space="preserve">te </w:t>
      </w:r>
      <w:r w:rsidRPr="00D5075B" w:rsidR="00B22642">
        <w:t>starten om de erkenning te vernietigen</w:t>
      </w:r>
      <w:r w:rsidRPr="00D5075B" w:rsidR="00BB278E">
        <w:t>.</w:t>
      </w:r>
      <w:r w:rsidRPr="00D5075B" w:rsidR="00FA60B2">
        <w:t xml:space="preserve"> </w:t>
      </w:r>
      <w:r w:rsidRPr="00D5075B" w:rsidR="00BB278E">
        <w:t xml:space="preserve">Daarnaast </w:t>
      </w:r>
      <w:r w:rsidRPr="00D5075B" w:rsidR="00685060">
        <w:t>wijst</w:t>
      </w:r>
      <w:r w:rsidRPr="00D5075B" w:rsidR="00352211">
        <w:t xml:space="preserve"> </w:t>
      </w:r>
      <w:r w:rsidRPr="00D5075B" w:rsidR="00BB278E">
        <w:t>de</w:t>
      </w:r>
      <w:r w:rsidRPr="00D5075B" w:rsidR="00746685">
        <w:t xml:space="preserve"> NVVB </w:t>
      </w:r>
      <w:r w:rsidRPr="00D5075B" w:rsidR="00EB27E1">
        <w:t xml:space="preserve">gemeenten </w:t>
      </w:r>
      <w:r w:rsidRPr="00D5075B" w:rsidR="00685060">
        <w:t>op</w:t>
      </w:r>
      <w:r w:rsidRPr="00D5075B" w:rsidR="00B22642">
        <w:t xml:space="preserve"> de handelingsmogelijkheden bij twijfel aan de inschrijving van nieuw aangeboden buitenlandse akten. In dergelijke gevallen kunnen gemeenten, voorafgaand aan inschrijving in de BRP, nader onderzoek doen naar de erkenning. Daarbij kan, afhankelijk van de casus, afstemming plaatsvinden met de IND en – indien relevant voor de beoordeling van de erkenning naar Nederlands recht – de ambtenaar van de burgerlijke stand. Doel hiervan is om te voorkomen dat aan mogelijk frauduleuze erkenningen rechtsgevolgen worden verbo</w:t>
      </w:r>
      <w:r w:rsidRPr="00D5075B" w:rsidR="00FD104A">
        <w:t>n</w:t>
      </w:r>
      <w:r w:rsidRPr="00D5075B" w:rsidR="00B22642">
        <w:t xml:space="preserve">den. </w:t>
      </w:r>
      <w:r w:rsidRPr="00D5075B" w:rsidR="001D5ECC">
        <w:t>Ook</w:t>
      </w:r>
      <w:r w:rsidRPr="00D5075B" w:rsidR="00CB3554">
        <w:t xml:space="preserve"> wordt, in samenwerking met betrokken partijen, in kaart gebracht hoe de verantwoordelijkheidsverdeling binnen gemeenten is ingericht, met als doel de regie en aanspreekbaarheid te verduidelijken. </w:t>
      </w:r>
    </w:p>
    <w:p w:rsidRPr="00D5075B" w:rsidR="00C96DA7" w:rsidP="000D498C" w:rsidRDefault="00C96DA7" w14:paraId="1954AF4D" w14:textId="77777777">
      <w:pPr>
        <w:pStyle w:val="Geenafstand"/>
        <w:rPr>
          <w:color w:val="000000" w:themeColor="text1"/>
          <w:szCs w:val="18"/>
          <w:lang w:val="nl-NL"/>
        </w:rPr>
      </w:pPr>
    </w:p>
    <w:p w:rsidRPr="00D5075B" w:rsidR="00323DA3" w:rsidP="00765FFB" w:rsidRDefault="00323DA3" w14:paraId="622D03C1" w14:textId="07CDA2A2">
      <w:pPr>
        <w:pStyle w:val="broodtekst"/>
      </w:pPr>
      <w:bookmarkStart w:name="_Hlk225514366" w:id="6"/>
      <w:r w:rsidRPr="00D5075B">
        <w:t xml:space="preserve">De implementatie van deze maatregelen is </w:t>
      </w:r>
      <w:r w:rsidRPr="00D5075B" w:rsidR="00746685">
        <w:t>reeds gestart</w:t>
      </w:r>
      <w:r w:rsidRPr="00D5075B">
        <w:t xml:space="preserve"> en wordt in het tweede kwartaal van 2026 </w:t>
      </w:r>
      <w:r w:rsidRPr="00D5075B" w:rsidR="00746685">
        <w:t>verder opgeschaald</w:t>
      </w:r>
      <w:r w:rsidRPr="00D5075B" w:rsidR="00A14A46">
        <w:t xml:space="preserve">. </w:t>
      </w:r>
      <w:r w:rsidRPr="00D5075B" w:rsidR="001E3021">
        <w:t>Ik informeer uw Kamer</w:t>
      </w:r>
      <w:r w:rsidRPr="00D5075B" w:rsidR="006261DC">
        <w:t xml:space="preserve"> </w:t>
      </w:r>
      <w:r w:rsidRPr="00D5075B" w:rsidR="007F60FC">
        <w:t xml:space="preserve">over de uitkomsten </w:t>
      </w:r>
      <w:r w:rsidRPr="00D5075B" w:rsidR="001D5ECC">
        <w:t xml:space="preserve">van </w:t>
      </w:r>
      <w:r w:rsidRPr="00D5075B" w:rsidR="007F60FC">
        <w:t xml:space="preserve">en ervaringen </w:t>
      </w:r>
      <w:r w:rsidRPr="00D5075B" w:rsidR="001D5ECC">
        <w:t>met</w:t>
      </w:r>
      <w:r w:rsidRPr="00D5075B" w:rsidR="007F60FC">
        <w:t xml:space="preserve"> deze maatregelen. </w:t>
      </w:r>
    </w:p>
    <w:bookmarkEnd w:id="5"/>
    <w:bookmarkEnd w:id="6"/>
    <w:p w:rsidRPr="00D5075B" w:rsidR="00323DA3" w:rsidP="000D498C" w:rsidRDefault="00323DA3" w14:paraId="73F5F36E" w14:textId="77777777">
      <w:pPr>
        <w:pStyle w:val="Geenafstand"/>
        <w:rPr>
          <w:color w:val="000000" w:themeColor="text1"/>
          <w:szCs w:val="18"/>
          <w:lang w:val="nl-NL"/>
        </w:rPr>
      </w:pPr>
    </w:p>
    <w:p w:rsidRPr="00D5075B" w:rsidR="00323DA3" w:rsidP="000D498C" w:rsidRDefault="00323DA3" w14:paraId="3E8F43CD" w14:textId="375E671B">
      <w:pPr>
        <w:pStyle w:val="Geenafstand"/>
        <w:rPr>
          <w:b/>
          <w:bCs/>
          <w:color w:val="000000" w:themeColor="text1"/>
          <w:szCs w:val="18"/>
          <w:lang w:val="nl-NL"/>
        </w:rPr>
      </w:pPr>
      <w:r w:rsidRPr="00D5075B">
        <w:rPr>
          <w:b/>
          <w:bCs/>
          <w:color w:val="000000" w:themeColor="text1"/>
          <w:szCs w:val="18"/>
          <w:lang w:val="nl-NL"/>
        </w:rPr>
        <w:t>Lange termijnmaatregelen</w:t>
      </w:r>
    </w:p>
    <w:p w:rsidRPr="00D5075B" w:rsidR="00323DA3" w:rsidP="00765FFB" w:rsidRDefault="00323DA3" w14:paraId="4683BB3C" w14:textId="245A95F6">
      <w:pPr>
        <w:pStyle w:val="broodtekst"/>
      </w:pPr>
      <w:bookmarkStart w:name="_Hlk226115242" w:id="7"/>
      <w:r w:rsidRPr="00D5075B">
        <w:t xml:space="preserve">Voor een structurele en duurzame aanpak zijn aanvullende maatregelen nodig die wetswijzigingen vereisen. Deze worden momenteel verkend. </w:t>
      </w:r>
      <w:r w:rsidRPr="00D5075B" w:rsidR="00A36804">
        <w:t>In vervolg op hetgeen hierover in het coalitieakkoord is</w:t>
      </w:r>
      <w:r w:rsidRPr="00D5075B" w:rsidR="00FF0168">
        <w:t xml:space="preserve"> vermeld</w:t>
      </w:r>
      <w:r w:rsidRPr="00D5075B" w:rsidR="00A36804">
        <w:t xml:space="preserve">, </w:t>
      </w:r>
      <w:r w:rsidRPr="00D5075B" w:rsidR="00407277">
        <w:t xml:space="preserve">verkent </w:t>
      </w:r>
      <w:r w:rsidRPr="00D5075B" w:rsidR="00A36804">
        <w:t xml:space="preserve">het kabinet </w:t>
      </w:r>
      <w:r w:rsidRPr="00D5075B" w:rsidR="00407277">
        <w:t>op dit moment op welke wijze d</w:t>
      </w:r>
      <w:r w:rsidRPr="00D5075B" w:rsidR="00A36804">
        <w:t>i</w:t>
      </w:r>
      <w:r w:rsidRPr="00D5075B" w:rsidR="00407277">
        <w:t xml:space="preserve">e maatregelen nader kunnen worden uitgewerkt. Dit </w:t>
      </w:r>
      <w:r w:rsidRPr="00D5075B">
        <w:t xml:space="preserve">betreft onder meer het beperken van het aantal gemeenten waar erkenningen van buitenlandse (derdelandse) kinderen kunnen plaatsvinden die tot </w:t>
      </w:r>
      <w:r w:rsidRPr="00D5075B" w:rsidR="00D541E2">
        <w:t xml:space="preserve">verkrijging van het </w:t>
      </w:r>
      <w:r w:rsidRPr="00D5075B">
        <w:t>Nederlanderschap</w:t>
      </w:r>
      <w:r w:rsidRPr="00D5075B" w:rsidR="00D60B03">
        <w:t xml:space="preserve"> </w:t>
      </w:r>
      <w:r w:rsidRPr="00D5075B" w:rsidR="00756CD4">
        <w:t>kunnen leiden</w:t>
      </w:r>
      <w:r w:rsidRPr="00D5075B">
        <w:t xml:space="preserve">. </w:t>
      </w:r>
      <w:bookmarkStart w:name="_Hlk226115538" w:id="8"/>
      <w:r w:rsidRPr="00D5075B">
        <w:t xml:space="preserve">Deze maatregel wordt </w:t>
      </w:r>
      <w:r w:rsidRPr="00D5075B" w:rsidR="00407277">
        <w:t xml:space="preserve">in samenhang met de andere maatregelen </w:t>
      </w:r>
      <w:r w:rsidRPr="00D5075B">
        <w:t>interdepartementaal verkend, waarbij wordt bezien hoe deze kan worden vormgegeven binnen het bestaande civielrechtelijke kader, in het bijzonder Boek 1 van het Burgerlijk Wetboek</w:t>
      </w:r>
      <w:bookmarkEnd w:id="8"/>
      <w:r w:rsidRPr="00D5075B" w:rsidR="00E33EC5">
        <w:t>, waarin onder meer de bepalingen inzake erkenning en personen- en familierechtelijke betrekkingen zijn neergelegd.</w:t>
      </w:r>
    </w:p>
    <w:bookmarkEnd w:id="7"/>
    <w:p w:rsidRPr="00D5075B" w:rsidR="00323DA3" w:rsidP="00765FFB" w:rsidRDefault="00323DA3" w14:paraId="46B2B926" w14:textId="77777777">
      <w:pPr>
        <w:pStyle w:val="broodtekst"/>
      </w:pPr>
    </w:p>
    <w:p w:rsidRPr="00D5075B" w:rsidR="00323DA3" w:rsidP="00765FFB" w:rsidRDefault="00323DA3" w14:paraId="5175C42A" w14:textId="68C30A21">
      <w:pPr>
        <w:pStyle w:val="broodtekst"/>
      </w:pPr>
      <w:r w:rsidRPr="00D5075B">
        <w:t xml:space="preserve">Daarnaast wordt bezien </w:t>
      </w:r>
      <w:r w:rsidRPr="00D5075B" w:rsidR="00407277">
        <w:t xml:space="preserve">of en </w:t>
      </w:r>
      <w:r w:rsidRPr="00D5075B">
        <w:t xml:space="preserve">op welke wijze de voorwaarden voor erkenning kunnen </w:t>
      </w:r>
      <w:r w:rsidRPr="00D5075B" w:rsidR="00407277">
        <w:t xml:space="preserve">en moeten </w:t>
      </w:r>
      <w:r w:rsidRPr="00D5075B">
        <w:t xml:space="preserve">worden aangescherpt </w:t>
      </w:r>
      <w:r w:rsidRPr="00D5075B" w:rsidR="00505F23">
        <w:t>wanneer</w:t>
      </w:r>
      <w:r w:rsidRPr="00D5075B">
        <w:t xml:space="preserve"> erkenning leidt tot nationaliteits- of verblijfsrechtelijke gevolgen. </w:t>
      </w:r>
      <w:r w:rsidRPr="00D5075B" w:rsidR="00D60B03">
        <w:t xml:space="preserve">Wat betreft het nationaliteitsgevolg kan worden gedacht aan een eis van biologisch vaderschap voor alle kinderen dan wel het niet meer direct verbinden van het Nederlanderschap aan </w:t>
      </w:r>
      <w:r w:rsidRPr="00D5075B" w:rsidR="00756CD4">
        <w:t xml:space="preserve">de </w:t>
      </w:r>
      <w:r w:rsidRPr="00D5075B" w:rsidR="00D60B03">
        <w:t xml:space="preserve">erkenning </w:t>
      </w:r>
      <w:r w:rsidRPr="00D5075B" w:rsidR="00FD104A">
        <w:t>voor</w:t>
      </w:r>
      <w:r w:rsidRPr="00D5075B" w:rsidR="00D60B03">
        <w:t xml:space="preserve"> kinderen onder de </w:t>
      </w:r>
      <w:r w:rsidRPr="00D5075B" w:rsidR="00A36804">
        <w:t>zeven</w:t>
      </w:r>
      <w:r w:rsidRPr="00D5075B" w:rsidR="00D60B03">
        <w:t xml:space="preserve"> jaar. </w:t>
      </w:r>
      <w:r w:rsidRPr="00D5075B">
        <w:t>Daarbij wordt nadrukkelijk aandacht besteed aan de uitvoerbaarheid en de verhouding tot het belang van het kind en de rechtszekerheid.</w:t>
      </w:r>
    </w:p>
    <w:p w:rsidRPr="00D5075B" w:rsidR="00323DA3" w:rsidP="00765FFB" w:rsidRDefault="00323DA3" w14:paraId="2DF36589" w14:textId="77777777">
      <w:pPr>
        <w:pStyle w:val="broodtekst"/>
      </w:pPr>
    </w:p>
    <w:p w:rsidRPr="00D5075B" w:rsidR="00323DA3" w:rsidP="00765FFB" w:rsidRDefault="00323DA3" w14:paraId="6D8B1049" w14:textId="49A28694">
      <w:pPr>
        <w:pStyle w:val="broodtekst"/>
      </w:pPr>
      <w:r w:rsidRPr="00D5075B">
        <w:t>Voorts wordt het handelingsperspectief van de IND verkend. In dat kader wordt onderzocht of de IND bevoegd kan worden gemaakt om zelfstandig een verzoek tot vernietiging van een erkenning bij de civiele rechter in te dienen.</w:t>
      </w:r>
      <w:r w:rsidRPr="00D5075B" w:rsidR="005822E8">
        <w:t xml:space="preserve"> Besluitvorming over uitbreiding van deze bevoegdheid volgt na afronding van de juridische verkenning.</w:t>
      </w:r>
    </w:p>
    <w:p w:rsidRPr="00D5075B" w:rsidR="00323DA3" w:rsidP="00765FFB" w:rsidRDefault="00323DA3" w14:paraId="0AFCA05B" w14:textId="77777777">
      <w:pPr>
        <w:pStyle w:val="broodtekst"/>
      </w:pPr>
    </w:p>
    <w:p w:rsidRPr="00D5075B" w:rsidR="00323DA3" w:rsidP="00765FFB" w:rsidRDefault="00323DA3" w14:paraId="0E46051C" w14:textId="52E17758">
      <w:pPr>
        <w:pStyle w:val="broodtekst"/>
      </w:pPr>
      <w:bookmarkStart w:name="_Hlk225148241" w:id="9"/>
      <w:r w:rsidRPr="00D5075B">
        <w:t xml:space="preserve">Ten slotte wordt, in overleg met het OM, bezien op welke wijze strafrechtelijke vervolging van schijnerkenners kan worden vormgegeven. Daarbij wordt eerst onderzocht in hoeverre het bestaande strafrechtelijke instrumentarium, waaronder vervolging op grond van valsheid in geschrifte, toereikend is. </w:t>
      </w:r>
      <w:bookmarkStart w:name="_Hlk226115878" w:id="10"/>
      <w:bookmarkEnd w:id="9"/>
      <w:r w:rsidRPr="00D5075B">
        <w:t xml:space="preserve">Met deze gefaseerde aanpak </w:t>
      </w:r>
      <w:r w:rsidRPr="00D5075B" w:rsidR="009F5EED">
        <w:t>beoogt</w:t>
      </w:r>
      <w:r w:rsidRPr="00D5075B">
        <w:t xml:space="preserve"> het kabinet </w:t>
      </w:r>
      <w:r w:rsidRPr="00D5075B" w:rsidR="009F5EED">
        <w:t>bij te dragen aan</w:t>
      </w:r>
      <w:r w:rsidRPr="00D5075B">
        <w:t xml:space="preserve"> een effectievere bestrijding van schijnerkenningen, waarbij zowel op korte termijn concrete stappen worden gezet als </w:t>
      </w:r>
      <w:r w:rsidRPr="00D5075B" w:rsidR="009F5EED">
        <w:t xml:space="preserve">voor de langere termijn mogelijke structurele verbeteringen van het stelsel worden verkend. </w:t>
      </w:r>
      <w:r w:rsidRPr="00D5075B" w:rsidR="00746685">
        <w:t xml:space="preserve">De voortgang </w:t>
      </w:r>
      <w:r w:rsidRPr="00D5075B" w:rsidR="00BB278E">
        <w:t xml:space="preserve">op de verschillende acties </w:t>
      </w:r>
      <w:r w:rsidRPr="00D5075B" w:rsidR="00746685">
        <w:t xml:space="preserve">wordt </w:t>
      </w:r>
      <w:r w:rsidRPr="00D5075B" w:rsidR="009F5EED">
        <w:t>gemonitord</w:t>
      </w:r>
      <w:r w:rsidRPr="00D5075B" w:rsidR="00746685">
        <w:t xml:space="preserve"> en waar nodig </w:t>
      </w:r>
      <w:r w:rsidRPr="00D5075B" w:rsidR="009F5EED">
        <w:t>bijgesteld</w:t>
      </w:r>
      <w:r w:rsidRPr="00D5075B" w:rsidR="00746685">
        <w:t xml:space="preserve">, waarbij </w:t>
      </w:r>
      <w:r w:rsidRPr="00D5075B" w:rsidR="009F5EED">
        <w:t xml:space="preserve">steeds </w:t>
      </w:r>
      <w:r w:rsidRPr="00D5075B" w:rsidR="00746685">
        <w:t xml:space="preserve">zorgvuldig wordt afgewogen </w:t>
      </w:r>
      <w:r w:rsidRPr="00D5075B">
        <w:t>hoe maatregelen zich verhouden tot het belang van het kind, de rechtszekerheid en de positie van bonafide ouders.</w:t>
      </w:r>
    </w:p>
    <w:bookmarkEnd w:id="10"/>
    <w:p w:rsidRPr="00D5075B" w:rsidR="00323DA3" w:rsidP="00765FFB" w:rsidRDefault="00323DA3" w14:paraId="2F3EB4C7" w14:textId="77777777">
      <w:pPr>
        <w:pStyle w:val="broodtekst"/>
      </w:pPr>
    </w:p>
    <w:p w:rsidRPr="00D5075B" w:rsidR="00E21579" w:rsidP="00765FFB" w:rsidRDefault="00E33EC5" w14:paraId="753AEC73" w14:textId="755FC189">
      <w:pPr>
        <w:pStyle w:val="broodtekst"/>
      </w:pPr>
      <w:bookmarkStart w:name="_Hlk226116063" w:id="11"/>
      <w:bookmarkStart w:name="_Hlk226116201" w:id="12"/>
      <w:r w:rsidRPr="00D5075B">
        <w:t>Het kabinet acht</w:t>
      </w:r>
      <w:r w:rsidRPr="00D5075B" w:rsidR="00E21579">
        <w:t xml:space="preserve"> het van belang uw Kamer ook na deze eerste stap goed betrokken te houden bij de verdere uitwerking. Daarom </w:t>
      </w:r>
      <w:r w:rsidRPr="00D5075B">
        <w:t>zal ik</w:t>
      </w:r>
      <w:r w:rsidRPr="00D5075B" w:rsidR="00E21579">
        <w:t xml:space="preserve"> uw Kamer </w:t>
      </w:r>
      <w:r w:rsidRPr="00D5075B" w:rsidR="009F5EED">
        <w:t>voor het zomerreces</w:t>
      </w:r>
      <w:r w:rsidRPr="00D5075B" w:rsidR="00E21579">
        <w:t xml:space="preserve"> van 2026 opnieuw informeren over de stand van zaken op dat moment, alsmede over het volledige pakket aan maatregelen, inclusief de nadere uitwerking van de voorgenomen wetsvoorstellen.</w:t>
      </w:r>
    </w:p>
    <w:bookmarkEnd w:id="11"/>
    <w:p w:rsidRPr="00D5075B" w:rsidR="00E21579" w:rsidP="00765FFB" w:rsidRDefault="00E21579" w14:paraId="0D86EDDE" w14:textId="77777777">
      <w:pPr>
        <w:pStyle w:val="broodtekst"/>
      </w:pPr>
    </w:p>
    <w:p w:rsidRPr="00D5075B" w:rsidR="00E33EC5" w:rsidP="00765FFB" w:rsidRDefault="00E33EC5" w14:paraId="499CD033" w14:textId="77777777">
      <w:pPr>
        <w:pStyle w:val="broodtekst"/>
      </w:pPr>
    </w:p>
    <w:p w:rsidRPr="00D5075B" w:rsidR="00323DA3" w:rsidP="00765FFB" w:rsidRDefault="00323DA3" w14:paraId="4176A7C6" w14:textId="58CDEAA7">
      <w:pPr>
        <w:pStyle w:val="broodtekst"/>
      </w:pPr>
      <w:r w:rsidRPr="00D5075B">
        <w:t>De Minister van Asiel en Migratie</w:t>
      </w:r>
      <w:r w:rsidRPr="00D5075B" w:rsidR="009F5EED">
        <w:t>,</w:t>
      </w:r>
    </w:p>
    <w:bookmarkEnd w:id="0"/>
    <w:bookmarkEnd w:id="1"/>
    <w:p w:rsidRPr="00D5075B" w:rsidR="00A16D54" w:rsidP="000D498C" w:rsidRDefault="00A16D54" w14:paraId="413234D0" w14:textId="77777777">
      <w:pPr>
        <w:spacing w:line="240" w:lineRule="auto"/>
        <w:rPr>
          <w:color w:val="000000" w:themeColor="text1"/>
        </w:rPr>
      </w:pPr>
    </w:p>
    <w:p w:rsidRPr="00D5075B" w:rsidR="00765FFB" w:rsidP="000D498C" w:rsidRDefault="00765FFB" w14:paraId="055EE940" w14:textId="77777777">
      <w:pPr>
        <w:spacing w:line="240" w:lineRule="auto"/>
        <w:rPr>
          <w:color w:val="000000" w:themeColor="text1"/>
        </w:rPr>
      </w:pPr>
    </w:p>
    <w:p w:rsidRPr="00D5075B" w:rsidR="00765FFB" w:rsidP="000D498C" w:rsidRDefault="00765FFB" w14:paraId="3A1F428F" w14:textId="77777777">
      <w:pPr>
        <w:spacing w:line="240" w:lineRule="auto"/>
        <w:rPr>
          <w:color w:val="000000" w:themeColor="text1"/>
        </w:rPr>
      </w:pPr>
    </w:p>
    <w:p w:rsidRPr="00D5075B" w:rsidR="00765FFB" w:rsidP="000D498C" w:rsidRDefault="00765FFB" w14:paraId="17283034" w14:textId="77777777">
      <w:pPr>
        <w:spacing w:line="240" w:lineRule="auto"/>
        <w:rPr>
          <w:color w:val="000000" w:themeColor="text1"/>
        </w:rPr>
      </w:pPr>
    </w:p>
    <w:p w:rsidRPr="000D498C" w:rsidR="00323DA3" w:rsidP="000D498C" w:rsidRDefault="00323DA3" w14:paraId="4E11FFF6" w14:textId="01052890">
      <w:pPr>
        <w:spacing w:line="240" w:lineRule="auto"/>
        <w:rPr>
          <w:color w:val="000000" w:themeColor="text1"/>
        </w:rPr>
      </w:pPr>
      <w:r w:rsidRPr="00D5075B">
        <w:rPr>
          <w:color w:val="000000" w:themeColor="text1"/>
        </w:rPr>
        <w:t>Bart van den Brink</w:t>
      </w:r>
      <w:bookmarkEnd w:id="2"/>
      <w:bookmarkEnd w:id="3"/>
      <w:bookmarkEnd w:id="12"/>
    </w:p>
    <w:sectPr w:rsidRPr="000D498C" w:rsidR="00323DA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4574" w14:textId="77777777" w:rsidR="0037783C" w:rsidRDefault="0037783C">
      <w:pPr>
        <w:spacing w:line="240" w:lineRule="auto"/>
      </w:pPr>
      <w:r>
        <w:separator/>
      </w:r>
    </w:p>
  </w:endnote>
  <w:endnote w:type="continuationSeparator" w:id="0">
    <w:p w14:paraId="01633124" w14:textId="77777777" w:rsidR="0037783C" w:rsidRDefault="00377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462D" w14:textId="77777777" w:rsidR="00A16D54" w:rsidRDefault="00A16D5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13D6" w14:textId="77777777" w:rsidR="0037783C" w:rsidRDefault="0037783C">
      <w:pPr>
        <w:spacing w:line="240" w:lineRule="auto"/>
      </w:pPr>
      <w:r>
        <w:separator/>
      </w:r>
    </w:p>
  </w:footnote>
  <w:footnote w:type="continuationSeparator" w:id="0">
    <w:p w14:paraId="2A74C3D5" w14:textId="77777777" w:rsidR="0037783C" w:rsidRDefault="0037783C">
      <w:pPr>
        <w:spacing w:line="240" w:lineRule="auto"/>
      </w:pPr>
      <w:r>
        <w:continuationSeparator/>
      </w:r>
    </w:p>
  </w:footnote>
  <w:footnote w:id="1">
    <w:p w14:paraId="1EA873B1" w14:textId="77777777" w:rsidR="005C1CE4" w:rsidRPr="00DD3DAC" w:rsidRDefault="005C1CE4" w:rsidP="005C1CE4">
      <w:pPr>
        <w:pStyle w:val="Voetnoottekst"/>
        <w:rPr>
          <w:sz w:val="14"/>
          <w:szCs w:val="14"/>
        </w:rPr>
      </w:pPr>
      <w:r w:rsidRPr="00DD3DAC">
        <w:rPr>
          <w:rStyle w:val="Voetnootmarkering"/>
          <w:sz w:val="14"/>
          <w:szCs w:val="14"/>
        </w:rPr>
        <w:footnoteRef/>
      </w:r>
      <w:r w:rsidRPr="00DD3DAC">
        <w:rPr>
          <w:sz w:val="14"/>
          <w:szCs w:val="14"/>
        </w:rPr>
        <w:t xml:space="preserve"> </w:t>
      </w:r>
      <w:hyperlink r:id="rId1" w:history="1">
        <w:r w:rsidRPr="00DD3DAC">
          <w:rPr>
            <w:rStyle w:val="Hyperlink"/>
            <w:sz w:val="14"/>
            <w:szCs w:val="14"/>
          </w:rPr>
          <w:t>https://www.tweedekamer.nl/kamerstukken/kamervragen/detail?did=2026D10936&amp;id=2026Z04760</w:t>
        </w:r>
      </w:hyperlink>
      <w:r w:rsidRPr="00DD3DAC">
        <w:rPr>
          <w:sz w:val="14"/>
          <w:szCs w:val="14"/>
        </w:rPr>
        <w:t xml:space="preserve"> </w:t>
      </w:r>
    </w:p>
  </w:footnote>
  <w:footnote w:id="2">
    <w:p w14:paraId="1DFE4402" w14:textId="77777777" w:rsidR="00477CAC" w:rsidRPr="00477CAC" w:rsidRDefault="00477CAC" w:rsidP="00477CAC">
      <w:pPr>
        <w:pStyle w:val="Geenafstand"/>
        <w:rPr>
          <w:sz w:val="14"/>
          <w:szCs w:val="14"/>
          <w:lang w:val="nl-NL"/>
        </w:rPr>
      </w:pPr>
      <w:r>
        <w:rPr>
          <w:rStyle w:val="Voetnootmarkering"/>
        </w:rPr>
        <w:footnoteRef/>
      </w:r>
      <w:r w:rsidRPr="00477CAC">
        <w:rPr>
          <w:lang w:val="nl-NL"/>
        </w:rPr>
        <w:t xml:space="preserve"> </w:t>
      </w:r>
      <w:r w:rsidRPr="00477CAC">
        <w:rPr>
          <w:sz w:val="14"/>
          <w:szCs w:val="14"/>
          <w:lang w:val="nl-NL"/>
        </w:rPr>
        <w:t>Disclaimer: De cijfers kunnen afwijken van eerdere cijfers over eenzelfde periode in vorige</w:t>
      </w:r>
    </w:p>
    <w:p w14:paraId="3E83D579" w14:textId="77777777" w:rsidR="00477CAC" w:rsidRPr="00477CAC" w:rsidRDefault="00477CAC" w:rsidP="00477CAC">
      <w:pPr>
        <w:pStyle w:val="Geenafstand"/>
        <w:rPr>
          <w:sz w:val="14"/>
          <w:szCs w:val="14"/>
          <w:lang w:val="nl-NL"/>
        </w:rPr>
      </w:pPr>
      <w:r w:rsidRPr="00477CAC">
        <w:rPr>
          <w:sz w:val="14"/>
          <w:szCs w:val="14"/>
          <w:lang w:val="nl-NL"/>
        </w:rPr>
        <w:t>rapportages, omdat de cijfers zijn geactualiseerd. In een aantal zaken worden correcties uitgevoerd</w:t>
      </w:r>
    </w:p>
    <w:p w14:paraId="62A14724" w14:textId="77777777" w:rsidR="00477CAC" w:rsidRPr="00477CAC" w:rsidRDefault="00477CAC" w:rsidP="00477CAC">
      <w:pPr>
        <w:pStyle w:val="Geenafstand"/>
        <w:rPr>
          <w:sz w:val="14"/>
          <w:szCs w:val="14"/>
          <w:lang w:val="nl-NL"/>
        </w:rPr>
      </w:pPr>
      <w:r w:rsidRPr="00477CAC">
        <w:rPr>
          <w:sz w:val="14"/>
          <w:szCs w:val="14"/>
          <w:lang w:val="nl-NL"/>
        </w:rPr>
        <w:t>na het verstrijken van de rapportageperiode die pas zichtbaar worden in cijfers met een latere</w:t>
      </w:r>
    </w:p>
    <w:p w14:paraId="60331528" w14:textId="77777777" w:rsidR="00477CAC" w:rsidRPr="00477CAC" w:rsidRDefault="00477CAC" w:rsidP="00477CAC">
      <w:pPr>
        <w:pStyle w:val="Geenafstand"/>
        <w:rPr>
          <w:sz w:val="14"/>
          <w:szCs w:val="14"/>
          <w:lang w:val="nl-NL"/>
        </w:rPr>
      </w:pPr>
      <w:r w:rsidRPr="00477CAC">
        <w:rPr>
          <w:sz w:val="14"/>
          <w:szCs w:val="14"/>
          <w:lang w:val="nl-NL"/>
        </w:rPr>
        <w:t>peildatum. Alle cijfers (zowel de totalen als de verschillende deelcijfers) zijn afgerond op tientallen.</w:t>
      </w:r>
    </w:p>
    <w:p w14:paraId="22BF7AA5" w14:textId="77777777" w:rsidR="00477CAC" w:rsidRPr="00477CAC" w:rsidRDefault="00477CAC" w:rsidP="00477CAC">
      <w:pPr>
        <w:pStyle w:val="Geenafstand"/>
        <w:rPr>
          <w:sz w:val="14"/>
          <w:szCs w:val="14"/>
          <w:lang w:val="nl-NL"/>
        </w:rPr>
      </w:pPr>
      <w:r w:rsidRPr="00477CAC">
        <w:rPr>
          <w:sz w:val="14"/>
          <w:szCs w:val="14"/>
          <w:lang w:val="nl-NL"/>
        </w:rPr>
        <w:t>Cijfers tussen 0-9 worden vermeld als &lt; 10. Door de afrondingen kan een ogenschijnlijk verschil</w:t>
      </w:r>
    </w:p>
    <w:p w14:paraId="16DAC569" w14:textId="1288E3B1" w:rsidR="00477CAC" w:rsidRPr="00477CAC" w:rsidRDefault="00477CAC" w:rsidP="00477CAC">
      <w:pPr>
        <w:pStyle w:val="Geenafstand"/>
        <w:rPr>
          <w:sz w:val="14"/>
          <w:szCs w:val="14"/>
          <w:lang w:val="nl-NL"/>
        </w:rPr>
      </w:pPr>
      <w:r w:rsidRPr="00477CAC">
        <w:rPr>
          <w:sz w:val="14"/>
          <w:szCs w:val="14"/>
          <w:lang w:val="nl-NL"/>
        </w:rPr>
        <w:t>ontstaan tussen de eindtotalen en de optelsommen van de verschillende deelcijfers.</w:t>
      </w:r>
    </w:p>
  </w:footnote>
  <w:footnote w:id="3">
    <w:p w14:paraId="5A83261E" w14:textId="77777777" w:rsidR="00765FFB" w:rsidRPr="005C1CE4" w:rsidRDefault="00765FFB" w:rsidP="00765FFB">
      <w:pPr>
        <w:pStyle w:val="Voetnoottekst"/>
        <w:rPr>
          <w:sz w:val="14"/>
          <w:szCs w:val="14"/>
        </w:rPr>
      </w:pPr>
      <w:r w:rsidRPr="005C1CE4">
        <w:rPr>
          <w:rStyle w:val="Voetnootmarkering"/>
          <w:sz w:val="14"/>
          <w:szCs w:val="14"/>
        </w:rPr>
        <w:footnoteRef/>
      </w:r>
      <w:r w:rsidRPr="005C1CE4">
        <w:rPr>
          <w:sz w:val="14"/>
          <w:szCs w:val="14"/>
        </w:rPr>
        <w:t xml:space="preserve"> </w:t>
      </w:r>
      <w:hyperlink r:id="rId2" w:history="1">
        <w:r w:rsidRPr="005C1CE4">
          <w:rPr>
            <w:rStyle w:val="Hyperlink"/>
            <w:sz w:val="14"/>
            <w:szCs w:val="14"/>
          </w:rPr>
          <w:t>Aan de slag - Coalitieakkoord 2026-2030 | Kabinetsformatie</w:t>
        </w:r>
      </w:hyperlink>
    </w:p>
  </w:footnote>
  <w:footnote w:id="4">
    <w:p w14:paraId="4F0BE996" w14:textId="3DF3E3C1" w:rsidR="005C1CE4" w:rsidRPr="005C1CE4" w:rsidRDefault="005C1CE4">
      <w:pPr>
        <w:pStyle w:val="Voetnoottekst"/>
        <w:rPr>
          <w:sz w:val="14"/>
          <w:szCs w:val="14"/>
        </w:rPr>
      </w:pPr>
      <w:r w:rsidRPr="005C1CE4">
        <w:rPr>
          <w:rStyle w:val="Voetnootmarkering"/>
          <w:sz w:val="14"/>
          <w:szCs w:val="14"/>
        </w:rPr>
        <w:footnoteRef/>
      </w:r>
      <w:r w:rsidRPr="005C1CE4">
        <w:rPr>
          <w:sz w:val="14"/>
          <w:szCs w:val="14"/>
        </w:rPr>
        <w:t xml:space="preserve"> </w:t>
      </w:r>
      <w:hyperlink r:id="rId3" w:history="1">
        <w:r w:rsidRPr="005C1CE4">
          <w:rPr>
            <w:rStyle w:val="Hyperlink"/>
            <w:sz w:val="14"/>
            <w:szCs w:val="14"/>
          </w:rPr>
          <w:t>Eén man, 25 baby’s: ‘schijnkinderen’ zijn een nieuwe manier om verblijfspapieren te krijgen - NRC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19D0" w14:textId="77777777" w:rsidR="00A16D54" w:rsidRDefault="008964D9">
    <w:r>
      <w:rPr>
        <w:noProof/>
      </w:rPr>
      <mc:AlternateContent>
        <mc:Choice Requires="wps">
          <w:drawing>
            <wp:anchor distT="0" distB="0" distL="0" distR="0" simplePos="0" relativeHeight="251652608" behindDoc="0" locked="1" layoutInCell="1" allowOverlap="1" wp14:anchorId="17AD755E" wp14:editId="747C4DE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6BD39A" w14:textId="77777777" w:rsidR="00A16D54" w:rsidRDefault="008964D9">
                          <w:pPr>
                            <w:pStyle w:val="Referentiegegevensbold"/>
                          </w:pPr>
                          <w:r>
                            <w:t>Directoraat-Generaal Migratie</w:t>
                          </w:r>
                        </w:p>
                        <w:p w14:paraId="79A17529" w14:textId="77777777" w:rsidR="00A16D54" w:rsidRDefault="008964D9">
                          <w:pPr>
                            <w:pStyle w:val="Referentiegegevens"/>
                          </w:pPr>
                          <w:r>
                            <w:t xml:space="preserve">Directie Migratiebeleid </w:t>
                          </w:r>
                        </w:p>
                        <w:p w14:paraId="4218AB44" w14:textId="77777777" w:rsidR="00A16D54" w:rsidRDefault="008964D9">
                          <w:pPr>
                            <w:pStyle w:val="Referentiegegevens"/>
                          </w:pPr>
                          <w:r>
                            <w:t>Toezicht, Regulier en Nationaliteit</w:t>
                          </w:r>
                        </w:p>
                        <w:p w14:paraId="476F35D5" w14:textId="77777777" w:rsidR="00A16D54" w:rsidRDefault="00A16D54">
                          <w:pPr>
                            <w:pStyle w:val="WitregelW2"/>
                          </w:pPr>
                        </w:p>
                        <w:p w14:paraId="1070F5F6" w14:textId="77777777" w:rsidR="00A16D54" w:rsidRDefault="008964D9">
                          <w:pPr>
                            <w:pStyle w:val="Referentiegegevensbold"/>
                          </w:pPr>
                          <w:r>
                            <w:t>Datum</w:t>
                          </w:r>
                        </w:p>
                        <w:p w14:paraId="5898A014" w14:textId="5A5526B3" w:rsidR="00A16D54" w:rsidRDefault="0037783C">
                          <w:pPr>
                            <w:pStyle w:val="Referentiegegevens"/>
                          </w:pPr>
                          <w:sdt>
                            <w:sdtPr>
                              <w:id w:val="-431363160"/>
                              <w:date w:fullDate="2026-04-22T00:00:00Z">
                                <w:dateFormat w:val="d MMMM yyyy"/>
                                <w:lid w:val="nl"/>
                                <w:storeMappedDataAs w:val="dateTime"/>
                                <w:calendar w:val="gregorian"/>
                              </w:date>
                            </w:sdtPr>
                            <w:sdtEndPr/>
                            <w:sdtContent>
                              <w:r w:rsidR="00D5075B">
                                <w:rPr>
                                  <w:lang w:val="nl"/>
                                </w:rPr>
                                <w:t>22 april 2026</w:t>
                              </w:r>
                            </w:sdtContent>
                          </w:sdt>
                        </w:p>
                        <w:p w14:paraId="72420491" w14:textId="77777777" w:rsidR="00A16D54" w:rsidRDefault="00A16D54">
                          <w:pPr>
                            <w:pStyle w:val="WitregelW1"/>
                          </w:pPr>
                        </w:p>
                        <w:p w14:paraId="69B61EB1" w14:textId="77777777" w:rsidR="00A16D54" w:rsidRDefault="008964D9">
                          <w:pPr>
                            <w:pStyle w:val="Referentiegegevensbold"/>
                          </w:pPr>
                          <w:r>
                            <w:t>Onze referentie</w:t>
                          </w:r>
                        </w:p>
                        <w:p w14:paraId="6A87A7DA" w14:textId="77777777" w:rsidR="00D5075B" w:rsidRPr="00D5075B" w:rsidRDefault="00D5075B" w:rsidP="00D5075B">
                          <w:pPr>
                            <w:pStyle w:val="Referentiegegevens"/>
                          </w:pPr>
                          <w:r w:rsidRPr="00D5075B">
                            <w:t>7475435</w:t>
                          </w:r>
                        </w:p>
                        <w:p w14:paraId="0AC45B6C" w14:textId="6B0644BB" w:rsidR="00A16D54" w:rsidRDefault="00A16D54" w:rsidP="00D5075B">
                          <w:pPr>
                            <w:pStyle w:val="Referentiegegevens"/>
                          </w:pPr>
                        </w:p>
                      </w:txbxContent>
                    </wps:txbx>
                    <wps:bodyPr vert="horz" wrap="square" lIns="0" tIns="0" rIns="0" bIns="0" anchor="t" anchorCtr="0"/>
                  </wps:wsp>
                </a:graphicData>
              </a:graphic>
            </wp:anchor>
          </w:drawing>
        </mc:Choice>
        <mc:Fallback>
          <w:pict>
            <v:shapetype w14:anchorId="17AD755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E6BD39A" w14:textId="77777777" w:rsidR="00A16D54" w:rsidRDefault="008964D9">
                    <w:pPr>
                      <w:pStyle w:val="Referentiegegevensbold"/>
                    </w:pPr>
                    <w:r>
                      <w:t>Directoraat-Generaal Migratie</w:t>
                    </w:r>
                  </w:p>
                  <w:p w14:paraId="79A17529" w14:textId="77777777" w:rsidR="00A16D54" w:rsidRDefault="008964D9">
                    <w:pPr>
                      <w:pStyle w:val="Referentiegegevens"/>
                    </w:pPr>
                    <w:r>
                      <w:t xml:space="preserve">Directie Migratiebeleid </w:t>
                    </w:r>
                  </w:p>
                  <w:p w14:paraId="4218AB44" w14:textId="77777777" w:rsidR="00A16D54" w:rsidRDefault="008964D9">
                    <w:pPr>
                      <w:pStyle w:val="Referentiegegevens"/>
                    </w:pPr>
                    <w:r>
                      <w:t>Toezicht, Regulier en Nationaliteit</w:t>
                    </w:r>
                  </w:p>
                  <w:p w14:paraId="476F35D5" w14:textId="77777777" w:rsidR="00A16D54" w:rsidRDefault="00A16D54">
                    <w:pPr>
                      <w:pStyle w:val="WitregelW2"/>
                    </w:pPr>
                  </w:p>
                  <w:p w14:paraId="1070F5F6" w14:textId="77777777" w:rsidR="00A16D54" w:rsidRDefault="008964D9">
                    <w:pPr>
                      <w:pStyle w:val="Referentiegegevensbold"/>
                    </w:pPr>
                    <w:r>
                      <w:t>Datum</w:t>
                    </w:r>
                  </w:p>
                  <w:p w14:paraId="5898A014" w14:textId="5A5526B3" w:rsidR="00A16D54" w:rsidRDefault="0037783C">
                    <w:pPr>
                      <w:pStyle w:val="Referentiegegevens"/>
                    </w:pPr>
                    <w:sdt>
                      <w:sdtPr>
                        <w:id w:val="-431363160"/>
                        <w:date w:fullDate="2026-04-22T00:00:00Z">
                          <w:dateFormat w:val="d MMMM yyyy"/>
                          <w:lid w:val="nl"/>
                          <w:storeMappedDataAs w:val="dateTime"/>
                          <w:calendar w:val="gregorian"/>
                        </w:date>
                      </w:sdtPr>
                      <w:sdtEndPr/>
                      <w:sdtContent>
                        <w:r w:rsidR="00D5075B">
                          <w:rPr>
                            <w:lang w:val="nl"/>
                          </w:rPr>
                          <w:t>22 april 2026</w:t>
                        </w:r>
                      </w:sdtContent>
                    </w:sdt>
                  </w:p>
                  <w:p w14:paraId="72420491" w14:textId="77777777" w:rsidR="00A16D54" w:rsidRDefault="00A16D54">
                    <w:pPr>
                      <w:pStyle w:val="WitregelW1"/>
                    </w:pPr>
                  </w:p>
                  <w:p w14:paraId="69B61EB1" w14:textId="77777777" w:rsidR="00A16D54" w:rsidRDefault="008964D9">
                    <w:pPr>
                      <w:pStyle w:val="Referentiegegevensbold"/>
                    </w:pPr>
                    <w:r>
                      <w:t>Onze referentie</w:t>
                    </w:r>
                  </w:p>
                  <w:p w14:paraId="6A87A7DA" w14:textId="77777777" w:rsidR="00D5075B" w:rsidRPr="00D5075B" w:rsidRDefault="00D5075B" w:rsidP="00D5075B">
                    <w:pPr>
                      <w:pStyle w:val="Referentiegegevens"/>
                    </w:pPr>
                    <w:r w:rsidRPr="00D5075B">
                      <w:t>7475435</w:t>
                    </w:r>
                  </w:p>
                  <w:p w14:paraId="0AC45B6C" w14:textId="6B0644BB" w:rsidR="00A16D54" w:rsidRDefault="00A16D54" w:rsidP="00D5075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FC6281B" wp14:editId="4FFD77D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0B1AC17" w14:textId="77777777" w:rsidR="008964D9" w:rsidRDefault="008964D9"/>
                      </w:txbxContent>
                    </wps:txbx>
                    <wps:bodyPr vert="horz" wrap="square" lIns="0" tIns="0" rIns="0" bIns="0" anchor="t" anchorCtr="0"/>
                  </wps:wsp>
                </a:graphicData>
              </a:graphic>
            </wp:anchor>
          </w:drawing>
        </mc:Choice>
        <mc:Fallback>
          <w:pict>
            <v:shape w14:anchorId="5FC6281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0B1AC17" w14:textId="77777777" w:rsidR="008964D9" w:rsidRDefault="008964D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9EB3963" wp14:editId="6005735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B8FAE1" w14:textId="09765D5E" w:rsidR="00A16D54" w:rsidRDefault="008964D9">
                          <w:pPr>
                            <w:pStyle w:val="Referentiegegevens"/>
                          </w:pPr>
                          <w:r>
                            <w:t xml:space="preserve">Pagina </w:t>
                          </w:r>
                          <w:r>
                            <w:fldChar w:fldCharType="begin"/>
                          </w:r>
                          <w:r>
                            <w:instrText>PAGE</w:instrText>
                          </w:r>
                          <w:r>
                            <w:fldChar w:fldCharType="separate"/>
                          </w:r>
                          <w:r w:rsidR="00F55439">
                            <w:rPr>
                              <w:noProof/>
                            </w:rPr>
                            <w:t>2</w:t>
                          </w:r>
                          <w:r>
                            <w:fldChar w:fldCharType="end"/>
                          </w:r>
                          <w:r>
                            <w:t xml:space="preserve"> van </w:t>
                          </w:r>
                          <w:r>
                            <w:fldChar w:fldCharType="begin"/>
                          </w:r>
                          <w:r>
                            <w:instrText>NUMPAGES</w:instrText>
                          </w:r>
                          <w:r>
                            <w:fldChar w:fldCharType="separate"/>
                          </w:r>
                          <w:r w:rsidR="00F55439">
                            <w:rPr>
                              <w:noProof/>
                            </w:rPr>
                            <w:t>1</w:t>
                          </w:r>
                          <w:r>
                            <w:fldChar w:fldCharType="end"/>
                          </w:r>
                        </w:p>
                      </w:txbxContent>
                    </wps:txbx>
                    <wps:bodyPr vert="horz" wrap="square" lIns="0" tIns="0" rIns="0" bIns="0" anchor="t" anchorCtr="0"/>
                  </wps:wsp>
                </a:graphicData>
              </a:graphic>
            </wp:anchor>
          </w:drawing>
        </mc:Choice>
        <mc:Fallback>
          <w:pict>
            <v:shape w14:anchorId="49EB396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3B8FAE1" w14:textId="09765D5E" w:rsidR="00A16D54" w:rsidRDefault="008964D9">
                    <w:pPr>
                      <w:pStyle w:val="Referentiegegevens"/>
                    </w:pPr>
                    <w:r>
                      <w:t xml:space="preserve">Pagina </w:t>
                    </w:r>
                    <w:r>
                      <w:fldChar w:fldCharType="begin"/>
                    </w:r>
                    <w:r>
                      <w:instrText>PAGE</w:instrText>
                    </w:r>
                    <w:r>
                      <w:fldChar w:fldCharType="separate"/>
                    </w:r>
                    <w:r w:rsidR="00F55439">
                      <w:rPr>
                        <w:noProof/>
                      </w:rPr>
                      <w:t>2</w:t>
                    </w:r>
                    <w:r>
                      <w:fldChar w:fldCharType="end"/>
                    </w:r>
                    <w:r>
                      <w:t xml:space="preserve"> van </w:t>
                    </w:r>
                    <w:r>
                      <w:fldChar w:fldCharType="begin"/>
                    </w:r>
                    <w:r>
                      <w:instrText>NUMPAGES</w:instrText>
                    </w:r>
                    <w:r>
                      <w:fldChar w:fldCharType="separate"/>
                    </w:r>
                    <w:r w:rsidR="00F5543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5764" w14:textId="77777777" w:rsidR="00A16D54" w:rsidRDefault="008964D9">
    <w:pPr>
      <w:spacing w:after="6377" w:line="14" w:lineRule="exact"/>
    </w:pPr>
    <w:r>
      <w:rPr>
        <w:noProof/>
      </w:rPr>
      <mc:AlternateContent>
        <mc:Choice Requires="wps">
          <w:drawing>
            <wp:anchor distT="0" distB="0" distL="0" distR="0" simplePos="0" relativeHeight="251655680" behindDoc="0" locked="1" layoutInCell="1" allowOverlap="1" wp14:anchorId="4C26AB6B" wp14:editId="028B076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071A6A" w14:textId="77777777" w:rsidR="00F55439" w:rsidRDefault="008964D9">
                          <w:r>
                            <w:t xml:space="preserve">Aan de Voorzitter van de Tweede Kamer </w:t>
                          </w:r>
                        </w:p>
                        <w:p w14:paraId="5DB44DC6" w14:textId="28A6C603" w:rsidR="00A16D54" w:rsidRDefault="008964D9">
                          <w:r>
                            <w:t>der Staten-Generaal</w:t>
                          </w:r>
                        </w:p>
                        <w:p w14:paraId="6918A042" w14:textId="77777777" w:rsidR="00A16D54" w:rsidRDefault="008964D9">
                          <w:r>
                            <w:t xml:space="preserve">Postbus 20018 </w:t>
                          </w:r>
                        </w:p>
                        <w:p w14:paraId="70C9036D" w14:textId="77777777" w:rsidR="00A16D54" w:rsidRDefault="008964D9">
                          <w:r>
                            <w:t>2500 EA  DEN HAAG</w:t>
                          </w:r>
                        </w:p>
                      </w:txbxContent>
                    </wps:txbx>
                    <wps:bodyPr vert="horz" wrap="square" lIns="0" tIns="0" rIns="0" bIns="0" anchor="t" anchorCtr="0"/>
                  </wps:wsp>
                </a:graphicData>
              </a:graphic>
            </wp:anchor>
          </w:drawing>
        </mc:Choice>
        <mc:Fallback>
          <w:pict>
            <v:shapetype w14:anchorId="4C26AB6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1071A6A" w14:textId="77777777" w:rsidR="00F55439" w:rsidRDefault="008964D9">
                    <w:r>
                      <w:t xml:space="preserve">Aan de Voorzitter van de Tweede Kamer </w:t>
                    </w:r>
                  </w:p>
                  <w:p w14:paraId="5DB44DC6" w14:textId="28A6C603" w:rsidR="00A16D54" w:rsidRDefault="008964D9">
                    <w:r>
                      <w:t>der Staten-Generaal</w:t>
                    </w:r>
                  </w:p>
                  <w:p w14:paraId="6918A042" w14:textId="77777777" w:rsidR="00A16D54" w:rsidRDefault="008964D9">
                    <w:r>
                      <w:t xml:space="preserve">Postbus 20018 </w:t>
                    </w:r>
                  </w:p>
                  <w:p w14:paraId="70C9036D" w14:textId="77777777" w:rsidR="00A16D54" w:rsidRDefault="008964D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AA7EAF6" wp14:editId="4E3F5D54">
              <wp:simplePos x="0" y="0"/>
              <wp:positionH relativeFrom="margin">
                <wp:align>right</wp:align>
              </wp:positionH>
              <wp:positionV relativeFrom="page">
                <wp:posOffset>3355340</wp:posOffset>
              </wp:positionV>
              <wp:extent cx="4787900" cy="5486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86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6D54" w14:paraId="3F96D090" w14:textId="77777777">
                            <w:trPr>
                              <w:trHeight w:val="240"/>
                            </w:trPr>
                            <w:tc>
                              <w:tcPr>
                                <w:tcW w:w="1140" w:type="dxa"/>
                              </w:tcPr>
                              <w:p w14:paraId="0150A817" w14:textId="77777777" w:rsidR="00A16D54" w:rsidRDefault="008964D9">
                                <w:r>
                                  <w:t>Datum</w:t>
                                </w:r>
                              </w:p>
                            </w:tc>
                            <w:tc>
                              <w:tcPr>
                                <w:tcW w:w="5918" w:type="dxa"/>
                              </w:tcPr>
                              <w:p w14:paraId="0E4D1E79" w14:textId="662F1363" w:rsidR="00A16D54" w:rsidRDefault="0037783C">
                                <w:sdt>
                                  <w:sdtPr>
                                    <w:id w:val="-1571187734"/>
                                    <w:date w:fullDate="2026-04-22T00:00:00Z">
                                      <w:dateFormat w:val="d MMMM yyyy"/>
                                      <w:lid w:val="nl"/>
                                      <w:storeMappedDataAs w:val="dateTime"/>
                                      <w:calendar w:val="gregorian"/>
                                    </w:date>
                                  </w:sdtPr>
                                  <w:sdtEndPr/>
                                  <w:sdtContent>
                                    <w:r w:rsidR="00D5075B">
                                      <w:rPr>
                                        <w:lang w:val="nl"/>
                                      </w:rPr>
                                      <w:t>22 april 2026</w:t>
                                    </w:r>
                                  </w:sdtContent>
                                </w:sdt>
                              </w:p>
                            </w:tc>
                          </w:tr>
                          <w:tr w:rsidR="00A16D54" w14:paraId="4852043B" w14:textId="77777777">
                            <w:trPr>
                              <w:trHeight w:val="240"/>
                            </w:trPr>
                            <w:tc>
                              <w:tcPr>
                                <w:tcW w:w="1140" w:type="dxa"/>
                              </w:tcPr>
                              <w:p w14:paraId="17CC0A08" w14:textId="77777777" w:rsidR="00A16D54" w:rsidRDefault="008964D9">
                                <w:r>
                                  <w:t>Betreft</w:t>
                                </w:r>
                              </w:p>
                            </w:tc>
                            <w:tc>
                              <w:tcPr>
                                <w:tcW w:w="5918" w:type="dxa"/>
                              </w:tcPr>
                              <w:p w14:paraId="09A98B4F" w14:textId="0C393609" w:rsidR="00A16D54" w:rsidRDefault="00323DA3">
                                <w:r>
                                  <w:t>Maatregelen rondom het aanpakken van schijnerkenningen</w:t>
                                </w:r>
                              </w:p>
                            </w:tc>
                          </w:tr>
                        </w:tbl>
                        <w:p w14:paraId="0D791D8F" w14:textId="77777777" w:rsidR="008964D9" w:rsidRDefault="008964D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AA7EAF6" id="46feebd0-aa3c-11ea-a756-beb5f67e67be" o:spid="_x0000_s1030" type="#_x0000_t202" style="position:absolute;margin-left:325.8pt;margin-top:264.2pt;width:377pt;height:43.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6D54" w14:paraId="3F96D090" w14:textId="77777777">
                      <w:trPr>
                        <w:trHeight w:val="240"/>
                      </w:trPr>
                      <w:tc>
                        <w:tcPr>
                          <w:tcW w:w="1140" w:type="dxa"/>
                        </w:tcPr>
                        <w:p w14:paraId="0150A817" w14:textId="77777777" w:rsidR="00A16D54" w:rsidRDefault="008964D9">
                          <w:r>
                            <w:t>Datum</w:t>
                          </w:r>
                        </w:p>
                      </w:tc>
                      <w:tc>
                        <w:tcPr>
                          <w:tcW w:w="5918" w:type="dxa"/>
                        </w:tcPr>
                        <w:p w14:paraId="0E4D1E79" w14:textId="662F1363" w:rsidR="00A16D54" w:rsidRDefault="0037783C">
                          <w:sdt>
                            <w:sdtPr>
                              <w:id w:val="-1571187734"/>
                              <w:date w:fullDate="2026-04-22T00:00:00Z">
                                <w:dateFormat w:val="d MMMM yyyy"/>
                                <w:lid w:val="nl"/>
                                <w:storeMappedDataAs w:val="dateTime"/>
                                <w:calendar w:val="gregorian"/>
                              </w:date>
                            </w:sdtPr>
                            <w:sdtEndPr/>
                            <w:sdtContent>
                              <w:r w:rsidR="00D5075B">
                                <w:rPr>
                                  <w:lang w:val="nl"/>
                                </w:rPr>
                                <w:t>22 april 2026</w:t>
                              </w:r>
                            </w:sdtContent>
                          </w:sdt>
                        </w:p>
                      </w:tc>
                    </w:tr>
                    <w:tr w:rsidR="00A16D54" w14:paraId="4852043B" w14:textId="77777777">
                      <w:trPr>
                        <w:trHeight w:val="240"/>
                      </w:trPr>
                      <w:tc>
                        <w:tcPr>
                          <w:tcW w:w="1140" w:type="dxa"/>
                        </w:tcPr>
                        <w:p w14:paraId="17CC0A08" w14:textId="77777777" w:rsidR="00A16D54" w:rsidRDefault="008964D9">
                          <w:r>
                            <w:t>Betreft</w:t>
                          </w:r>
                        </w:p>
                      </w:tc>
                      <w:tc>
                        <w:tcPr>
                          <w:tcW w:w="5918" w:type="dxa"/>
                        </w:tcPr>
                        <w:p w14:paraId="09A98B4F" w14:textId="0C393609" w:rsidR="00A16D54" w:rsidRDefault="00323DA3">
                          <w:r>
                            <w:t>Maatregelen rondom het aanpakken van schijnerkenningen</w:t>
                          </w:r>
                        </w:p>
                      </w:tc>
                    </w:tr>
                  </w:tbl>
                  <w:p w14:paraId="0D791D8F" w14:textId="77777777" w:rsidR="008964D9" w:rsidRDefault="008964D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7E45A91" wp14:editId="3E7356A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5CE419" w14:textId="77777777" w:rsidR="00A16D54" w:rsidRDefault="008964D9">
                          <w:pPr>
                            <w:pStyle w:val="Referentiegegevensbold"/>
                          </w:pPr>
                          <w:r>
                            <w:t>Directoraat-Generaal Migratie</w:t>
                          </w:r>
                        </w:p>
                        <w:p w14:paraId="6BA7613B" w14:textId="77777777" w:rsidR="00A16D54" w:rsidRDefault="008964D9">
                          <w:pPr>
                            <w:pStyle w:val="Referentiegegevens"/>
                          </w:pPr>
                          <w:r>
                            <w:t xml:space="preserve">Directie Migratiebeleid </w:t>
                          </w:r>
                        </w:p>
                        <w:p w14:paraId="0F49FF96" w14:textId="77777777" w:rsidR="00A16D54" w:rsidRDefault="008964D9">
                          <w:pPr>
                            <w:pStyle w:val="Referentiegegevens"/>
                          </w:pPr>
                          <w:r>
                            <w:t>Toezicht, Regulier en Nationaliteit</w:t>
                          </w:r>
                        </w:p>
                        <w:p w14:paraId="24DEC761" w14:textId="77777777" w:rsidR="00A16D54" w:rsidRDefault="00A16D54">
                          <w:pPr>
                            <w:pStyle w:val="WitregelW1"/>
                          </w:pPr>
                        </w:p>
                        <w:p w14:paraId="11939C53" w14:textId="77777777" w:rsidR="00A16D54" w:rsidRPr="00DB4C03" w:rsidRDefault="008964D9">
                          <w:pPr>
                            <w:pStyle w:val="Referentiegegevens"/>
                            <w:rPr>
                              <w:lang w:val="de-DE"/>
                            </w:rPr>
                          </w:pPr>
                          <w:proofErr w:type="spellStart"/>
                          <w:r w:rsidRPr="00DB4C03">
                            <w:rPr>
                              <w:lang w:val="de-DE"/>
                            </w:rPr>
                            <w:t>Turfmarkt</w:t>
                          </w:r>
                          <w:proofErr w:type="spellEnd"/>
                          <w:r w:rsidRPr="00DB4C03">
                            <w:rPr>
                              <w:lang w:val="de-DE"/>
                            </w:rPr>
                            <w:t xml:space="preserve"> 147</w:t>
                          </w:r>
                        </w:p>
                        <w:p w14:paraId="45360331" w14:textId="77777777" w:rsidR="00F55439" w:rsidRPr="00DB4C03" w:rsidRDefault="008964D9">
                          <w:pPr>
                            <w:pStyle w:val="Referentiegegevens"/>
                            <w:rPr>
                              <w:lang w:val="de-DE"/>
                            </w:rPr>
                          </w:pPr>
                          <w:r w:rsidRPr="00DB4C03">
                            <w:rPr>
                              <w:lang w:val="de-DE"/>
                            </w:rPr>
                            <w:t xml:space="preserve">2511 DP Den Haag </w:t>
                          </w:r>
                        </w:p>
                        <w:p w14:paraId="68040EDB" w14:textId="77777777" w:rsidR="00F55439" w:rsidRPr="00DB4C03" w:rsidRDefault="008964D9">
                          <w:pPr>
                            <w:pStyle w:val="Referentiegegevens"/>
                            <w:rPr>
                              <w:lang w:val="de-DE"/>
                            </w:rPr>
                          </w:pPr>
                          <w:r w:rsidRPr="00DB4C03">
                            <w:rPr>
                              <w:lang w:val="de-DE"/>
                            </w:rPr>
                            <w:t xml:space="preserve">Postbus 20301 </w:t>
                          </w:r>
                        </w:p>
                        <w:p w14:paraId="66E0C596" w14:textId="44255A3F" w:rsidR="00A16D54" w:rsidRPr="00DB4C03" w:rsidRDefault="008964D9">
                          <w:pPr>
                            <w:pStyle w:val="Referentiegegevens"/>
                            <w:rPr>
                              <w:lang w:val="de-DE"/>
                            </w:rPr>
                          </w:pPr>
                          <w:r w:rsidRPr="00DB4C03">
                            <w:rPr>
                              <w:lang w:val="de-DE"/>
                            </w:rPr>
                            <w:t xml:space="preserve">2500 EH Den Haag  </w:t>
                          </w:r>
                        </w:p>
                        <w:p w14:paraId="5808F67D" w14:textId="77777777" w:rsidR="00A16D54" w:rsidRPr="00DB4C03" w:rsidRDefault="008964D9">
                          <w:pPr>
                            <w:pStyle w:val="Referentiegegevens"/>
                            <w:rPr>
                              <w:lang w:val="de-DE"/>
                            </w:rPr>
                          </w:pPr>
                          <w:r w:rsidRPr="00DB4C03">
                            <w:rPr>
                              <w:lang w:val="de-DE"/>
                            </w:rPr>
                            <w:t>www.rijksoverheid.nl/jenv</w:t>
                          </w:r>
                        </w:p>
                        <w:p w14:paraId="6AE501EF" w14:textId="77777777" w:rsidR="00A16D54" w:rsidRPr="00DB4C03" w:rsidRDefault="00A16D54">
                          <w:pPr>
                            <w:pStyle w:val="WitregelW2"/>
                            <w:rPr>
                              <w:lang w:val="de-DE"/>
                            </w:rPr>
                          </w:pPr>
                        </w:p>
                        <w:p w14:paraId="6E881692" w14:textId="77777777" w:rsidR="00A16D54" w:rsidRDefault="008964D9">
                          <w:pPr>
                            <w:pStyle w:val="Referentiegegevensbold"/>
                          </w:pPr>
                          <w:r>
                            <w:t>Onze referentie</w:t>
                          </w:r>
                        </w:p>
                        <w:p w14:paraId="75D6DCD7" w14:textId="4C12F1E2" w:rsidR="00A16D54" w:rsidRPr="00D5075B" w:rsidRDefault="00D5075B" w:rsidP="00D5075B">
                          <w:pPr>
                            <w:pStyle w:val="Referentiegegevens"/>
                          </w:pPr>
                          <w:r w:rsidRPr="00D5075B">
                            <w:t>7475435</w:t>
                          </w:r>
                        </w:p>
                      </w:txbxContent>
                    </wps:txbx>
                    <wps:bodyPr vert="horz" wrap="square" lIns="0" tIns="0" rIns="0" bIns="0" anchor="t" anchorCtr="0"/>
                  </wps:wsp>
                </a:graphicData>
              </a:graphic>
            </wp:anchor>
          </w:drawing>
        </mc:Choice>
        <mc:Fallback>
          <w:pict>
            <v:shape w14:anchorId="67E45A9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95CE419" w14:textId="77777777" w:rsidR="00A16D54" w:rsidRDefault="008964D9">
                    <w:pPr>
                      <w:pStyle w:val="Referentiegegevensbold"/>
                    </w:pPr>
                    <w:r>
                      <w:t>Directoraat-Generaal Migratie</w:t>
                    </w:r>
                  </w:p>
                  <w:p w14:paraId="6BA7613B" w14:textId="77777777" w:rsidR="00A16D54" w:rsidRDefault="008964D9">
                    <w:pPr>
                      <w:pStyle w:val="Referentiegegevens"/>
                    </w:pPr>
                    <w:r>
                      <w:t xml:space="preserve">Directie Migratiebeleid </w:t>
                    </w:r>
                  </w:p>
                  <w:p w14:paraId="0F49FF96" w14:textId="77777777" w:rsidR="00A16D54" w:rsidRDefault="008964D9">
                    <w:pPr>
                      <w:pStyle w:val="Referentiegegevens"/>
                    </w:pPr>
                    <w:r>
                      <w:t>Toezicht, Regulier en Nationaliteit</w:t>
                    </w:r>
                  </w:p>
                  <w:p w14:paraId="24DEC761" w14:textId="77777777" w:rsidR="00A16D54" w:rsidRDefault="00A16D54">
                    <w:pPr>
                      <w:pStyle w:val="WitregelW1"/>
                    </w:pPr>
                  </w:p>
                  <w:p w14:paraId="11939C53" w14:textId="77777777" w:rsidR="00A16D54" w:rsidRPr="00DB4C03" w:rsidRDefault="008964D9">
                    <w:pPr>
                      <w:pStyle w:val="Referentiegegevens"/>
                      <w:rPr>
                        <w:lang w:val="de-DE"/>
                      </w:rPr>
                    </w:pPr>
                    <w:proofErr w:type="spellStart"/>
                    <w:r w:rsidRPr="00DB4C03">
                      <w:rPr>
                        <w:lang w:val="de-DE"/>
                      </w:rPr>
                      <w:t>Turfmarkt</w:t>
                    </w:r>
                    <w:proofErr w:type="spellEnd"/>
                    <w:r w:rsidRPr="00DB4C03">
                      <w:rPr>
                        <w:lang w:val="de-DE"/>
                      </w:rPr>
                      <w:t xml:space="preserve"> 147</w:t>
                    </w:r>
                  </w:p>
                  <w:p w14:paraId="45360331" w14:textId="77777777" w:rsidR="00F55439" w:rsidRPr="00DB4C03" w:rsidRDefault="008964D9">
                    <w:pPr>
                      <w:pStyle w:val="Referentiegegevens"/>
                      <w:rPr>
                        <w:lang w:val="de-DE"/>
                      </w:rPr>
                    </w:pPr>
                    <w:r w:rsidRPr="00DB4C03">
                      <w:rPr>
                        <w:lang w:val="de-DE"/>
                      </w:rPr>
                      <w:t xml:space="preserve">2511 DP Den Haag </w:t>
                    </w:r>
                  </w:p>
                  <w:p w14:paraId="68040EDB" w14:textId="77777777" w:rsidR="00F55439" w:rsidRPr="00DB4C03" w:rsidRDefault="008964D9">
                    <w:pPr>
                      <w:pStyle w:val="Referentiegegevens"/>
                      <w:rPr>
                        <w:lang w:val="de-DE"/>
                      </w:rPr>
                    </w:pPr>
                    <w:r w:rsidRPr="00DB4C03">
                      <w:rPr>
                        <w:lang w:val="de-DE"/>
                      </w:rPr>
                      <w:t xml:space="preserve">Postbus 20301 </w:t>
                    </w:r>
                  </w:p>
                  <w:p w14:paraId="66E0C596" w14:textId="44255A3F" w:rsidR="00A16D54" w:rsidRPr="00DB4C03" w:rsidRDefault="008964D9">
                    <w:pPr>
                      <w:pStyle w:val="Referentiegegevens"/>
                      <w:rPr>
                        <w:lang w:val="de-DE"/>
                      </w:rPr>
                    </w:pPr>
                    <w:r w:rsidRPr="00DB4C03">
                      <w:rPr>
                        <w:lang w:val="de-DE"/>
                      </w:rPr>
                      <w:t xml:space="preserve">2500 EH Den Haag  </w:t>
                    </w:r>
                  </w:p>
                  <w:p w14:paraId="5808F67D" w14:textId="77777777" w:rsidR="00A16D54" w:rsidRPr="00DB4C03" w:rsidRDefault="008964D9">
                    <w:pPr>
                      <w:pStyle w:val="Referentiegegevens"/>
                      <w:rPr>
                        <w:lang w:val="de-DE"/>
                      </w:rPr>
                    </w:pPr>
                    <w:r w:rsidRPr="00DB4C03">
                      <w:rPr>
                        <w:lang w:val="de-DE"/>
                      </w:rPr>
                      <w:t>www.rijksoverheid.nl/jenv</w:t>
                    </w:r>
                  </w:p>
                  <w:p w14:paraId="6AE501EF" w14:textId="77777777" w:rsidR="00A16D54" w:rsidRPr="00DB4C03" w:rsidRDefault="00A16D54">
                    <w:pPr>
                      <w:pStyle w:val="WitregelW2"/>
                      <w:rPr>
                        <w:lang w:val="de-DE"/>
                      </w:rPr>
                    </w:pPr>
                  </w:p>
                  <w:p w14:paraId="6E881692" w14:textId="77777777" w:rsidR="00A16D54" w:rsidRDefault="008964D9">
                    <w:pPr>
                      <w:pStyle w:val="Referentiegegevensbold"/>
                    </w:pPr>
                    <w:r>
                      <w:t>Onze referentie</w:t>
                    </w:r>
                  </w:p>
                  <w:p w14:paraId="75D6DCD7" w14:textId="4C12F1E2" w:rsidR="00A16D54" w:rsidRPr="00D5075B" w:rsidRDefault="00D5075B" w:rsidP="00D5075B">
                    <w:pPr>
                      <w:pStyle w:val="Referentiegegevens"/>
                    </w:pPr>
                    <w:r w:rsidRPr="00D5075B">
                      <w:t>7475435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9CF0BD1" wp14:editId="47054D0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D23DFF" w14:textId="77777777" w:rsidR="008964D9" w:rsidRDefault="008964D9"/>
                      </w:txbxContent>
                    </wps:txbx>
                    <wps:bodyPr vert="horz" wrap="square" lIns="0" tIns="0" rIns="0" bIns="0" anchor="t" anchorCtr="0"/>
                  </wps:wsp>
                </a:graphicData>
              </a:graphic>
            </wp:anchor>
          </w:drawing>
        </mc:Choice>
        <mc:Fallback>
          <w:pict>
            <v:shape w14:anchorId="69CF0BD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AD23DFF" w14:textId="77777777" w:rsidR="008964D9" w:rsidRDefault="008964D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16817C6" wp14:editId="0164DCC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CA50C0" w14:textId="77777777" w:rsidR="00A16D54" w:rsidRDefault="008964D9">
                          <w:pPr>
                            <w:pStyle w:val="Referentiegegevens"/>
                          </w:pPr>
                          <w:r>
                            <w:t xml:space="preserve">Pagina </w:t>
                          </w:r>
                          <w:r>
                            <w:fldChar w:fldCharType="begin"/>
                          </w:r>
                          <w:r>
                            <w:instrText>PAGE</w:instrText>
                          </w:r>
                          <w:r>
                            <w:fldChar w:fldCharType="separate"/>
                          </w:r>
                          <w:r w:rsidR="00F55439">
                            <w:rPr>
                              <w:noProof/>
                            </w:rPr>
                            <w:t>1</w:t>
                          </w:r>
                          <w:r>
                            <w:fldChar w:fldCharType="end"/>
                          </w:r>
                          <w:r>
                            <w:t xml:space="preserve"> van </w:t>
                          </w:r>
                          <w:r>
                            <w:fldChar w:fldCharType="begin"/>
                          </w:r>
                          <w:r>
                            <w:instrText>NUMPAGES</w:instrText>
                          </w:r>
                          <w:r>
                            <w:fldChar w:fldCharType="separate"/>
                          </w:r>
                          <w:r w:rsidR="00F55439">
                            <w:rPr>
                              <w:noProof/>
                            </w:rPr>
                            <w:t>1</w:t>
                          </w:r>
                          <w:r>
                            <w:fldChar w:fldCharType="end"/>
                          </w:r>
                        </w:p>
                      </w:txbxContent>
                    </wps:txbx>
                    <wps:bodyPr vert="horz" wrap="square" lIns="0" tIns="0" rIns="0" bIns="0" anchor="t" anchorCtr="0"/>
                  </wps:wsp>
                </a:graphicData>
              </a:graphic>
            </wp:anchor>
          </w:drawing>
        </mc:Choice>
        <mc:Fallback>
          <w:pict>
            <v:shape w14:anchorId="316817C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CCA50C0" w14:textId="77777777" w:rsidR="00A16D54" w:rsidRDefault="008964D9">
                    <w:pPr>
                      <w:pStyle w:val="Referentiegegevens"/>
                    </w:pPr>
                    <w:r>
                      <w:t xml:space="preserve">Pagina </w:t>
                    </w:r>
                    <w:r>
                      <w:fldChar w:fldCharType="begin"/>
                    </w:r>
                    <w:r>
                      <w:instrText>PAGE</w:instrText>
                    </w:r>
                    <w:r>
                      <w:fldChar w:fldCharType="separate"/>
                    </w:r>
                    <w:r w:rsidR="00F55439">
                      <w:rPr>
                        <w:noProof/>
                      </w:rPr>
                      <w:t>1</w:t>
                    </w:r>
                    <w:r>
                      <w:fldChar w:fldCharType="end"/>
                    </w:r>
                    <w:r>
                      <w:t xml:space="preserve"> van </w:t>
                    </w:r>
                    <w:r>
                      <w:fldChar w:fldCharType="begin"/>
                    </w:r>
                    <w:r>
                      <w:instrText>NUMPAGES</w:instrText>
                    </w:r>
                    <w:r>
                      <w:fldChar w:fldCharType="separate"/>
                    </w:r>
                    <w:r w:rsidR="00F5543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5775E18" wp14:editId="1F618C5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65FE48" w14:textId="77777777" w:rsidR="00A16D54" w:rsidRDefault="008964D9">
                          <w:pPr>
                            <w:spacing w:line="240" w:lineRule="auto"/>
                          </w:pPr>
                          <w:r>
                            <w:rPr>
                              <w:noProof/>
                            </w:rPr>
                            <w:drawing>
                              <wp:inline distT="0" distB="0" distL="0" distR="0" wp14:anchorId="416021F9" wp14:editId="2004343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775E1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F65FE48" w14:textId="77777777" w:rsidR="00A16D54" w:rsidRDefault="008964D9">
                    <w:pPr>
                      <w:spacing w:line="240" w:lineRule="auto"/>
                    </w:pPr>
                    <w:r>
                      <w:rPr>
                        <w:noProof/>
                      </w:rPr>
                      <w:drawing>
                        <wp:inline distT="0" distB="0" distL="0" distR="0" wp14:anchorId="416021F9" wp14:editId="2004343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C51F833" wp14:editId="6FABB81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2D2CFB" w14:textId="5C8ED570" w:rsidR="00A16D54" w:rsidRDefault="00323DA3">
                          <w:pPr>
                            <w:spacing w:line="240" w:lineRule="auto"/>
                          </w:pPr>
                          <w:bookmarkStart w:id="13" w:name="woordmerk_bk"/>
                          <w:r>
                            <w:rPr>
                              <w:noProof/>
                            </w:rPr>
                            <w:drawing>
                              <wp:inline distT="0" distB="0" distL="0" distR="0" wp14:anchorId="6E9F01C8" wp14:editId="4727301F">
                                <wp:extent cx="2339975" cy="1582626"/>
                                <wp:effectExtent l="0" t="0" r="3175" b="0"/>
                                <wp:docPr id="1927212720" name="Afbeelding 1927212720"/>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1582626"/>
                                        </a:xfrm>
                                        <a:prstGeom prst="rect">
                                          <a:avLst/>
                                        </a:prstGeom>
                                      </pic:spPr>
                                    </pic:pic>
                                  </a:graphicData>
                                </a:graphic>
                              </wp:inline>
                            </w:drawing>
                          </w:r>
                          <w:bookmarkEnd w:id="13"/>
                        </w:p>
                      </w:txbxContent>
                    </wps:txbx>
                    <wps:bodyPr vert="horz" wrap="square" lIns="0" tIns="0" rIns="0" bIns="0" anchor="t" anchorCtr="0"/>
                  </wps:wsp>
                </a:graphicData>
              </a:graphic>
            </wp:anchor>
          </w:drawing>
        </mc:Choice>
        <mc:Fallback>
          <w:pict>
            <v:shape w14:anchorId="7C51F83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02D2CFB" w14:textId="5C8ED570" w:rsidR="00A16D54" w:rsidRDefault="00323DA3">
                    <w:pPr>
                      <w:spacing w:line="240" w:lineRule="auto"/>
                    </w:pPr>
                    <w:bookmarkStart w:id="14" w:name="woordmerk_bk"/>
                    <w:r>
                      <w:rPr>
                        <w:noProof/>
                      </w:rPr>
                      <w:drawing>
                        <wp:inline distT="0" distB="0" distL="0" distR="0" wp14:anchorId="6E9F01C8" wp14:editId="4727301F">
                          <wp:extent cx="2339975" cy="1582626"/>
                          <wp:effectExtent l="0" t="0" r="3175" b="0"/>
                          <wp:docPr id="1927212720" name="Afbeelding 1927212720"/>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1582626"/>
                                  </a:xfrm>
                                  <a:prstGeom prst="rect">
                                    <a:avLst/>
                                  </a:prstGeom>
                                </pic:spPr>
                              </pic:pic>
                            </a:graphicData>
                          </a:graphic>
                        </wp:inline>
                      </w:drawing>
                    </w:r>
                    <w:bookmarkEnd w:id="14"/>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9C35B99" wp14:editId="469DCA6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207474" w14:textId="77777777" w:rsidR="00A16D54" w:rsidRPr="00DB4C03" w:rsidRDefault="008964D9">
                          <w:pPr>
                            <w:pStyle w:val="Referentiegegevens"/>
                            <w:rPr>
                              <w:lang w:val="de-DE"/>
                            </w:rPr>
                          </w:pPr>
                          <w:r w:rsidRPr="00DB4C03">
                            <w:rPr>
                              <w:lang w:val="de-DE"/>
                            </w:rPr>
                            <w:t xml:space="preserve">&gt; </w:t>
                          </w:r>
                          <w:proofErr w:type="spellStart"/>
                          <w:r w:rsidRPr="00DB4C03">
                            <w:rPr>
                              <w:lang w:val="de-DE"/>
                            </w:rPr>
                            <w:t>Retouradres</w:t>
                          </w:r>
                          <w:proofErr w:type="spellEnd"/>
                          <w:r w:rsidRPr="00DB4C03">
                            <w:rPr>
                              <w:lang w:val="de-DE"/>
                            </w:rPr>
                            <w:t xml:space="preserve"> </w:t>
                          </w:r>
                          <w:proofErr w:type="spellStart"/>
                          <w:r w:rsidRPr="00DB4C03">
                            <w:rPr>
                              <w:lang w:val="de-DE"/>
                            </w:rPr>
                            <w:t>Turfmarkt</w:t>
                          </w:r>
                          <w:proofErr w:type="spellEnd"/>
                          <w:r w:rsidRPr="00DB4C03">
                            <w:rPr>
                              <w:lang w:val="de-DE"/>
                            </w:rPr>
                            <w:t xml:space="preserve"> 147 2511 DP Den Haag Postbus 20301 2500 EH Den Haag  </w:t>
                          </w:r>
                        </w:p>
                      </w:txbxContent>
                    </wps:txbx>
                    <wps:bodyPr vert="horz" wrap="square" lIns="0" tIns="0" rIns="0" bIns="0" anchor="t" anchorCtr="0"/>
                  </wps:wsp>
                </a:graphicData>
              </a:graphic>
            </wp:anchor>
          </w:drawing>
        </mc:Choice>
        <mc:Fallback>
          <w:pict>
            <v:shape w14:anchorId="29C35B9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9207474" w14:textId="77777777" w:rsidR="00A16D54" w:rsidRPr="00DB4C03" w:rsidRDefault="008964D9">
                    <w:pPr>
                      <w:pStyle w:val="Referentiegegevens"/>
                      <w:rPr>
                        <w:lang w:val="de-DE"/>
                      </w:rPr>
                    </w:pPr>
                    <w:r w:rsidRPr="00DB4C03">
                      <w:rPr>
                        <w:lang w:val="de-DE"/>
                      </w:rPr>
                      <w:t xml:space="preserve">&gt; </w:t>
                    </w:r>
                    <w:proofErr w:type="spellStart"/>
                    <w:r w:rsidRPr="00DB4C03">
                      <w:rPr>
                        <w:lang w:val="de-DE"/>
                      </w:rPr>
                      <w:t>Retouradres</w:t>
                    </w:r>
                    <w:proofErr w:type="spellEnd"/>
                    <w:r w:rsidRPr="00DB4C03">
                      <w:rPr>
                        <w:lang w:val="de-DE"/>
                      </w:rPr>
                      <w:t xml:space="preserve"> </w:t>
                    </w:r>
                    <w:proofErr w:type="spellStart"/>
                    <w:r w:rsidRPr="00DB4C03">
                      <w:rPr>
                        <w:lang w:val="de-DE"/>
                      </w:rPr>
                      <w:t>Turfmarkt</w:t>
                    </w:r>
                    <w:proofErr w:type="spellEnd"/>
                    <w:r w:rsidRPr="00DB4C03">
                      <w:rPr>
                        <w:lang w:val="de-DE"/>
                      </w:rPr>
                      <w:t xml:space="preserve"> 147 2511 DP Den Haag Postbus 20301 2500 EH Den Haag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4CE09A"/>
    <w:multiLevelType w:val="multilevel"/>
    <w:tmpl w:val="5D8DD68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B18FFDD"/>
    <w:multiLevelType w:val="multilevel"/>
    <w:tmpl w:val="0365C7E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B4CC9D7"/>
    <w:multiLevelType w:val="multilevel"/>
    <w:tmpl w:val="E259BC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A1822CB"/>
    <w:multiLevelType w:val="multilevel"/>
    <w:tmpl w:val="1231AEA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1393EEE"/>
    <w:multiLevelType w:val="multilevel"/>
    <w:tmpl w:val="703B824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9B877FE"/>
    <w:multiLevelType w:val="hybridMultilevel"/>
    <w:tmpl w:val="2F86A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C7381E"/>
    <w:multiLevelType w:val="hybridMultilevel"/>
    <w:tmpl w:val="AF561188"/>
    <w:lvl w:ilvl="0" w:tplc="8CD8DE14">
      <w:start w:val="3"/>
      <w:numFmt w:val="bullet"/>
      <w:lvlText w:val="-"/>
      <w:lvlJc w:val="left"/>
      <w:pPr>
        <w:ind w:left="720" w:hanging="360"/>
      </w:pPr>
      <w:rPr>
        <w:rFonts w:ascii="Verdana" w:eastAsia="Times New Roman" w:hAnsi="Verdana" w:cs="Times New Roman" w:hint="default"/>
      </w:rPr>
    </w:lvl>
    <w:lvl w:ilvl="1" w:tplc="52AAC8B4" w:tentative="1">
      <w:start w:val="1"/>
      <w:numFmt w:val="bullet"/>
      <w:lvlText w:val="o"/>
      <w:lvlJc w:val="left"/>
      <w:pPr>
        <w:ind w:left="1440" w:hanging="360"/>
      </w:pPr>
      <w:rPr>
        <w:rFonts w:ascii="Courier New" w:hAnsi="Courier New" w:cs="Courier New" w:hint="default"/>
      </w:rPr>
    </w:lvl>
    <w:lvl w:ilvl="2" w:tplc="42341EDC" w:tentative="1">
      <w:start w:val="1"/>
      <w:numFmt w:val="bullet"/>
      <w:lvlText w:val=""/>
      <w:lvlJc w:val="left"/>
      <w:pPr>
        <w:ind w:left="2160" w:hanging="360"/>
      </w:pPr>
      <w:rPr>
        <w:rFonts w:ascii="Wingdings" w:hAnsi="Wingdings" w:hint="default"/>
      </w:rPr>
    </w:lvl>
    <w:lvl w:ilvl="3" w:tplc="656AEEFE" w:tentative="1">
      <w:start w:val="1"/>
      <w:numFmt w:val="bullet"/>
      <w:lvlText w:val=""/>
      <w:lvlJc w:val="left"/>
      <w:pPr>
        <w:ind w:left="2880" w:hanging="360"/>
      </w:pPr>
      <w:rPr>
        <w:rFonts w:ascii="Symbol" w:hAnsi="Symbol" w:hint="default"/>
      </w:rPr>
    </w:lvl>
    <w:lvl w:ilvl="4" w:tplc="40E899CE" w:tentative="1">
      <w:start w:val="1"/>
      <w:numFmt w:val="bullet"/>
      <w:lvlText w:val="o"/>
      <w:lvlJc w:val="left"/>
      <w:pPr>
        <w:ind w:left="3600" w:hanging="360"/>
      </w:pPr>
      <w:rPr>
        <w:rFonts w:ascii="Courier New" w:hAnsi="Courier New" w:cs="Courier New" w:hint="default"/>
      </w:rPr>
    </w:lvl>
    <w:lvl w:ilvl="5" w:tplc="E7DEABC8" w:tentative="1">
      <w:start w:val="1"/>
      <w:numFmt w:val="bullet"/>
      <w:lvlText w:val=""/>
      <w:lvlJc w:val="left"/>
      <w:pPr>
        <w:ind w:left="4320" w:hanging="360"/>
      </w:pPr>
      <w:rPr>
        <w:rFonts w:ascii="Wingdings" w:hAnsi="Wingdings" w:hint="default"/>
      </w:rPr>
    </w:lvl>
    <w:lvl w:ilvl="6" w:tplc="83446466" w:tentative="1">
      <w:start w:val="1"/>
      <w:numFmt w:val="bullet"/>
      <w:lvlText w:val=""/>
      <w:lvlJc w:val="left"/>
      <w:pPr>
        <w:ind w:left="5040" w:hanging="360"/>
      </w:pPr>
      <w:rPr>
        <w:rFonts w:ascii="Symbol" w:hAnsi="Symbol" w:hint="default"/>
      </w:rPr>
    </w:lvl>
    <w:lvl w:ilvl="7" w:tplc="3036ED96" w:tentative="1">
      <w:start w:val="1"/>
      <w:numFmt w:val="bullet"/>
      <w:lvlText w:val="o"/>
      <w:lvlJc w:val="left"/>
      <w:pPr>
        <w:ind w:left="5760" w:hanging="360"/>
      </w:pPr>
      <w:rPr>
        <w:rFonts w:ascii="Courier New" w:hAnsi="Courier New" w:cs="Courier New" w:hint="default"/>
      </w:rPr>
    </w:lvl>
    <w:lvl w:ilvl="8" w:tplc="2618E846" w:tentative="1">
      <w:start w:val="1"/>
      <w:numFmt w:val="bullet"/>
      <w:lvlText w:val=""/>
      <w:lvlJc w:val="left"/>
      <w:pPr>
        <w:ind w:left="6480" w:hanging="360"/>
      </w:pPr>
      <w:rPr>
        <w:rFonts w:ascii="Wingdings" w:hAnsi="Wingdings" w:hint="default"/>
      </w:rPr>
    </w:lvl>
  </w:abstractNum>
  <w:abstractNum w:abstractNumId="7" w15:restartNumberingAfterBreak="0">
    <w:nsid w:val="3C6001E5"/>
    <w:multiLevelType w:val="hybridMultilevel"/>
    <w:tmpl w:val="C4266D32"/>
    <w:lvl w:ilvl="0" w:tplc="04130003">
      <w:start w:val="1"/>
      <w:numFmt w:val="bullet"/>
      <w:lvlText w:val="o"/>
      <w:lvlJc w:val="left"/>
      <w:pPr>
        <w:ind w:left="1040" w:hanging="360"/>
      </w:pPr>
      <w:rPr>
        <w:rFonts w:ascii="Courier New" w:hAnsi="Courier New" w:cs="Courier New" w:hint="default"/>
      </w:rPr>
    </w:lvl>
    <w:lvl w:ilvl="1" w:tplc="04130003" w:tentative="1">
      <w:start w:val="1"/>
      <w:numFmt w:val="bullet"/>
      <w:lvlText w:val="o"/>
      <w:lvlJc w:val="left"/>
      <w:pPr>
        <w:ind w:left="1760" w:hanging="360"/>
      </w:pPr>
      <w:rPr>
        <w:rFonts w:ascii="Courier New" w:hAnsi="Courier New" w:cs="Courier New" w:hint="default"/>
      </w:rPr>
    </w:lvl>
    <w:lvl w:ilvl="2" w:tplc="04130005" w:tentative="1">
      <w:start w:val="1"/>
      <w:numFmt w:val="bullet"/>
      <w:lvlText w:val=""/>
      <w:lvlJc w:val="left"/>
      <w:pPr>
        <w:ind w:left="2480" w:hanging="360"/>
      </w:pPr>
      <w:rPr>
        <w:rFonts w:ascii="Wingdings" w:hAnsi="Wingdings" w:hint="default"/>
      </w:rPr>
    </w:lvl>
    <w:lvl w:ilvl="3" w:tplc="04130001" w:tentative="1">
      <w:start w:val="1"/>
      <w:numFmt w:val="bullet"/>
      <w:lvlText w:val=""/>
      <w:lvlJc w:val="left"/>
      <w:pPr>
        <w:ind w:left="3200" w:hanging="360"/>
      </w:pPr>
      <w:rPr>
        <w:rFonts w:ascii="Symbol" w:hAnsi="Symbol" w:hint="default"/>
      </w:rPr>
    </w:lvl>
    <w:lvl w:ilvl="4" w:tplc="04130003" w:tentative="1">
      <w:start w:val="1"/>
      <w:numFmt w:val="bullet"/>
      <w:lvlText w:val="o"/>
      <w:lvlJc w:val="left"/>
      <w:pPr>
        <w:ind w:left="3920" w:hanging="360"/>
      </w:pPr>
      <w:rPr>
        <w:rFonts w:ascii="Courier New" w:hAnsi="Courier New" w:cs="Courier New" w:hint="default"/>
      </w:rPr>
    </w:lvl>
    <w:lvl w:ilvl="5" w:tplc="04130005" w:tentative="1">
      <w:start w:val="1"/>
      <w:numFmt w:val="bullet"/>
      <w:lvlText w:val=""/>
      <w:lvlJc w:val="left"/>
      <w:pPr>
        <w:ind w:left="4640" w:hanging="360"/>
      </w:pPr>
      <w:rPr>
        <w:rFonts w:ascii="Wingdings" w:hAnsi="Wingdings" w:hint="default"/>
      </w:rPr>
    </w:lvl>
    <w:lvl w:ilvl="6" w:tplc="04130001" w:tentative="1">
      <w:start w:val="1"/>
      <w:numFmt w:val="bullet"/>
      <w:lvlText w:val=""/>
      <w:lvlJc w:val="left"/>
      <w:pPr>
        <w:ind w:left="5360" w:hanging="360"/>
      </w:pPr>
      <w:rPr>
        <w:rFonts w:ascii="Symbol" w:hAnsi="Symbol" w:hint="default"/>
      </w:rPr>
    </w:lvl>
    <w:lvl w:ilvl="7" w:tplc="04130003" w:tentative="1">
      <w:start w:val="1"/>
      <w:numFmt w:val="bullet"/>
      <w:lvlText w:val="o"/>
      <w:lvlJc w:val="left"/>
      <w:pPr>
        <w:ind w:left="6080" w:hanging="360"/>
      </w:pPr>
      <w:rPr>
        <w:rFonts w:ascii="Courier New" w:hAnsi="Courier New" w:cs="Courier New" w:hint="default"/>
      </w:rPr>
    </w:lvl>
    <w:lvl w:ilvl="8" w:tplc="04130005" w:tentative="1">
      <w:start w:val="1"/>
      <w:numFmt w:val="bullet"/>
      <w:lvlText w:val=""/>
      <w:lvlJc w:val="left"/>
      <w:pPr>
        <w:ind w:left="6800" w:hanging="360"/>
      </w:pPr>
      <w:rPr>
        <w:rFonts w:ascii="Wingdings" w:hAnsi="Wingdings" w:hint="default"/>
      </w:rPr>
    </w:lvl>
  </w:abstractNum>
  <w:abstractNum w:abstractNumId="8" w15:restartNumberingAfterBreak="0">
    <w:nsid w:val="3F985D65"/>
    <w:multiLevelType w:val="hybridMultilevel"/>
    <w:tmpl w:val="1304F2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B063C2"/>
    <w:multiLevelType w:val="hybridMultilevel"/>
    <w:tmpl w:val="AC8E4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890C4D"/>
    <w:multiLevelType w:val="multilevel"/>
    <w:tmpl w:val="4BF3B78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7C9A012E"/>
    <w:multiLevelType w:val="hybridMultilevel"/>
    <w:tmpl w:val="90B605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57800256">
    <w:abstractNumId w:val="1"/>
  </w:num>
  <w:num w:numId="2" w16cid:durableId="324748864">
    <w:abstractNumId w:val="4"/>
  </w:num>
  <w:num w:numId="3" w16cid:durableId="2060862161">
    <w:abstractNumId w:val="10"/>
  </w:num>
  <w:num w:numId="4" w16cid:durableId="1620409992">
    <w:abstractNumId w:val="2"/>
  </w:num>
  <w:num w:numId="5" w16cid:durableId="739131730">
    <w:abstractNumId w:val="3"/>
  </w:num>
  <w:num w:numId="6" w16cid:durableId="1261718207">
    <w:abstractNumId w:val="0"/>
  </w:num>
  <w:num w:numId="7" w16cid:durableId="1799180879">
    <w:abstractNumId w:val="6"/>
  </w:num>
  <w:num w:numId="8" w16cid:durableId="1071386614">
    <w:abstractNumId w:val="11"/>
  </w:num>
  <w:num w:numId="9" w16cid:durableId="1252474971">
    <w:abstractNumId w:val="7"/>
  </w:num>
  <w:num w:numId="10" w16cid:durableId="983973230">
    <w:abstractNumId w:val="9"/>
  </w:num>
  <w:num w:numId="11" w16cid:durableId="653607110">
    <w:abstractNumId w:val="8"/>
  </w:num>
  <w:num w:numId="12" w16cid:durableId="421030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39"/>
    <w:rsid w:val="00014769"/>
    <w:rsid w:val="000238D2"/>
    <w:rsid w:val="00067883"/>
    <w:rsid w:val="00075020"/>
    <w:rsid w:val="0008125F"/>
    <w:rsid w:val="0009320A"/>
    <w:rsid w:val="000A3C9E"/>
    <w:rsid w:val="000A541B"/>
    <w:rsid w:val="000A56D9"/>
    <w:rsid w:val="000B2B92"/>
    <w:rsid w:val="000B5031"/>
    <w:rsid w:val="000D498C"/>
    <w:rsid w:val="000E5C86"/>
    <w:rsid w:val="00106179"/>
    <w:rsid w:val="00107927"/>
    <w:rsid w:val="001111FC"/>
    <w:rsid w:val="00111B52"/>
    <w:rsid w:val="00130792"/>
    <w:rsid w:val="00133BB5"/>
    <w:rsid w:val="0014262E"/>
    <w:rsid w:val="00153B09"/>
    <w:rsid w:val="001609EE"/>
    <w:rsid w:val="001707A8"/>
    <w:rsid w:val="001A1ADC"/>
    <w:rsid w:val="001A56BD"/>
    <w:rsid w:val="001B423D"/>
    <w:rsid w:val="001D37CD"/>
    <w:rsid w:val="001D5ECC"/>
    <w:rsid w:val="001E3021"/>
    <w:rsid w:val="00236301"/>
    <w:rsid w:val="00236F11"/>
    <w:rsid w:val="002417EB"/>
    <w:rsid w:val="00241C5E"/>
    <w:rsid w:val="00250082"/>
    <w:rsid w:val="00262CDE"/>
    <w:rsid w:val="0026390F"/>
    <w:rsid w:val="00266D55"/>
    <w:rsid w:val="002966A5"/>
    <w:rsid w:val="002A2B31"/>
    <w:rsid w:val="002C2107"/>
    <w:rsid w:val="002C546A"/>
    <w:rsid w:val="002D1567"/>
    <w:rsid w:val="002E5E52"/>
    <w:rsid w:val="00306D97"/>
    <w:rsid w:val="00312F36"/>
    <w:rsid w:val="00323DA3"/>
    <w:rsid w:val="00330F0A"/>
    <w:rsid w:val="00342391"/>
    <w:rsid w:val="00352211"/>
    <w:rsid w:val="003532F3"/>
    <w:rsid w:val="0037783C"/>
    <w:rsid w:val="00377E0D"/>
    <w:rsid w:val="00380CB7"/>
    <w:rsid w:val="003877C6"/>
    <w:rsid w:val="003977E8"/>
    <w:rsid w:val="003B3F94"/>
    <w:rsid w:val="003B6384"/>
    <w:rsid w:val="003C1766"/>
    <w:rsid w:val="003C62CE"/>
    <w:rsid w:val="003F136F"/>
    <w:rsid w:val="003F154D"/>
    <w:rsid w:val="003F257B"/>
    <w:rsid w:val="003F6171"/>
    <w:rsid w:val="004028F1"/>
    <w:rsid w:val="00402918"/>
    <w:rsid w:val="00402CBD"/>
    <w:rsid w:val="00407277"/>
    <w:rsid w:val="00444D15"/>
    <w:rsid w:val="00454C12"/>
    <w:rsid w:val="00460622"/>
    <w:rsid w:val="00477CAC"/>
    <w:rsid w:val="00491249"/>
    <w:rsid w:val="004C5C41"/>
    <w:rsid w:val="004C73B2"/>
    <w:rsid w:val="004E5DA7"/>
    <w:rsid w:val="004E7E5D"/>
    <w:rsid w:val="00505F23"/>
    <w:rsid w:val="00526469"/>
    <w:rsid w:val="00537656"/>
    <w:rsid w:val="005557AA"/>
    <w:rsid w:val="00564839"/>
    <w:rsid w:val="005822E8"/>
    <w:rsid w:val="0058736B"/>
    <w:rsid w:val="005C1CE4"/>
    <w:rsid w:val="005C27BC"/>
    <w:rsid w:val="005D16A5"/>
    <w:rsid w:val="005D32F9"/>
    <w:rsid w:val="005E0DFD"/>
    <w:rsid w:val="00616616"/>
    <w:rsid w:val="006261DC"/>
    <w:rsid w:val="00627152"/>
    <w:rsid w:val="00641C3B"/>
    <w:rsid w:val="00645160"/>
    <w:rsid w:val="0064541C"/>
    <w:rsid w:val="00667EAE"/>
    <w:rsid w:val="00685060"/>
    <w:rsid w:val="00690A7B"/>
    <w:rsid w:val="006960F0"/>
    <w:rsid w:val="00712699"/>
    <w:rsid w:val="00717192"/>
    <w:rsid w:val="00724F9A"/>
    <w:rsid w:val="00733525"/>
    <w:rsid w:val="00746685"/>
    <w:rsid w:val="00746E20"/>
    <w:rsid w:val="00756CD4"/>
    <w:rsid w:val="00765FFB"/>
    <w:rsid w:val="00772F10"/>
    <w:rsid w:val="007A66BC"/>
    <w:rsid w:val="007D1B40"/>
    <w:rsid w:val="007E4ADF"/>
    <w:rsid w:val="007F60FC"/>
    <w:rsid w:val="007F7D23"/>
    <w:rsid w:val="008002B4"/>
    <w:rsid w:val="00800474"/>
    <w:rsid w:val="00801496"/>
    <w:rsid w:val="00807656"/>
    <w:rsid w:val="00814B47"/>
    <w:rsid w:val="00815034"/>
    <w:rsid w:val="0081585F"/>
    <w:rsid w:val="00815AA0"/>
    <w:rsid w:val="00817650"/>
    <w:rsid w:val="00824018"/>
    <w:rsid w:val="00827DBF"/>
    <w:rsid w:val="00844481"/>
    <w:rsid w:val="008517B1"/>
    <w:rsid w:val="0085575F"/>
    <w:rsid w:val="00877180"/>
    <w:rsid w:val="008850A5"/>
    <w:rsid w:val="00885319"/>
    <w:rsid w:val="00886684"/>
    <w:rsid w:val="008964D9"/>
    <w:rsid w:val="008A368F"/>
    <w:rsid w:val="008F5761"/>
    <w:rsid w:val="00904A1A"/>
    <w:rsid w:val="00907EA5"/>
    <w:rsid w:val="009251C6"/>
    <w:rsid w:val="00927B42"/>
    <w:rsid w:val="00931788"/>
    <w:rsid w:val="009412E6"/>
    <w:rsid w:val="00960358"/>
    <w:rsid w:val="00960E86"/>
    <w:rsid w:val="0096163B"/>
    <w:rsid w:val="0097708C"/>
    <w:rsid w:val="00977E4A"/>
    <w:rsid w:val="00990B2D"/>
    <w:rsid w:val="009A235B"/>
    <w:rsid w:val="009A6329"/>
    <w:rsid w:val="009E0D62"/>
    <w:rsid w:val="009F5A8B"/>
    <w:rsid w:val="009F5EED"/>
    <w:rsid w:val="00A14A46"/>
    <w:rsid w:val="00A16D54"/>
    <w:rsid w:val="00A2540E"/>
    <w:rsid w:val="00A30DC0"/>
    <w:rsid w:val="00A36804"/>
    <w:rsid w:val="00A43057"/>
    <w:rsid w:val="00A44249"/>
    <w:rsid w:val="00A565B0"/>
    <w:rsid w:val="00A64B65"/>
    <w:rsid w:val="00A672FA"/>
    <w:rsid w:val="00AC03D2"/>
    <w:rsid w:val="00AF0ADE"/>
    <w:rsid w:val="00B17451"/>
    <w:rsid w:val="00B17647"/>
    <w:rsid w:val="00B22642"/>
    <w:rsid w:val="00B368AA"/>
    <w:rsid w:val="00B67DE4"/>
    <w:rsid w:val="00B712F8"/>
    <w:rsid w:val="00B95F3E"/>
    <w:rsid w:val="00BB278E"/>
    <w:rsid w:val="00BE5032"/>
    <w:rsid w:val="00BF2236"/>
    <w:rsid w:val="00C057DC"/>
    <w:rsid w:val="00C06C1A"/>
    <w:rsid w:val="00C14374"/>
    <w:rsid w:val="00C2435D"/>
    <w:rsid w:val="00C70C60"/>
    <w:rsid w:val="00C71B24"/>
    <w:rsid w:val="00C74F3D"/>
    <w:rsid w:val="00C7667D"/>
    <w:rsid w:val="00C822E0"/>
    <w:rsid w:val="00C907DE"/>
    <w:rsid w:val="00C96DA7"/>
    <w:rsid w:val="00CB3554"/>
    <w:rsid w:val="00CC13E1"/>
    <w:rsid w:val="00CC505F"/>
    <w:rsid w:val="00CD4235"/>
    <w:rsid w:val="00D1487D"/>
    <w:rsid w:val="00D305F1"/>
    <w:rsid w:val="00D347F6"/>
    <w:rsid w:val="00D5075B"/>
    <w:rsid w:val="00D541E2"/>
    <w:rsid w:val="00D605AA"/>
    <w:rsid w:val="00D60B03"/>
    <w:rsid w:val="00D72094"/>
    <w:rsid w:val="00D80FAA"/>
    <w:rsid w:val="00D82009"/>
    <w:rsid w:val="00D83FAB"/>
    <w:rsid w:val="00D93FCB"/>
    <w:rsid w:val="00DA0B1B"/>
    <w:rsid w:val="00DB4871"/>
    <w:rsid w:val="00DB49F2"/>
    <w:rsid w:val="00DB4C03"/>
    <w:rsid w:val="00DB7A5A"/>
    <w:rsid w:val="00DD20B4"/>
    <w:rsid w:val="00DF04D9"/>
    <w:rsid w:val="00DF432B"/>
    <w:rsid w:val="00E033C3"/>
    <w:rsid w:val="00E039F9"/>
    <w:rsid w:val="00E1286E"/>
    <w:rsid w:val="00E21579"/>
    <w:rsid w:val="00E25ACB"/>
    <w:rsid w:val="00E33EC5"/>
    <w:rsid w:val="00E43C45"/>
    <w:rsid w:val="00E5432D"/>
    <w:rsid w:val="00E61702"/>
    <w:rsid w:val="00E725FA"/>
    <w:rsid w:val="00EB27E1"/>
    <w:rsid w:val="00EB6857"/>
    <w:rsid w:val="00ED3738"/>
    <w:rsid w:val="00EE007B"/>
    <w:rsid w:val="00EE407A"/>
    <w:rsid w:val="00F00806"/>
    <w:rsid w:val="00F16DCD"/>
    <w:rsid w:val="00F205BC"/>
    <w:rsid w:val="00F33D53"/>
    <w:rsid w:val="00F35370"/>
    <w:rsid w:val="00F41215"/>
    <w:rsid w:val="00F55439"/>
    <w:rsid w:val="00F61BB4"/>
    <w:rsid w:val="00F93302"/>
    <w:rsid w:val="00FA0A69"/>
    <w:rsid w:val="00FA1991"/>
    <w:rsid w:val="00FA60B2"/>
    <w:rsid w:val="00FC52F5"/>
    <w:rsid w:val="00FD104A"/>
    <w:rsid w:val="00FD40BA"/>
    <w:rsid w:val="00FE134A"/>
    <w:rsid w:val="00FF0168"/>
    <w:rsid w:val="00FF5F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8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54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5439"/>
    <w:rPr>
      <w:rFonts w:ascii="Verdana" w:hAnsi="Verdana"/>
      <w:color w:val="000000"/>
      <w:sz w:val="18"/>
      <w:szCs w:val="18"/>
    </w:rPr>
  </w:style>
  <w:style w:type="paragraph" w:customStyle="1" w:styleId="broodtekst">
    <w:name w:val="broodtekst"/>
    <w:basedOn w:val="Standaard"/>
    <w:qFormat/>
    <w:rsid w:val="00F55439"/>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rsid w:val="00F55439"/>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semiHidden/>
    <w:rsid w:val="00F55439"/>
    <w:rPr>
      <w:rFonts w:ascii="Verdana" w:eastAsia="Times New Roman" w:hAnsi="Verdana" w:cs="Times New Roman"/>
      <w:sz w:val="16"/>
    </w:rPr>
  </w:style>
  <w:style w:type="character" w:styleId="Voetnootmarkering">
    <w:name w:val="footnote reference"/>
    <w:basedOn w:val="Standaardalinea-lettertype"/>
    <w:semiHidden/>
    <w:rsid w:val="00F55439"/>
    <w:rPr>
      <w:vertAlign w:val="superscript"/>
    </w:rPr>
  </w:style>
  <w:style w:type="paragraph" w:styleId="Geenafstand">
    <w:name w:val="No Spacing"/>
    <w:uiPriority w:val="1"/>
    <w:qFormat/>
    <w:rsid w:val="00877180"/>
    <w:pPr>
      <w:autoSpaceDN/>
      <w:textAlignment w:val="auto"/>
    </w:pPr>
    <w:rPr>
      <w:rFonts w:ascii="Verdana" w:eastAsiaTheme="minorHAnsi" w:hAnsi="Verdana" w:cstheme="minorBidi"/>
      <w:kern w:val="2"/>
      <w:sz w:val="18"/>
      <w:szCs w:val="22"/>
      <w:lang w:val="en-US" w:eastAsia="en-US"/>
      <w14:ligatures w14:val="standardContextual"/>
    </w:rPr>
  </w:style>
  <w:style w:type="paragraph" w:styleId="Revisie">
    <w:name w:val="Revision"/>
    <w:hidden/>
    <w:uiPriority w:val="99"/>
    <w:semiHidden/>
    <w:rsid w:val="0087718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B4C03"/>
    <w:rPr>
      <w:sz w:val="16"/>
      <w:szCs w:val="16"/>
    </w:rPr>
  </w:style>
  <w:style w:type="paragraph" w:styleId="Tekstopmerking">
    <w:name w:val="annotation text"/>
    <w:basedOn w:val="Standaard"/>
    <w:link w:val="TekstopmerkingChar"/>
    <w:uiPriority w:val="99"/>
    <w:unhideWhenUsed/>
    <w:rsid w:val="00DB4C03"/>
    <w:pPr>
      <w:spacing w:line="240" w:lineRule="auto"/>
    </w:pPr>
    <w:rPr>
      <w:sz w:val="20"/>
      <w:szCs w:val="20"/>
    </w:rPr>
  </w:style>
  <w:style w:type="character" w:customStyle="1" w:styleId="TekstopmerkingChar">
    <w:name w:val="Tekst opmerking Char"/>
    <w:basedOn w:val="Standaardalinea-lettertype"/>
    <w:link w:val="Tekstopmerking"/>
    <w:uiPriority w:val="99"/>
    <w:rsid w:val="00DB4C0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B4C03"/>
    <w:rPr>
      <w:b/>
      <w:bCs/>
    </w:rPr>
  </w:style>
  <w:style w:type="character" w:customStyle="1" w:styleId="OnderwerpvanopmerkingChar">
    <w:name w:val="Onderwerp van opmerking Char"/>
    <w:basedOn w:val="TekstopmerkingChar"/>
    <w:link w:val="Onderwerpvanopmerking"/>
    <w:uiPriority w:val="99"/>
    <w:semiHidden/>
    <w:rsid w:val="00DB4C03"/>
    <w:rPr>
      <w:rFonts w:ascii="Verdana" w:hAnsi="Verdana"/>
      <w:b/>
      <w:bCs/>
      <w:color w:val="000000"/>
    </w:rPr>
  </w:style>
  <w:style w:type="character" w:styleId="Onopgelostemelding">
    <w:name w:val="Unresolved Mention"/>
    <w:basedOn w:val="Standaardalinea-lettertype"/>
    <w:uiPriority w:val="99"/>
    <w:semiHidden/>
    <w:unhideWhenUsed/>
    <w:rsid w:val="005C1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rc.nl/nieuws/2024/12/11/een-man-25-babys-verblijfskinderen-zijn-een-nieuwe-manier-om-asiel-te-krijgen-a4876321" TargetMode="External"/><Relationship Id="rId2" Type="http://schemas.openxmlformats.org/officeDocument/2006/relationships/hyperlink" Target="https://www.kabinetsformatie2025.nl/documenten/2026/01/30/aan-de-slag---coalitieakkoord-2026-2030" TargetMode="External"/><Relationship Id="rId1" Type="http://schemas.openxmlformats.org/officeDocument/2006/relationships/hyperlink" Target="https://www.tweedekamer.nl/kamerstukken/kamervragen/detail?did=2026D10936&amp;id=2026Z0476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2040</ap:Words>
  <ap:Characters>11221</ap:Characters>
  <ap:DocSecurity>0</ap:DocSecurity>
  <ap:Lines>93</ap:Lines>
  <ap:Paragraphs>26</ap:Paragraphs>
  <ap:ScaleCrop>false</ap:ScaleCrop>
  <ap:LinksUpToDate>false</ap:LinksUpToDate>
  <ap:CharactersWithSpaces>13235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2026-04-22T09:47:00.0000000Z</dcterms:created>
  <dcterms:modified xsi:type="dcterms:W3CDTF">2026-04-22T09:47:00.0000000Z</dcterms:modified>
  <dc:description>------------------------</dc:description>
  <dc:subject/>
  <keywords/>
  <version/>
  <category/>
</coreProperties>
</file>