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Cs w:val="18"/>
        </w:rPr>
        <w:id w:val="5798297"/>
        <w:docPartObj>
          <w:docPartGallery w:val="Cover Pages"/>
          <w:docPartUnique/>
        </w:docPartObj>
      </w:sdtPr>
      <w:sdtEndPr/>
      <w:sdtContent>
        <w:p w:rsidRPr="00857C40" w:rsidR="00EE2A9D" w:rsidP="00857C40" w:rsidRDefault="00EE2A9D" w14:paraId="4FE36C06" w14:textId="77777777">
          <w:pPr>
            <w:rPr>
              <w:szCs w:val="18"/>
            </w:rPr>
          </w:pPr>
        </w:p>
        <w:p w:rsidRPr="00857C40" w:rsidR="00241BB9" w:rsidP="00857C40" w:rsidRDefault="001E3602" w14:paraId="62B3FFC3" w14:textId="77777777">
          <w:pPr>
            <w:spacing w:line="240" w:lineRule="auto"/>
            <w:rPr>
              <w:szCs w:val="18"/>
            </w:rPr>
          </w:pPr>
        </w:p>
      </w:sdtContent>
    </w:sdt>
    <w:p w:rsidRPr="00857C40" w:rsidR="00CD5856" w:rsidP="00857C40" w:rsidRDefault="00CD5856" w14:paraId="2E67D706" w14:textId="77777777">
      <w:pPr>
        <w:spacing w:line="240" w:lineRule="auto"/>
        <w:rPr>
          <w:szCs w:val="18"/>
        </w:rPr>
      </w:pPr>
    </w:p>
    <w:p w:rsidRPr="00857C40" w:rsidR="00CD5856" w:rsidP="00857C40" w:rsidRDefault="00CD5856" w14:paraId="60B0CC55" w14:textId="77777777">
      <w:pPr>
        <w:rPr>
          <w:szCs w:val="18"/>
        </w:rPr>
        <w:sectPr w:rsidRPr="00857C40"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857C40" w:rsidR="00CD5856" w:rsidP="00857C40" w:rsidRDefault="001E3602" w14:paraId="799BB9D5" w14:textId="77777777">
      <w:pPr>
        <w:pStyle w:val="Huisstijl-Aanhef"/>
        <w:rPr>
          <w:szCs w:val="18"/>
        </w:rPr>
      </w:pPr>
      <w:r w:rsidRPr="00857C40">
        <w:rPr>
          <w:szCs w:val="18"/>
        </w:rPr>
        <w:t>Geachte voorzitter,</w:t>
      </w:r>
    </w:p>
    <w:p w:rsidRPr="00857C40" w:rsidR="001F640D" w:rsidP="00857C40" w:rsidRDefault="001E3602" w14:paraId="6635223A" w14:textId="77777777">
      <w:pPr>
        <w:pStyle w:val="WitregelW1bodytekst"/>
        <w:suppressAutoHyphens/>
      </w:pPr>
      <w:bookmarkStart w:name="Text1" w:id="1"/>
      <w:r w:rsidRPr="00857C40">
        <w:t xml:space="preserve">In de zorg golden van 2008 tot en met 2022 verlaagde omzetdrempels voor het concentratietoezicht op grond van de </w:t>
      </w:r>
      <w:r w:rsidRPr="00857C40">
        <w:t>Mededingingswet (Mw)</w:t>
      </w:r>
      <w:r>
        <w:rPr>
          <w:rStyle w:val="Voetnootmarkering"/>
        </w:rPr>
        <w:footnoteReference w:id="1"/>
      </w:r>
      <w:r w:rsidRPr="00857C40">
        <w:t xml:space="preserve">. Dit betekent dat in de zorg, ten opzichte van andere sectoren, concentraties, zoals een fusie of overname, al bij een lager omzetniveau gemeld moesten worden bij de Autoriteit Consument &amp; Markt (ACM). In 2022 besloot de toenmalig minister van Volksgezondheid, Welzijn en Sport (VWS) de verlaagde omzetdrempels in de zorg los te laten naar aanleiding van een evaluatie door AEF. De minister </w:t>
      </w:r>
      <w:r w:rsidRPr="00857C40" w:rsidR="00AB35F7">
        <w:t xml:space="preserve">van VWS </w:t>
      </w:r>
      <w:r w:rsidRPr="00857C40">
        <w:t>oordeelde dat – gegeven de huidige uitdagingen in de zorg – de beperkte impact van de verlaagde omzetdrempels op</w:t>
      </w:r>
      <w:r w:rsidRPr="00857C40">
        <w:t xml:space="preserve"> het voorkomen en beperken van nadelige effecten van concentraties niet in verhouding stond tot de (administratieve) lasten die de drempels met zich meebrengen voor zorgaanbieders. AEF constateerde dat er jaarlijks gemiddeld één zaak in dit verlaagde omzetsegment werd tegengehouden</w:t>
      </w:r>
      <w:r>
        <w:rPr>
          <w:rStyle w:val="Voetnootmarkering"/>
        </w:rPr>
        <w:footnoteReference w:id="2"/>
      </w:r>
      <w:r w:rsidRPr="00857C40">
        <w:t>. Vanaf 1 januari 2023 gelden in de zorgsector daarom geen aparte regels, en is het concentratietoezicht door de ACM in alle economische sectoren gelijk. Op verzoek van de Kamer wordt sindsdien gemonitord wat de effecten zijn van dit besluit</w:t>
      </w:r>
      <w:r>
        <w:rPr>
          <w:rStyle w:val="Voetnootmarkering"/>
        </w:rPr>
        <w:footnoteReference w:id="3"/>
      </w:r>
      <w:r w:rsidRPr="00857C40">
        <w:t xml:space="preserve">. </w:t>
      </w:r>
    </w:p>
    <w:p w:rsidRPr="00857C40" w:rsidR="001F640D" w:rsidP="00857C40" w:rsidRDefault="001F640D" w14:paraId="1F6F0308" w14:textId="77777777">
      <w:pPr>
        <w:pStyle w:val="WitregelW1bodytekst"/>
        <w:suppressAutoHyphens/>
      </w:pPr>
    </w:p>
    <w:p w:rsidRPr="00857C40" w:rsidR="001F640D" w:rsidP="00857C40" w:rsidRDefault="001E3602" w14:paraId="00D41C55" w14:textId="77777777">
      <w:pPr>
        <w:pStyle w:val="WitregelW1bodytekst"/>
        <w:suppressAutoHyphens/>
      </w:pPr>
      <w:r w:rsidRPr="00857C40">
        <w:t>In lijn met voorgaande jaren informeert het kabinet de Kamer in deze brief over de laatste trends en ontwikkelingen rondom concentraties in de zorg</w:t>
      </w:r>
      <w:r>
        <w:rPr>
          <w:rStyle w:val="Voetnootmarkering"/>
        </w:rPr>
        <w:footnoteReference w:id="4"/>
      </w:r>
      <w:r w:rsidRPr="00857C40">
        <w:t xml:space="preserve">, evenals de effecten van het loslaten van de verlaagde omzetdrempels. </w:t>
      </w:r>
    </w:p>
    <w:p w:rsidRPr="00857C40" w:rsidR="001F640D" w:rsidP="00857C40" w:rsidRDefault="001F640D" w14:paraId="644F94DC" w14:textId="77777777">
      <w:pPr>
        <w:rPr>
          <w:szCs w:val="18"/>
        </w:rPr>
      </w:pPr>
    </w:p>
    <w:p w:rsidRPr="00857C40" w:rsidR="00B8198D" w:rsidP="00857C40" w:rsidRDefault="00B8198D" w14:paraId="5C0EADAA" w14:textId="77777777">
      <w:pPr>
        <w:rPr>
          <w:szCs w:val="18"/>
        </w:rPr>
      </w:pPr>
    </w:p>
    <w:p w:rsidRPr="00857C40" w:rsidR="00B8198D" w:rsidP="00857C40" w:rsidRDefault="00B8198D" w14:paraId="3A292DB9" w14:textId="77777777">
      <w:pPr>
        <w:rPr>
          <w:szCs w:val="18"/>
        </w:rPr>
      </w:pPr>
    </w:p>
    <w:p w:rsidRPr="00857C40" w:rsidR="00B8198D" w:rsidP="00857C40" w:rsidRDefault="00B8198D" w14:paraId="58CBD950" w14:textId="77777777">
      <w:pPr>
        <w:rPr>
          <w:szCs w:val="18"/>
        </w:rPr>
      </w:pPr>
    </w:p>
    <w:p w:rsidRPr="00857C40" w:rsidR="001F640D" w:rsidP="00857C40" w:rsidRDefault="001E3602" w14:paraId="1F5CBA5D" w14:textId="77777777">
      <w:pPr>
        <w:rPr>
          <w:i/>
          <w:iCs/>
          <w:szCs w:val="18"/>
        </w:rPr>
      </w:pPr>
      <w:r w:rsidRPr="00857C40">
        <w:rPr>
          <w:i/>
          <w:iCs/>
          <w:szCs w:val="18"/>
        </w:rPr>
        <w:lastRenderedPageBreak/>
        <w:t>Stabiel beeld, geen zorgwekkende signalen</w:t>
      </w:r>
    </w:p>
    <w:p w:rsidRPr="00857C40" w:rsidR="001F640D" w:rsidP="00857C40" w:rsidRDefault="001E3602" w14:paraId="436655A1" w14:textId="77777777">
      <w:pPr>
        <w:rPr>
          <w:szCs w:val="18"/>
        </w:rPr>
      </w:pPr>
      <w:r w:rsidRPr="00857C40">
        <w:rPr>
          <w:szCs w:val="18"/>
        </w:rPr>
        <w:t xml:space="preserve">Op 14 april jl. heeft de Nederlandse Zorgautoriteit (NZa) de </w:t>
      </w:r>
      <w:r w:rsidRPr="00857C40">
        <w:rPr>
          <w:i/>
          <w:iCs/>
          <w:szCs w:val="18"/>
        </w:rPr>
        <w:t xml:space="preserve">Informatiekaart Concentraties in de zorg in het jaar 2025 </w:t>
      </w:r>
      <w:r w:rsidRPr="00857C40">
        <w:rPr>
          <w:szCs w:val="18"/>
        </w:rPr>
        <w:t>gepubliceerd</w:t>
      </w:r>
      <w:r>
        <w:rPr>
          <w:rStyle w:val="Voetnootmarkering"/>
          <w:szCs w:val="18"/>
        </w:rPr>
        <w:footnoteReference w:id="5"/>
      </w:r>
      <w:r w:rsidRPr="00857C40">
        <w:rPr>
          <w:szCs w:val="18"/>
        </w:rPr>
        <w:t xml:space="preserve">. Deze informatie heeft zij aangevuld met een analyse naar de </w:t>
      </w:r>
      <w:r w:rsidRPr="00857C40">
        <w:rPr>
          <w:szCs w:val="18"/>
        </w:rPr>
        <w:t>effecten van het vervallen van de verlaagde omzetdrempels</w:t>
      </w:r>
      <w:r>
        <w:rPr>
          <w:rStyle w:val="Voetnootmarkering"/>
          <w:szCs w:val="18"/>
        </w:rPr>
        <w:footnoteReference w:id="6"/>
      </w:r>
      <w:r w:rsidRPr="00857C40">
        <w:rPr>
          <w:szCs w:val="18"/>
        </w:rPr>
        <w:t xml:space="preserve">. Daartoe vraagt de NZa bij iedere concentratie die zij toetst in het kader van de Zorgspecifieke fusietoets (Zft) of die concentratie ook gemeld had moeten worden bij de ACM als de verlaagde omzetdrempels op grond van de Mw nog wel van kracht zouden zijn. </w:t>
      </w:r>
    </w:p>
    <w:p w:rsidRPr="00857C40" w:rsidR="001F640D" w:rsidP="00857C40" w:rsidRDefault="001F640D" w14:paraId="47EFE525" w14:textId="77777777">
      <w:pPr>
        <w:rPr>
          <w:szCs w:val="18"/>
        </w:rPr>
      </w:pPr>
    </w:p>
    <w:p w:rsidRPr="00857C40" w:rsidR="001F640D" w:rsidP="00857C40" w:rsidRDefault="001E3602" w14:paraId="5936863F" w14:textId="77777777">
      <w:pPr>
        <w:rPr>
          <w:szCs w:val="18"/>
        </w:rPr>
      </w:pPr>
      <w:bookmarkStart w:name="_Hlk227070181" w:id="2"/>
      <w:r w:rsidRPr="00857C40">
        <w:rPr>
          <w:szCs w:val="18"/>
        </w:rPr>
        <w:t>Uit de cijfers uit de Informatiekaart blijken geen zorgwekkende ontwikkelingen. Als er gekeken wordt naar bijvoorbeeld concentraties met betrokkenheid van private equity, zien we het afgelopen jaar een toename, maar vindt dit ook plaats na een afname van vorig jaar. Het percentage concentraties waarbij private equity is betrokken schommelt de afgelopen jaren rond de 50 procent.</w:t>
      </w:r>
    </w:p>
    <w:p w:rsidRPr="00857C40" w:rsidR="001F640D" w:rsidP="00857C40" w:rsidRDefault="001F640D" w14:paraId="1BC8F582" w14:textId="77777777">
      <w:pPr>
        <w:rPr>
          <w:i/>
          <w:iCs/>
          <w:szCs w:val="18"/>
        </w:rPr>
      </w:pPr>
    </w:p>
    <w:bookmarkEnd w:id="2"/>
    <w:p w:rsidRPr="00857C40" w:rsidR="001F640D" w:rsidP="00857C40" w:rsidRDefault="001E3602" w14:paraId="077F2ECF" w14:textId="77777777">
      <w:pPr>
        <w:rPr>
          <w:i/>
          <w:iCs/>
          <w:szCs w:val="18"/>
        </w:rPr>
      </w:pPr>
      <w:r w:rsidRPr="00857C40">
        <w:rPr>
          <w:i/>
          <w:iCs/>
          <w:szCs w:val="18"/>
        </w:rPr>
        <w:t>Monitor verlaagde omzetdrempels</w:t>
      </w:r>
    </w:p>
    <w:p w:rsidRPr="00857C40" w:rsidR="001F640D" w:rsidP="00857C40" w:rsidRDefault="001E3602" w14:paraId="35335F9E" w14:textId="77777777">
      <w:pPr>
        <w:rPr>
          <w:szCs w:val="18"/>
          <w:highlight w:val="yellow"/>
        </w:rPr>
      </w:pPr>
      <w:r w:rsidRPr="00857C40">
        <w:rPr>
          <w:szCs w:val="18"/>
        </w:rPr>
        <w:t>Uit de gegevens van de monitor van de verlaagde omzetdrempels van de NZa blijkt dat 4 aanvragen in 2025 in het verlaagde omzetsegment vielen. Deze aanvragen zouden in het verleden dus wel getoetst worden door de ACM, maar sinds 1 januari 2023 niet meer. Dit aantal is lager dan in voorgaande jaren waarin tussen de 8 en 12 concentraties in het verlaagde omzetsegment vielen (2021 – 2024). Het aantal goedgekeurde concentraties in het verlaagde omzetsegment ten opzichte van het totaal aantal gemelde concentratie</w:t>
      </w:r>
      <w:r w:rsidRPr="00857C40">
        <w:rPr>
          <w:szCs w:val="18"/>
        </w:rPr>
        <w:t xml:space="preserve">s is ook gedaald: </w:t>
      </w:r>
    </w:p>
    <w:p w:rsidRPr="00857C40" w:rsidR="001F640D" w:rsidP="00857C40" w:rsidRDefault="001F640D" w14:paraId="0EE7EE84" w14:textId="77777777">
      <w:pPr>
        <w:rPr>
          <w:szCs w:val="18"/>
          <w:highlight w:val="yellow"/>
        </w:rPr>
      </w:pPr>
    </w:p>
    <w:tbl>
      <w:tblPr>
        <w:tblStyle w:val="Tabelraster"/>
        <w:tblW w:w="0" w:type="auto"/>
        <w:tblCellMar>
          <w:top w:w="57" w:type="dxa"/>
          <w:left w:w="57" w:type="dxa"/>
          <w:bottom w:w="57" w:type="dxa"/>
          <w:right w:w="57" w:type="dxa"/>
        </w:tblCellMar>
        <w:tblLook w:val="04A0" w:firstRow="1" w:lastRow="0" w:firstColumn="1" w:lastColumn="0" w:noHBand="0" w:noVBand="1"/>
      </w:tblPr>
      <w:tblGrid>
        <w:gridCol w:w="704"/>
        <w:gridCol w:w="3260"/>
        <w:gridCol w:w="2977"/>
        <w:gridCol w:w="590"/>
      </w:tblGrid>
      <w:tr w:rsidR="00256727" w:rsidTr="00BD317A" w14:paraId="4EA1F222" w14:textId="77777777">
        <w:tc>
          <w:tcPr>
            <w:tcW w:w="704" w:type="dxa"/>
            <w:shd w:val="clear" w:color="auto" w:fill="D9D9D9" w:themeFill="background1" w:themeFillShade="D9"/>
          </w:tcPr>
          <w:p w:rsidRPr="00857C40" w:rsidR="001F640D" w:rsidP="00857C40" w:rsidRDefault="001E3602" w14:paraId="72B607AE" w14:textId="77777777">
            <w:pPr>
              <w:rPr>
                <w:szCs w:val="18"/>
              </w:rPr>
            </w:pPr>
            <w:r w:rsidRPr="00857C40">
              <w:rPr>
                <w:szCs w:val="18"/>
              </w:rPr>
              <w:t>Jaar</w:t>
            </w:r>
          </w:p>
        </w:tc>
        <w:tc>
          <w:tcPr>
            <w:tcW w:w="3260" w:type="dxa"/>
            <w:shd w:val="clear" w:color="auto" w:fill="D9D9D9" w:themeFill="background1" w:themeFillShade="D9"/>
          </w:tcPr>
          <w:p w:rsidRPr="00857C40" w:rsidR="001F640D" w:rsidP="00857C40" w:rsidRDefault="001E3602" w14:paraId="4C519439" w14:textId="77777777">
            <w:pPr>
              <w:rPr>
                <w:szCs w:val="18"/>
              </w:rPr>
            </w:pPr>
            <w:r w:rsidRPr="00857C40">
              <w:rPr>
                <w:szCs w:val="18"/>
              </w:rPr>
              <w:t>Totaal aantal goedgekeurde concentratieaanvragen bij de NZa</w:t>
            </w:r>
          </w:p>
        </w:tc>
        <w:tc>
          <w:tcPr>
            <w:tcW w:w="2977" w:type="dxa"/>
            <w:shd w:val="clear" w:color="auto" w:fill="D9D9D9" w:themeFill="background1" w:themeFillShade="D9"/>
          </w:tcPr>
          <w:p w:rsidRPr="00857C40" w:rsidR="001F640D" w:rsidP="00857C40" w:rsidRDefault="001E3602" w14:paraId="70B02BD7" w14:textId="77777777">
            <w:pPr>
              <w:rPr>
                <w:szCs w:val="18"/>
              </w:rPr>
            </w:pPr>
            <w:r w:rsidRPr="00857C40">
              <w:rPr>
                <w:szCs w:val="18"/>
              </w:rPr>
              <w:t>Aantal goedgekeurde concentraties meldingsplichtig</w:t>
            </w:r>
          </w:p>
        </w:tc>
        <w:tc>
          <w:tcPr>
            <w:tcW w:w="590" w:type="dxa"/>
            <w:shd w:val="clear" w:color="auto" w:fill="D9D9D9" w:themeFill="background1" w:themeFillShade="D9"/>
          </w:tcPr>
          <w:p w:rsidRPr="00857C40" w:rsidR="001F640D" w:rsidP="00857C40" w:rsidRDefault="001E3602" w14:paraId="318ECED8" w14:textId="77777777">
            <w:pPr>
              <w:rPr>
                <w:szCs w:val="18"/>
              </w:rPr>
            </w:pPr>
            <w:r w:rsidRPr="00857C40">
              <w:rPr>
                <w:szCs w:val="18"/>
              </w:rPr>
              <w:t>%</w:t>
            </w:r>
          </w:p>
        </w:tc>
      </w:tr>
      <w:tr w:rsidR="00256727" w:rsidTr="00BD317A" w14:paraId="1E64F352" w14:textId="77777777">
        <w:tc>
          <w:tcPr>
            <w:tcW w:w="704" w:type="dxa"/>
          </w:tcPr>
          <w:p w:rsidRPr="00857C40" w:rsidR="001F640D" w:rsidP="00857C40" w:rsidRDefault="001E3602" w14:paraId="35D2EF00" w14:textId="77777777">
            <w:pPr>
              <w:rPr>
                <w:szCs w:val="18"/>
              </w:rPr>
            </w:pPr>
            <w:r w:rsidRPr="00857C40">
              <w:rPr>
                <w:szCs w:val="18"/>
              </w:rPr>
              <w:t>2025</w:t>
            </w:r>
          </w:p>
        </w:tc>
        <w:tc>
          <w:tcPr>
            <w:tcW w:w="3260" w:type="dxa"/>
          </w:tcPr>
          <w:p w:rsidRPr="00857C40" w:rsidR="001F640D" w:rsidP="00857C40" w:rsidRDefault="001E3602" w14:paraId="78279502" w14:textId="77777777">
            <w:pPr>
              <w:rPr>
                <w:szCs w:val="18"/>
              </w:rPr>
            </w:pPr>
            <w:r w:rsidRPr="00857C40">
              <w:rPr>
                <w:szCs w:val="18"/>
              </w:rPr>
              <w:t>220</w:t>
            </w:r>
          </w:p>
        </w:tc>
        <w:tc>
          <w:tcPr>
            <w:tcW w:w="2977" w:type="dxa"/>
          </w:tcPr>
          <w:p w:rsidRPr="00857C40" w:rsidR="001F640D" w:rsidP="00857C40" w:rsidRDefault="001E3602" w14:paraId="218C6EE8" w14:textId="77777777">
            <w:pPr>
              <w:rPr>
                <w:szCs w:val="18"/>
              </w:rPr>
            </w:pPr>
            <w:r w:rsidRPr="00857C40">
              <w:rPr>
                <w:szCs w:val="18"/>
              </w:rPr>
              <w:t>4</w:t>
            </w:r>
          </w:p>
        </w:tc>
        <w:tc>
          <w:tcPr>
            <w:tcW w:w="590" w:type="dxa"/>
          </w:tcPr>
          <w:p w:rsidRPr="00857C40" w:rsidR="001F640D" w:rsidP="00857C40" w:rsidRDefault="001E3602" w14:paraId="23877374" w14:textId="77777777">
            <w:pPr>
              <w:rPr>
                <w:szCs w:val="18"/>
              </w:rPr>
            </w:pPr>
            <w:r w:rsidRPr="00857C40">
              <w:rPr>
                <w:szCs w:val="18"/>
              </w:rPr>
              <w:t>2%</w:t>
            </w:r>
          </w:p>
        </w:tc>
      </w:tr>
      <w:tr w:rsidR="00256727" w:rsidTr="00BD317A" w14:paraId="552D6BEE" w14:textId="77777777">
        <w:tc>
          <w:tcPr>
            <w:tcW w:w="704" w:type="dxa"/>
          </w:tcPr>
          <w:p w:rsidRPr="00857C40" w:rsidR="001F640D" w:rsidP="00857C40" w:rsidRDefault="001E3602" w14:paraId="21D763E3" w14:textId="77777777">
            <w:pPr>
              <w:rPr>
                <w:szCs w:val="18"/>
              </w:rPr>
            </w:pPr>
            <w:r w:rsidRPr="00857C40">
              <w:rPr>
                <w:szCs w:val="18"/>
              </w:rPr>
              <w:t>2024</w:t>
            </w:r>
          </w:p>
        </w:tc>
        <w:tc>
          <w:tcPr>
            <w:tcW w:w="3260" w:type="dxa"/>
          </w:tcPr>
          <w:p w:rsidRPr="00857C40" w:rsidR="001F640D" w:rsidP="00857C40" w:rsidRDefault="001E3602" w14:paraId="5F1FBFCC" w14:textId="77777777">
            <w:pPr>
              <w:rPr>
                <w:szCs w:val="18"/>
              </w:rPr>
            </w:pPr>
            <w:r w:rsidRPr="00857C40">
              <w:rPr>
                <w:szCs w:val="18"/>
              </w:rPr>
              <w:t>214</w:t>
            </w:r>
          </w:p>
        </w:tc>
        <w:tc>
          <w:tcPr>
            <w:tcW w:w="2977" w:type="dxa"/>
          </w:tcPr>
          <w:p w:rsidRPr="00857C40" w:rsidR="001F640D" w:rsidP="00857C40" w:rsidRDefault="001E3602" w14:paraId="600DE81F" w14:textId="77777777">
            <w:pPr>
              <w:rPr>
                <w:szCs w:val="18"/>
              </w:rPr>
            </w:pPr>
            <w:r w:rsidRPr="00857C40">
              <w:rPr>
                <w:szCs w:val="18"/>
              </w:rPr>
              <w:t>8</w:t>
            </w:r>
          </w:p>
        </w:tc>
        <w:tc>
          <w:tcPr>
            <w:tcW w:w="590" w:type="dxa"/>
          </w:tcPr>
          <w:p w:rsidRPr="00857C40" w:rsidR="001F640D" w:rsidP="00857C40" w:rsidRDefault="001E3602" w14:paraId="108EE680" w14:textId="77777777">
            <w:pPr>
              <w:rPr>
                <w:szCs w:val="18"/>
              </w:rPr>
            </w:pPr>
            <w:r w:rsidRPr="00857C40">
              <w:rPr>
                <w:szCs w:val="18"/>
              </w:rPr>
              <w:t>4%</w:t>
            </w:r>
          </w:p>
        </w:tc>
      </w:tr>
      <w:tr w:rsidR="00256727" w:rsidTr="00BD317A" w14:paraId="6707DA3E" w14:textId="77777777">
        <w:tc>
          <w:tcPr>
            <w:tcW w:w="704" w:type="dxa"/>
          </w:tcPr>
          <w:p w:rsidRPr="00857C40" w:rsidR="001F640D" w:rsidP="00857C40" w:rsidRDefault="001E3602" w14:paraId="4A92627A" w14:textId="77777777">
            <w:pPr>
              <w:rPr>
                <w:szCs w:val="18"/>
              </w:rPr>
            </w:pPr>
            <w:r w:rsidRPr="00857C40">
              <w:rPr>
                <w:szCs w:val="18"/>
              </w:rPr>
              <w:t>2023</w:t>
            </w:r>
          </w:p>
        </w:tc>
        <w:tc>
          <w:tcPr>
            <w:tcW w:w="3260" w:type="dxa"/>
          </w:tcPr>
          <w:p w:rsidRPr="00857C40" w:rsidR="001F640D" w:rsidP="00857C40" w:rsidRDefault="001E3602" w14:paraId="6CD8B411" w14:textId="77777777">
            <w:pPr>
              <w:rPr>
                <w:szCs w:val="18"/>
              </w:rPr>
            </w:pPr>
            <w:r w:rsidRPr="00857C40">
              <w:rPr>
                <w:szCs w:val="18"/>
              </w:rPr>
              <w:t>200</w:t>
            </w:r>
            <w:r>
              <w:rPr>
                <w:rStyle w:val="Voetnootmarkering"/>
                <w:szCs w:val="18"/>
              </w:rPr>
              <w:footnoteReference w:id="7"/>
            </w:r>
          </w:p>
        </w:tc>
        <w:tc>
          <w:tcPr>
            <w:tcW w:w="2977" w:type="dxa"/>
          </w:tcPr>
          <w:p w:rsidRPr="00857C40" w:rsidR="001F640D" w:rsidP="00857C40" w:rsidRDefault="001E3602" w14:paraId="5080D088" w14:textId="77777777">
            <w:pPr>
              <w:rPr>
                <w:szCs w:val="18"/>
              </w:rPr>
            </w:pPr>
            <w:r w:rsidRPr="00857C40">
              <w:rPr>
                <w:szCs w:val="18"/>
              </w:rPr>
              <w:t>12</w:t>
            </w:r>
          </w:p>
        </w:tc>
        <w:tc>
          <w:tcPr>
            <w:tcW w:w="590" w:type="dxa"/>
          </w:tcPr>
          <w:p w:rsidRPr="00857C40" w:rsidR="001F640D" w:rsidP="00857C40" w:rsidRDefault="001E3602" w14:paraId="78CCE205" w14:textId="77777777">
            <w:pPr>
              <w:rPr>
                <w:szCs w:val="18"/>
              </w:rPr>
            </w:pPr>
            <w:r w:rsidRPr="00857C40">
              <w:rPr>
                <w:szCs w:val="18"/>
              </w:rPr>
              <w:t>6%</w:t>
            </w:r>
          </w:p>
        </w:tc>
      </w:tr>
      <w:tr w:rsidR="00256727" w:rsidTr="00BD317A" w14:paraId="5E96EF17" w14:textId="77777777">
        <w:tc>
          <w:tcPr>
            <w:tcW w:w="704" w:type="dxa"/>
          </w:tcPr>
          <w:p w:rsidRPr="00857C40" w:rsidR="001F640D" w:rsidP="00857C40" w:rsidRDefault="001E3602" w14:paraId="334C6340" w14:textId="77777777">
            <w:pPr>
              <w:rPr>
                <w:szCs w:val="18"/>
              </w:rPr>
            </w:pPr>
            <w:r w:rsidRPr="00857C40">
              <w:rPr>
                <w:szCs w:val="18"/>
              </w:rPr>
              <w:t>2022</w:t>
            </w:r>
          </w:p>
        </w:tc>
        <w:tc>
          <w:tcPr>
            <w:tcW w:w="3260" w:type="dxa"/>
          </w:tcPr>
          <w:p w:rsidRPr="00857C40" w:rsidR="001F640D" w:rsidP="00857C40" w:rsidRDefault="001E3602" w14:paraId="14886937" w14:textId="77777777">
            <w:pPr>
              <w:rPr>
                <w:szCs w:val="18"/>
              </w:rPr>
            </w:pPr>
            <w:r w:rsidRPr="00857C40">
              <w:rPr>
                <w:szCs w:val="18"/>
              </w:rPr>
              <w:t>196</w:t>
            </w:r>
          </w:p>
        </w:tc>
        <w:tc>
          <w:tcPr>
            <w:tcW w:w="2977" w:type="dxa"/>
          </w:tcPr>
          <w:p w:rsidRPr="00857C40" w:rsidR="001F640D" w:rsidP="00857C40" w:rsidRDefault="001E3602" w14:paraId="50392A16" w14:textId="77777777">
            <w:pPr>
              <w:rPr>
                <w:szCs w:val="18"/>
              </w:rPr>
            </w:pPr>
            <w:r w:rsidRPr="00857C40">
              <w:rPr>
                <w:szCs w:val="18"/>
              </w:rPr>
              <w:t>8</w:t>
            </w:r>
          </w:p>
        </w:tc>
        <w:tc>
          <w:tcPr>
            <w:tcW w:w="590" w:type="dxa"/>
          </w:tcPr>
          <w:p w:rsidRPr="00857C40" w:rsidR="001F640D" w:rsidP="00857C40" w:rsidRDefault="001E3602" w14:paraId="3C10764B" w14:textId="77777777">
            <w:pPr>
              <w:rPr>
                <w:szCs w:val="18"/>
              </w:rPr>
            </w:pPr>
            <w:r w:rsidRPr="00857C40">
              <w:rPr>
                <w:szCs w:val="18"/>
              </w:rPr>
              <w:t>4%</w:t>
            </w:r>
          </w:p>
        </w:tc>
      </w:tr>
      <w:tr w:rsidR="00256727" w:rsidTr="00BD317A" w14:paraId="561819DB" w14:textId="77777777">
        <w:tc>
          <w:tcPr>
            <w:tcW w:w="704" w:type="dxa"/>
          </w:tcPr>
          <w:p w:rsidRPr="00857C40" w:rsidR="001F640D" w:rsidP="00857C40" w:rsidRDefault="001E3602" w14:paraId="5F5F2902" w14:textId="77777777">
            <w:pPr>
              <w:rPr>
                <w:szCs w:val="18"/>
              </w:rPr>
            </w:pPr>
            <w:r w:rsidRPr="00857C40">
              <w:rPr>
                <w:szCs w:val="18"/>
              </w:rPr>
              <w:t>2021</w:t>
            </w:r>
          </w:p>
        </w:tc>
        <w:tc>
          <w:tcPr>
            <w:tcW w:w="3260" w:type="dxa"/>
          </w:tcPr>
          <w:p w:rsidRPr="00857C40" w:rsidR="001F640D" w:rsidP="00857C40" w:rsidRDefault="001E3602" w14:paraId="60B521E4" w14:textId="77777777">
            <w:pPr>
              <w:rPr>
                <w:szCs w:val="18"/>
              </w:rPr>
            </w:pPr>
            <w:r w:rsidRPr="00857C40">
              <w:rPr>
                <w:szCs w:val="18"/>
              </w:rPr>
              <w:t>184</w:t>
            </w:r>
          </w:p>
        </w:tc>
        <w:tc>
          <w:tcPr>
            <w:tcW w:w="2977" w:type="dxa"/>
          </w:tcPr>
          <w:p w:rsidRPr="00857C40" w:rsidR="001F640D" w:rsidP="00857C40" w:rsidRDefault="001E3602" w14:paraId="1FE224D0" w14:textId="77777777">
            <w:pPr>
              <w:rPr>
                <w:szCs w:val="18"/>
              </w:rPr>
            </w:pPr>
            <w:r w:rsidRPr="00857C40">
              <w:rPr>
                <w:szCs w:val="18"/>
              </w:rPr>
              <w:t>11</w:t>
            </w:r>
          </w:p>
        </w:tc>
        <w:tc>
          <w:tcPr>
            <w:tcW w:w="590" w:type="dxa"/>
          </w:tcPr>
          <w:p w:rsidRPr="00857C40" w:rsidR="001F640D" w:rsidP="00857C40" w:rsidRDefault="001E3602" w14:paraId="41AAF224" w14:textId="77777777">
            <w:pPr>
              <w:rPr>
                <w:szCs w:val="18"/>
              </w:rPr>
            </w:pPr>
            <w:r w:rsidRPr="00857C40">
              <w:rPr>
                <w:szCs w:val="18"/>
              </w:rPr>
              <w:t>6%</w:t>
            </w:r>
          </w:p>
        </w:tc>
      </w:tr>
    </w:tbl>
    <w:p w:rsidR="00857C40" w:rsidP="00857C40" w:rsidRDefault="00857C40" w14:paraId="75A4CB09" w14:textId="77777777">
      <w:pPr>
        <w:rPr>
          <w:szCs w:val="18"/>
        </w:rPr>
      </w:pPr>
    </w:p>
    <w:p w:rsidRPr="00857C40" w:rsidR="001F640D" w:rsidP="00857C40" w:rsidRDefault="001E3602" w14:paraId="4E0E085D" w14:textId="77777777">
      <w:pPr>
        <w:rPr>
          <w:i/>
          <w:iCs/>
          <w:szCs w:val="18"/>
          <w:highlight w:val="yellow"/>
        </w:rPr>
      </w:pPr>
      <w:r w:rsidRPr="00857C40">
        <w:rPr>
          <w:szCs w:val="18"/>
        </w:rPr>
        <w:t xml:space="preserve">Bron: NZa, </w:t>
      </w:r>
      <w:r w:rsidRPr="00857C40">
        <w:rPr>
          <w:i/>
          <w:iCs/>
          <w:szCs w:val="18"/>
        </w:rPr>
        <w:t xml:space="preserve">Resultaten monitor verlaagde omzetdrempels in het jaar </w:t>
      </w:r>
      <w:r w:rsidRPr="00857C40">
        <w:rPr>
          <w:i/>
          <w:iCs/>
          <w:szCs w:val="18"/>
        </w:rPr>
        <w:t>2025</w:t>
      </w:r>
    </w:p>
    <w:p w:rsidRPr="00857C40" w:rsidR="001F640D" w:rsidP="00857C40" w:rsidRDefault="001F640D" w14:paraId="0B63A770" w14:textId="77777777">
      <w:pPr>
        <w:rPr>
          <w:szCs w:val="18"/>
          <w:highlight w:val="yellow"/>
        </w:rPr>
      </w:pPr>
    </w:p>
    <w:p w:rsidRPr="00857C40" w:rsidR="00B8198D" w:rsidP="00857C40" w:rsidRDefault="00B8198D" w14:paraId="091B2A64" w14:textId="77777777">
      <w:pPr>
        <w:rPr>
          <w:szCs w:val="18"/>
          <w:highlight w:val="yellow"/>
        </w:rPr>
      </w:pPr>
    </w:p>
    <w:p w:rsidRPr="00857C40" w:rsidR="00B8198D" w:rsidP="00857C40" w:rsidRDefault="00B8198D" w14:paraId="7235E25E" w14:textId="77777777">
      <w:pPr>
        <w:rPr>
          <w:szCs w:val="18"/>
          <w:highlight w:val="yellow"/>
        </w:rPr>
      </w:pPr>
    </w:p>
    <w:p w:rsidRPr="00857C40" w:rsidR="00B8198D" w:rsidP="00857C40" w:rsidRDefault="00B8198D" w14:paraId="183A1827" w14:textId="77777777">
      <w:pPr>
        <w:rPr>
          <w:szCs w:val="18"/>
          <w:highlight w:val="yellow"/>
        </w:rPr>
      </w:pPr>
    </w:p>
    <w:p w:rsidRPr="00857C40" w:rsidR="00B8198D" w:rsidP="00857C40" w:rsidRDefault="00B8198D" w14:paraId="07BD4825" w14:textId="77777777">
      <w:pPr>
        <w:rPr>
          <w:szCs w:val="18"/>
          <w:highlight w:val="yellow"/>
        </w:rPr>
      </w:pPr>
    </w:p>
    <w:p w:rsidRPr="00857C40" w:rsidR="00B8198D" w:rsidP="00857C40" w:rsidRDefault="00B8198D" w14:paraId="03855ADC" w14:textId="77777777">
      <w:pPr>
        <w:rPr>
          <w:szCs w:val="18"/>
          <w:highlight w:val="yellow"/>
        </w:rPr>
      </w:pPr>
    </w:p>
    <w:p w:rsidRPr="00857C40" w:rsidR="00B8198D" w:rsidP="00857C40" w:rsidRDefault="00B8198D" w14:paraId="2DFB4BDE" w14:textId="77777777">
      <w:pPr>
        <w:rPr>
          <w:szCs w:val="18"/>
          <w:highlight w:val="yellow"/>
        </w:rPr>
      </w:pPr>
    </w:p>
    <w:p w:rsidRPr="00857C40" w:rsidR="00B8198D" w:rsidP="00857C40" w:rsidRDefault="00B8198D" w14:paraId="1C9A41FE" w14:textId="77777777">
      <w:pPr>
        <w:rPr>
          <w:szCs w:val="18"/>
          <w:highlight w:val="yellow"/>
        </w:rPr>
      </w:pPr>
    </w:p>
    <w:p w:rsidRPr="00857C40" w:rsidR="00B8198D" w:rsidP="00857C40" w:rsidRDefault="00B8198D" w14:paraId="64E2658B" w14:textId="77777777">
      <w:pPr>
        <w:rPr>
          <w:szCs w:val="18"/>
          <w:highlight w:val="yellow"/>
        </w:rPr>
      </w:pPr>
    </w:p>
    <w:p w:rsidRPr="00857C40" w:rsidR="00B8198D" w:rsidP="00857C40" w:rsidRDefault="00B8198D" w14:paraId="5C5E6F25" w14:textId="77777777">
      <w:pPr>
        <w:rPr>
          <w:szCs w:val="18"/>
          <w:highlight w:val="yellow"/>
        </w:rPr>
      </w:pPr>
    </w:p>
    <w:p w:rsidRPr="00857C40" w:rsidR="00B8198D" w:rsidP="00857C40" w:rsidRDefault="00B8198D" w14:paraId="2DDABCA1" w14:textId="77777777">
      <w:pPr>
        <w:rPr>
          <w:szCs w:val="18"/>
          <w:highlight w:val="yellow"/>
        </w:rPr>
      </w:pPr>
    </w:p>
    <w:p w:rsidRPr="00857C40" w:rsidR="001F640D" w:rsidP="00857C40" w:rsidRDefault="001E3602" w14:paraId="3B832C54" w14:textId="77777777">
      <w:pPr>
        <w:rPr>
          <w:i/>
          <w:iCs/>
          <w:szCs w:val="18"/>
        </w:rPr>
      </w:pPr>
      <w:r w:rsidRPr="00857C40">
        <w:rPr>
          <w:i/>
          <w:iCs/>
          <w:szCs w:val="18"/>
        </w:rPr>
        <w:lastRenderedPageBreak/>
        <w:t>Achtergrond: omzetdrempels bij concentratietoetsing</w:t>
      </w:r>
    </w:p>
    <w:tbl>
      <w:tblPr>
        <w:tblStyle w:val="Tabelraster"/>
        <w:tblW w:w="0" w:type="auto"/>
        <w:tblCellMar>
          <w:top w:w="57" w:type="dxa"/>
          <w:left w:w="57" w:type="dxa"/>
          <w:bottom w:w="57" w:type="dxa"/>
          <w:right w:w="57" w:type="dxa"/>
        </w:tblCellMar>
        <w:tblLook w:val="04A0" w:firstRow="1" w:lastRow="0" w:firstColumn="1" w:lastColumn="0" w:noHBand="0" w:noVBand="1"/>
      </w:tblPr>
      <w:tblGrid>
        <w:gridCol w:w="7531"/>
      </w:tblGrid>
      <w:tr w:rsidR="00256727" w:rsidTr="00BD317A" w14:paraId="215B0067" w14:textId="77777777">
        <w:tc>
          <w:tcPr>
            <w:tcW w:w="7531" w:type="dxa"/>
          </w:tcPr>
          <w:p w:rsidRPr="00857C40" w:rsidR="001F640D" w:rsidP="00857C40" w:rsidRDefault="001E3602" w14:paraId="32486311" w14:textId="77777777">
            <w:pPr>
              <w:rPr>
                <w:szCs w:val="18"/>
              </w:rPr>
            </w:pPr>
            <w:r w:rsidRPr="00857C40">
              <w:rPr>
                <w:szCs w:val="18"/>
              </w:rPr>
              <w:t xml:space="preserve">Bij omzetten van een bepaalde hoogte moeten zorgpartijen hun concentratie niet alleen melden bij de NZa, maar ook bij de ACM. De ACM toets de voorgenomen concentratie dan aan de mededingingsregels. Vergeleken met de regels en omzetdrempels voor andere economische sectoren, moesten zorgpartijen tot 1 januari 2023 hun concentratie al bij een lager omzetniveau melden bij de ACM. </w:t>
            </w:r>
          </w:p>
          <w:p w:rsidRPr="00857C40" w:rsidR="001F640D" w:rsidP="00857C40" w:rsidRDefault="001F640D" w14:paraId="1E0D40C5" w14:textId="77777777">
            <w:pPr>
              <w:rPr>
                <w:szCs w:val="18"/>
              </w:rPr>
            </w:pPr>
          </w:p>
          <w:p w:rsidRPr="00857C40" w:rsidR="001F640D" w:rsidP="00857C40" w:rsidRDefault="001E3602" w14:paraId="7D7A84E1" w14:textId="77777777">
            <w:pPr>
              <w:rPr>
                <w:szCs w:val="18"/>
              </w:rPr>
            </w:pPr>
            <w:r w:rsidRPr="00857C40">
              <w:rPr>
                <w:szCs w:val="18"/>
              </w:rPr>
              <w:t xml:space="preserve">Tot 1 januari 2023 golden de volgende regels (omzetdrempels) voor de zorg: </w:t>
            </w:r>
          </w:p>
          <w:p w:rsidRPr="00857C40" w:rsidR="001F640D" w:rsidP="00857C40" w:rsidRDefault="001E3602" w14:paraId="6048983C" w14:textId="77777777">
            <w:pPr>
              <w:pStyle w:val="Lijstalinea"/>
              <w:numPr>
                <w:ilvl w:val="0"/>
                <w:numId w:val="2"/>
              </w:numPr>
              <w:suppressAutoHyphens/>
              <w:ind w:left="366" w:hanging="284"/>
            </w:pPr>
            <w:r w:rsidRPr="00857C40">
              <w:t>Ten minste twee van de betrokken ondernemingen hebben in het voorgaande kalenderjaar met het verlenen van zorg ieder afzonderlijk een omzet behaald van meer dan 5,5 miljoen euro.</w:t>
            </w:r>
          </w:p>
          <w:p w:rsidRPr="00857C40" w:rsidR="001F640D" w:rsidP="00857C40" w:rsidRDefault="001E3602" w14:paraId="5C05103C" w14:textId="77777777">
            <w:pPr>
              <w:pStyle w:val="Lijstalinea"/>
              <w:numPr>
                <w:ilvl w:val="0"/>
                <w:numId w:val="2"/>
              </w:numPr>
              <w:suppressAutoHyphens/>
              <w:ind w:left="366" w:hanging="284"/>
            </w:pPr>
            <w:r w:rsidRPr="00857C40">
              <w:t>Gezamenlijk hebben alle betrokken ondernemingen wereldwijd een jaaromzet van meer dan 55 miljoen euro, én</w:t>
            </w:r>
          </w:p>
          <w:p w:rsidRPr="00857C40" w:rsidR="001F640D" w:rsidP="00857C40" w:rsidRDefault="001E3602" w14:paraId="494CB0DA" w14:textId="77777777">
            <w:pPr>
              <w:pStyle w:val="Lijstalinea"/>
              <w:numPr>
                <w:ilvl w:val="0"/>
                <w:numId w:val="2"/>
              </w:numPr>
              <w:suppressAutoHyphens/>
              <w:ind w:left="366" w:hanging="284"/>
            </w:pPr>
            <w:r w:rsidRPr="00857C40">
              <w:t xml:space="preserve">Minimaal twee van de betrokken ondernemingen hebben elk minstens 10 miljoen euro omzet in Nederland behaald. </w:t>
            </w:r>
          </w:p>
          <w:p w:rsidRPr="00857C40" w:rsidR="001F640D" w:rsidP="00857C40" w:rsidRDefault="001F640D" w14:paraId="1E2979FB" w14:textId="77777777">
            <w:pPr>
              <w:rPr>
                <w:szCs w:val="18"/>
              </w:rPr>
            </w:pPr>
          </w:p>
          <w:p w:rsidRPr="00857C40" w:rsidR="001F640D" w:rsidP="00857C40" w:rsidRDefault="001E3602" w14:paraId="38396368" w14:textId="77777777">
            <w:pPr>
              <w:rPr>
                <w:szCs w:val="18"/>
              </w:rPr>
            </w:pPr>
            <w:r w:rsidRPr="00857C40">
              <w:rPr>
                <w:szCs w:val="18"/>
              </w:rPr>
              <w:t xml:space="preserve">Sinds 1 januari 2023 zijn de regels voor ACM-melding voor alle sectoren weer gelijk. De omzetdrempels zijn: </w:t>
            </w:r>
          </w:p>
          <w:p w:rsidRPr="00857C40" w:rsidR="001F640D" w:rsidP="00857C40" w:rsidRDefault="001E3602" w14:paraId="0CA762BA" w14:textId="77777777">
            <w:pPr>
              <w:pStyle w:val="Lijstalinea"/>
              <w:numPr>
                <w:ilvl w:val="0"/>
                <w:numId w:val="3"/>
              </w:numPr>
              <w:suppressAutoHyphens/>
              <w:ind w:left="366" w:hanging="284"/>
            </w:pPr>
            <w:r w:rsidRPr="00857C40">
              <w:t>De ondernemingen die samengaan, hebben samen wereldwijd een jaaromzet van 150 miljoen euro of meer, én</w:t>
            </w:r>
          </w:p>
          <w:p w:rsidRPr="00857C40" w:rsidR="001F640D" w:rsidP="00857C40" w:rsidRDefault="001E3602" w14:paraId="0C833A29" w14:textId="77777777">
            <w:pPr>
              <w:pStyle w:val="Lijstalinea"/>
              <w:numPr>
                <w:ilvl w:val="0"/>
                <w:numId w:val="3"/>
              </w:numPr>
              <w:suppressAutoHyphens/>
              <w:ind w:left="366" w:hanging="284"/>
            </w:pPr>
            <w:r w:rsidRPr="00857C40">
              <w:t>Minimaal twee van de betrokken ondernemingen hebben elk in Nederland een jaaromzet van 30 miljoen euro of meer behaald.</w:t>
            </w:r>
          </w:p>
        </w:tc>
      </w:tr>
    </w:tbl>
    <w:p w:rsidRPr="00857C40" w:rsidR="001F640D" w:rsidP="00857C40" w:rsidRDefault="001F640D" w14:paraId="3B2B2A2A" w14:textId="77777777">
      <w:pPr>
        <w:rPr>
          <w:szCs w:val="18"/>
          <w:highlight w:val="yellow"/>
        </w:rPr>
      </w:pPr>
    </w:p>
    <w:p w:rsidRPr="00857C40" w:rsidR="001F640D" w:rsidP="00857C40" w:rsidRDefault="001E3602" w14:paraId="01FD5053" w14:textId="77777777">
      <w:pPr>
        <w:rPr>
          <w:szCs w:val="18"/>
        </w:rPr>
      </w:pPr>
      <w:r w:rsidRPr="00857C40">
        <w:rPr>
          <w:szCs w:val="18"/>
        </w:rPr>
        <w:t xml:space="preserve">In 2025 is het aantal concentraties in het verlaagde omzetsegment met betrokkenheid van private equity relatief gezien hetzelfde gebleven (1 van de 4 concentraties in 2025 t.o.v. 2 van de 8 concentraties in 2024). Dezelfde cijfers gelden voor concentraties met betrokkenheid van een buitenlandse partij. Het aantal concentraties met betrokkenheid een organisatie die vaker aanvragen indient, is in 2025 helemaal niet </w:t>
      </w:r>
      <w:r w:rsidRPr="00857C40" w:rsidR="00B8198D">
        <w:rPr>
          <w:szCs w:val="18"/>
        </w:rPr>
        <w:t>voorgekomen</w:t>
      </w:r>
      <w:r w:rsidRPr="00857C40">
        <w:rPr>
          <w:szCs w:val="18"/>
        </w:rPr>
        <w:t xml:space="preserve">. Dit jaar laat de NZa-monitor zien dat in het verlaagde omzetsegment </w:t>
      </w:r>
      <w:bookmarkStart w:name="_Hlk226708874" w:id="3"/>
      <w:r w:rsidRPr="00857C40">
        <w:rPr>
          <w:szCs w:val="18"/>
        </w:rPr>
        <w:t xml:space="preserve">nog steeds geringe variatie over de jaren zichtbaar is tussen concentraties naar sector, betrokkenheid van private equity, betrokkenheid van een buitenlandse partij en regio. </w:t>
      </w:r>
      <w:bookmarkEnd w:id="3"/>
      <w:r w:rsidRPr="00857C40">
        <w:rPr>
          <w:szCs w:val="18"/>
        </w:rPr>
        <w:t>Het besluit om de verlaagde omzetdrempels los te laten lijkt dus net als voorgaande jaar geen aanzuigende werking te hebben op een specifiek type concentratie die anders getoetst zou moeten worden of eerder is afgewezen door de ACM. Daarmee wordt gecalcule</w:t>
      </w:r>
      <w:r w:rsidRPr="00857C40">
        <w:rPr>
          <w:szCs w:val="18"/>
        </w:rPr>
        <w:t xml:space="preserve">erd gedrag door aanbieders uitgesloten.  </w:t>
      </w:r>
    </w:p>
    <w:p w:rsidRPr="00857C40" w:rsidR="001F640D" w:rsidP="00857C40" w:rsidRDefault="001F640D" w14:paraId="6DFF2311" w14:textId="77777777">
      <w:pPr>
        <w:rPr>
          <w:i/>
          <w:iCs/>
          <w:szCs w:val="18"/>
          <w:highlight w:val="yellow"/>
        </w:rPr>
      </w:pPr>
    </w:p>
    <w:p w:rsidRPr="00857C40" w:rsidR="001F640D" w:rsidP="00857C40" w:rsidRDefault="001E3602" w14:paraId="6FF135BE" w14:textId="77777777">
      <w:pPr>
        <w:rPr>
          <w:i/>
          <w:iCs/>
          <w:szCs w:val="18"/>
        </w:rPr>
      </w:pPr>
      <w:r w:rsidRPr="00857C40">
        <w:rPr>
          <w:i/>
          <w:iCs/>
          <w:szCs w:val="18"/>
        </w:rPr>
        <w:t>Conclusie en vervolg</w:t>
      </w:r>
    </w:p>
    <w:p w:rsidRPr="00857C40" w:rsidR="001F640D" w:rsidP="00857C40" w:rsidRDefault="001E3602" w14:paraId="13A7A074" w14:textId="77777777">
      <w:pPr>
        <w:rPr>
          <w:szCs w:val="18"/>
        </w:rPr>
      </w:pPr>
      <w:r w:rsidRPr="00857C40">
        <w:rPr>
          <w:szCs w:val="18"/>
        </w:rPr>
        <w:t xml:space="preserve">In de afgelopen jaren heeft het loslaten van de verlaagde omzetdrempels niet geleid tot significante gevolgen voor het zorglandschap. Dit wordt bevestigd door de NZa. Daarom heeft het kabinet, in overleg met de NZa, besloten om de aanvullende monitor van de NZa naar de effecten van het loslaten van de verlaagde omzetdrempels te </w:t>
      </w:r>
      <w:bookmarkStart w:name="_Hlk226635148" w:id="4"/>
      <w:r w:rsidRPr="00857C40">
        <w:rPr>
          <w:szCs w:val="18"/>
        </w:rPr>
        <w:t>beëindigen</w:t>
      </w:r>
      <w:bookmarkEnd w:id="4"/>
      <w:r w:rsidRPr="00857C40">
        <w:rPr>
          <w:szCs w:val="18"/>
        </w:rPr>
        <w:t xml:space="preserve">. Dit heeft ook positieve effecten op administratieve lasten van zowel zorgaanbieders als uitvoeringslasten bij de NZa. De NZa zal haar jaarlijkse Informatiekaart concentraties in de zorg wel voortzetten. </w:t>
      </w:r>
    </w:p>
    <w:p w:rsidRPr="00857C40" w:rsidR="001F640D" w:rsidP="00857C40" w:rsidRDefault="001F640D" w14:paraId="20C3414F" w14:textId="77777777">
      <w:pPr>
        <w:rPr>
          <w:szCs w:val="18"/>
        </w:rPr>
      </w:pPr>
    </w:p>
    <w:p w:rsidR="00B8198D" w:rsidP="00857C40" w:rsidRDefault="001E3602" w14:paraId="7DAD2BE4" w14:textId="77777777">
      <w:pPr>
        <w:rPr>
          <w:szCs w:val="18"/>
        </w:rPr>
      </w:pPr>
      <w:r w:rsidRPr="00857C40">
        <w:rPr>
          <w:szCs w:val="18"/>
        </w:rPr>
        <w:t xml:space="preserve">Tegelijkertijd wil dit kabinet voorkomen dat zich evident onwenselijke concentraties kunnen voordoen in de zorg. Het kabinet werkt daarom aan aanscherpingen van de Zft om de NZa meer mogelijkheden te geven om evident onwenselijke fusies te kunnen tegenhouden. </w:t>
      </w:r>
    </w:p>
    <w:p w:rsidRPr="00857C40" w:rsidR="00857C40" w:rsidP="00857C40" w:rsidRDefault="00857C40" w14:paraId="7779D2DE" w14:textId="77777777">
      <w:pPr>
        <w:rPr>
          <w:szCs w:val="18"/>
        </w:rPr>
      </w:pPr>
    </w:p>
    <w:p w:rsidRPr="00857C40" w:rsidR="001F640D" w:rsidP="00857C40" w:rsidRDefault="001E3602" w14:paraId="179B9765" w14:textId="77777777">
      <w:pPr>
        <w:rPr>
          <w:szCs w:val="18"/>
        </w:rPr>
      </w:pPr>
      <w:r w:rsidRPr="00857C40">
        <w:rPr>
          <w:szCs w:val="18"/>
        </w:rPr>
        <w:lastRenderedPageBreak/>
        <w:t xml:space="preserve">De toezegging om dit wetsvoorstel in het tweede kwartaal 2026 naar de Kamer te sturen, is helaas niet haalbaar. Dit vanwege opgelopen vertraging door de uitvoering van de noodzakelijke toetsen. </w:t>
      </w:r>
      <w:bookmarkStart w:name="_Hlk226635389" w:id="5"/>
      <w:r w:rsidRPr="00857C40">
        <w:rPr>
          <w:szCs w:val="18"/>
        </w:rPr>
        <w:t xml:space="preserve">Het kabinet streeft ernaar om het wetsvoorstel in het derde kwartaal 2026 naar de Kamer te sturen. </w:t>
      </w:r>
      <w:bookmarkEnd w:id="5"/>
    </w:p>
    <w:p w:rsidRPr="00857C40" w:rsidR="001F640D" w:rsidP="00857C40" w:rsidRDefault="001F640D" w14:paraId="470BC433" w14:textId="77777777">
      <w:pPr>
        <w:rPr>
          <w:szCs w:val="18"/>
        </w:rPr>
      </w:pPr>
    </w:p>
    <w:p w:rsidRPr="00857C40" w:rsidR="00334C45" w:rsidP="00857C40" w:rsidRDefault="001E3602" w14:paraId="2972AF72" w14:textId="77777777">
      <w:pPr>
        <w:rPr>
          <w:szCs w:val="18"/>
        </w:rPr>
      </w:pPr>
      <w:r w:rsidRPr="00857C40">
        <w:rPr>
          <w:szCs w:val="18"/>
        </w:rPr>
        <w:t xml:space="preserve">Daarnaast werkt het Kamerlid Bushoff aan het initiatiefvoorstel om de ACM een inroepbevoegdheid (ook wel call-in bevoegdheid) te geven. Het ministerie van Economische Zaken en Klimaat (EZK) kijkt hier scherp naar, ook gezien het voornemen in het coalitieakkoord om de ACM nieuwe instrumenten te geven, waaronder de inroepbevoegdheid. Doel van deze maatregel is het bevorderen van eerlijke concurrentie in de gehele economie. In de uitwerking wordt gezorgd voor het beperken van de regeldruk en onzekerheid. Deze </w:t>
      </w:r>
      <w:r w:rsidRPr="00857C40">
        <w:rPr>
          <w:szCs w:val="18"/>
        </w:rPr>
        <w:t>maatregel heeft ook gevolgen voor fusies en overnames in de zorg. Daarover vindt afstemming plaats tussen de betrokken ministeries. De Kamer wordt als vanzelfsprekend geïnformeerd over de voortgang.</w:t>
      </w:r>
      <w:bookmarkEnd w:id="1"/>
    </w:p>
    <w:p w:rsidRPr="00857C40" w:rsidR="00CD5856" w:rsidP="00857C40" w:rsidRDefault="001E3602" w14:paraId="2FC176DE" w14:textId="77777777">
      <w:pPr>
        <w:pStyle w:val="Huisstijl-Slotzin"/>
        <w:rPr>
          <w:szCs w:val="18"/>
        </w:rPr>
      </w:pPr>
      <w:r w:rsidRPr="00857C40">
        <w:rPr>
          <w:szCs w:val="18"/>
        </w:rPr>
        <w:t>Hoogachtend,</w:t>
      </w:r>
    </w:p>
    <w:p w:rsidRPr="00857C40" w:rsidR="00BC481F" w:rsidP="00857C40" w:rsidRDefault="00BC481F" w14:paraId="2BF9DCF2" w14:textId="77777777">
      <w:pPr>
        <w:spacing w:line="240" w:lineRule="auto"/>
        <w:rPr>
          <w:noProof/>
          <w:szCs w:val="18"/>
        </w:rPr>
      </w:pPr>
    </w:p>
    <w:p w:rsidR="00857C40" w:rsidP="00857C40" w:rsidRDefault="001E3602" w14:paraId="2B9DEF88" w14:textId="77777777">
      <w:pPr>
        <w:spacing w:line="240" w:lineRule="atLeast"/>
        <w:rPr>
          <w:szCs w:val="18"/>
        </w:rPr>
      </w:pPr>
      <w:r w:rsidRPr="00857C40">
        <w:rPr>
          <w:szCs w:val="18"/>
        </w:rPr>
        <w:t>de minister van Volksgezondheid,</w:t>
      </w:r>
    </w:p>
    <w:p w:rsidRPr="00857C40" w:rsidR="00C62B6C" w:rsidP="00857C40" w:rsidRDefault="001E3602" w14:paraId="64FAF00C" w14:textId="77777777">
      <w:pPr>
        <w:spacing w:line="240" w:lineRule="atLeast"/>
        <w:rPr>
          <w:szCs w:val="18"/>
        </w:rPr>
      </w:pPr>
      <w:r w:rsidRPr="00857C40">
        <w:rPr>
          <w:szCs w:val="18"/>
        </w:rPr>
        <w:t>Welzijn en Sport ,</w:t>
      </w:r>
    </w:p>
    <w:p w:rsidRPr="00857C40" w:rsidR="00C62B6C" w:rsidP="00857C40" w:rsidRDefault="00C62B6C" w14:paraId="09D7ECAE" w14:textId="77777777">
      <w:pPr>
        <w:spacing w:line="240" w:lineRule="atLeast"/>
        <w:rPr>
          <w:szCs w:val="18"/>
        </w:rPr>
      </w:pPr>
      <w:bookmarkStart w:name="bmkHandtekening" w:id="6"/>
    </w:p>
    <w:bookmarkEnd w:id="6"/>
    <w:p w:rsidR="00857C40" w:rsidP="00857C40" w:rsidRDefault="00857C40" w14:paraId="3B9F8D67" w14:textId="77777777">
      <w:pPr>
        <w:spacing w:line="240" w:lineRule="atLeast"/>
        <w:rPr>
          <w:szCs w:val="18"/>
        </w:rPr>
      </w:pPr>
    </w:p>
    <w:p w:rsidR="00857C40" w:rsidP="00857C40" w:rsidRDefault="00857C40" w14:paraId="7300791D" w14:textId="77777777">
      <w:pPr>
        <w:spacing w:line="240" w:lineRule="atLeast"/>
        <w:rPr>
          <w:szCs w:val="18"/>
        </w:rPr>
      </w:pPr>
    </w:p>
    <w:p w:rsidRPr="00857C40" w:rsidR="00C62B6C" w:rsidP="00857C40" w:rsidRDefault="001E3602" w14:paraId="74333F6C" w14:textId="77777777">
      <w:pPr>
        <w:spacing w:line="240" w:lineRule="atLeast"/>
        <w:rPr>
          <w:szCs w:val="18"/>
        </w:rPr>
      </w:pPr>
      <w:r w:rsidRPr="00857C40">
        <w:rPr>
          <w:szCs w:val="18"/>
        </w:rPr>
        <w:cr/>
      </w:r>
      <w:r w:rsidRPr="00857C40">
        <w:rPr>
          <w:szCs w:val="18"/>
        </w:rPr>
        <w:cr/>
      </w:r>
    </w:p>
    <w:p w:rsidRPr="00857C40" w:rsidR="00C62B6C" w:rsidP="00857C40" w:rsidRDefault="001E3602" w14:paraId="6D151608" w14:textId="77777777">
      <w:pPr>
        <w:spacing w:line="240" w:lineRule="atLeast"/>
        <w:rPr>
          <w:szCs w:val="18"/>
        </w:rPr>
      </w:pPr>
      <w:r w:rsidRPr="00857C40">
        <w:rPr>
          <w:szCs w:val="18"/>
        </w:rPr>
        <w:t>Sophie Hermans</w:t>
      </w:r>
    </w:p>
    <w:p w:rsidRPr="00857C40" w:rsidR="00C95CA9" w:rsidP="00857C40" w:rsidRDefault="00C95CA9" w14:paraId="5CFB1E3A" w14:textId="77777777">
      <w:pPr>
        <w:spacing w:line="240" w:lineRule="auto"/>
        <w:rPr>
          <w:noProof/>
          <w:szCs w:val="18"/>
        </w:rPr>
      </w:pPr>
    </w:p>
    <w:sectPr w:rsidRPr="00857C40" w:rsidR="00C95CA9"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D19DB" w14:textId="77777777" w:rsidR="001E3602" w:rsidRDefault="001E3602">
      <w:pPr>
        <w:spacing w:line="240" w:lineRule="auto"/>
      </w:pPr>
      <w:r>
        <w:separator/>
      </w:r>
    </w:p>
  </w:endnote>
  <w:endnote w:type="continuationSeparator" w:id="0">
    <w:p w14:paraId="266E9646" w14:textId="77777777" w:rsidR="001E3602" w:rsidRDefault="001E36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B303D" w14:textId="77777777" w:rsidR="00DC7639" w:rsidRDefault="001E3602">
    <w:pPr>
      <w:pStyle w:val="Voettekst"/>
    </w:pPr>
    <w:r>
      <w:rPr>
        <w:noProof/>
        <w:lang w:val="en-US" w:eastAsia="en-US" w:bidi="ar-SA"/>
      </w:rPr>
      <w:pict w14:anchorId="07A4239D">
        <v:shapetype id="_x0000_t202" coordsize="21600,21600" o:spt="202" path="m,l,21600r21600,l21600,xe">
          <v:stroke joinstyle="miter"/>
          <v:path gradientshapeok="t" o:connecttype="rect"/>
        </v:shapetype>
        <v:shape id="Text Box 25" o:spid="_x0000_s2054"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77A2ECEE" w14:textId="77777777" w:rsidR="00DC7639" w:rsidRDefault="001E3602"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66B48" w14:textId="77777777" w:rsidR="005D3F28" w:rsidRDefault="001E3602">
      <w:pPr>
        <w:spacing w:line="240" w:lineRule="auto"/>
      </w:pPr>
      <w:r>
        <w:separator/>
      </w:r>
    </w:p>
  </w:footnote>
  <w:footnote w:type="continuationSeparator" w:id="0">
    <w:p w14:paraId="68A1F9D9" w14:textId="77777777" w:rsidR="005D3F28" w:rsidRDefault="001E3602">
      <w:pPr>
        <w:spacing w:line="240" w:lineRule="auto"/>
      </w:pPr>
      <w:r>
        <w:continuationSeparator/>
      </w:r>
    </w:p>
  </w:footnote>
  <w:footnote w:id="1">
    <w:p w14:paraId="71900FE2" w14:textId="77777777" w:rsidR="001F640D" w:rsidRPr="007B36B5" w:rsidRDefault="001E3602" w:rsidP="001F640D">
      <w:pPr>
        <w:pStyle w:val="Voetnoottekst"/>
        <w:suppressAutoHyphens/>
        <w:rPr>
          <w:sz w:val="16"/>
          <w:szCs w:val="16"/>
        </w:rPr>
      </w:pPr>
      <w:r w:rsidRPr="007B36B5">
        <w:rPr>
          <w:rStyle w:val="Voetnootmarkering"/>
          <w:sz w:val="16"/>
          <w:szCs w:val="16"/>
        </w:rPr>
        <w:footnoteRef/>
      </w:r>
      <w:r w:rsidRPr="007B36B5">
        <w:rPr>
          <w:sz w:val="16"/>
          <w:szCs w:val="16"/>
        </w:rPr>
        <w:t xml:space="preserve"> Een verlaging kan voor een periode van vijf jaar bij AMvB worden ingevoerd (artikel 29 derde lid Mw)</w:t>
      </w:r>
      <w:r>
        <w:rPr>
          <w:sz w:val="16"/>
          <w:szCs w:val="16"/>
        </w:rPr>
        <w:t xml:space="preserve">. Sinds 2008 zijn de verlaagde </w:t>
      </w:r>
      <w:r>
        <w:rPr>
          <w:sz w:val="16"/>
          <w:szCs w:val="16"/>
        </w:rPr>
        <w:t>omzetdrempels twee keer voor een periode van vijf jaar verlengd. Vanaf 1 januari 2023 zijn er geen verlaagde omzetdrempels in de zorg van toepassing.</w:t>
      </w:r>
    </w:p>
  </w:footnote>
  <w:footnote w:id="2">
    <w:p w14:paraId="3EBE4D55" w14:textId="77777777" w:rsidR="001F640D" w:rsidRPr="00C6771F" w:rsidRDefault="001E3602" w:rsidP="001F640D">
      <w:pPr>
        <w:pStyle w:val="Voetnoottekst"/>
        <w:suppressAutoHyphens/>
        <w:rPr>
          <w:sz w:val="16"/>
          <w:szCs w:val="16"/>
        </w:rPr>
      </w:pPr>
      <w:r w:rsidRPr="00C6771F">
        <w:rPr>
          <w:rStyle w:val="Voetnootmarkering"/>
          <w:sz w:val="16"/>
          <w:szCs w:val="16"/>
        </w:rPr>
        <w:footnoteRef/>
      </w:r>
      <w:r w:rsidRPr="00C6771F">
        <w:rPr>
          <w:sz w:val="16"/>
          <w:szCs w:val="16"/>
        </w:rPr>
        <w:t xml:space="preserve"> Kamerstukken II 2021-2022, 32 620, nr. 275</w:t>
      </w:r>
    </w:p>
  </w:footnote>
  <w:footnote w:id="3">
    <w:p w14:paraId="25A99604" w14:textId="77777777" w:rsidR="001F640D" w:rsidRDefault="001E3602" w:rsidP="001F640D">
      <w:pPr>
        <w:pStyle w:val="Voetnoottekst"/>
      </w:pPr>
      <w:r w:rsidRPr="00E9084C">
        <w:rPr>
          <w:rStyle w:val="Voetnootmarkering"/>
          <w:sz w:val="16"/>
          <w:szCs w:val="16"/>
        </w:rPr>
        <w:footnoteRef/>
      </w:r>
      <w:r w:rsidRPr="005E09A1">
        <w:t xml:space="preserve"> </w:t>
      </w:r>
      <w:r w:rsidRPr="005E09A1">
        <w:rPr>
          <w:sz w:val="16"/>
          <w:szCs w:val="16"/>
        </w:rPr>
        <w:t>Kamerstukken II 2022-2023, 32 620</w:t>
      </w:r>
      <w:r>
        <w:rPr>
          <w:sz w:val="16"/>
          <w:szCs w:val="16"/>
        </w:rPr>
        <w:t>,</w:t>
      </w:r>
      <w:r w:rsidRPr="005E09A1">
        <w:rPr>
          <w:sz w:val="16"/>
          <w:szCs w:val="16"/>
        </w:rPr>
        <w:t xml:space="preserve"> nr. 28</w:t>
      </w:r>
      <w:r>
        <w:rPr>
          <w:sz w:val="16"/>
          <w:szCs w:val="16"/>
        </w:rPr>
        <w:t>0</w:t>
      </w:r>
    </w:p>
  </w:footnote>
  <w:footnote w:id="4">
    <w:p w14:paraId="75ECCCA6" w14:textId="77777777" w:rsidR="001F640D" w:rsidRPr="001A4FB6" w:rsidRDefault="001E3602" w:rsidP="001F640D">
      <w:pPr>
        <w:pStyle w:val="Voetnoottekst"/>
        <w:suppressAutoHyphens/>
        <w:rPr>
          <w:sz w:val="16"/>
          <w:szCs w:val="16"/>
        </w:rPr>
      </w:pPr>
      <w:r w:rsidRPr="00E9084C">
        <w:rPr>
          <w:rStyle w:val="Voetnootmarkering"/>
          <w:sz w:val="16"/>
          <w:szCs w:val="16"/>
        </w:rPr>
        <w:footnoteRef/>
      </w:r>
      <w:r>
        <w:t xml:space="preserve"> </w:t>
      </w:r>
      <w:r w:rsidRPr="000F3A79">
        <w:rPr>
          <w:sz w:val="16"/>
          <w:szCs w:val="16"/>
        </w:rPr>
        <w:t>Het gaat hier om concentraties in de zin van de Mededingingswet zoals een fusie of overname. Niet te verwarren met concentratie van zorg waarbij een zorgaanbieder een profielkeuze maakt en zich specialiseert in een specifiek onderdeel van zorg</w:t>
      </w:r>
      <w:r>
        <w:rPr>
          <w:sz w:val="16"/>
          <w:szCs w:val="16"/>
        </w:rPr>
        <w:t>.</w:t>
      </w:r>
    </w:p>
  </w:footnote>
  <w:footnote w:id="5">
    <w:p w14:paraId="1873FB29" w14:textId="77777777" w:rsidR="001F640D" w:rsidRPr="00330E9A" w:rsidRDefault="001E3602" w:rsidP="001F640D">
      <w:pPr>
        <w:pStyle w:val="Voetnoottekst"/>
        <w:suppressAutoHyphens/>
        <w:rPr>
          <w:sz w:val="16"/>
          <w:szCs w:val="16"/>
        </w:rPr>
      </w:pPr>
      <w:r w:rsidRPr="00330E9A">
        <w:rPr>
          <w:rStyle w:val="Voetnootmarkering"/>
          <w:sz w:val="16"/>
          <w:szCs w:val="16"/>
        </w:rPr>
        <w:footnoteRef/>
      </w:r>
      <w:r w:rsidRPr="00330E9A">
        <w:rPr>
          <w:sz w:val="16"/>
          <w:szCs w:val="16"/>
        </w:rPr>
        <w:t xml:space="preserve"> </w:t>
      </w:r>
      <w:hyperlink r:id="rId1" w:history="1">
        <w:r w:rsidR="001F640D" w:rsidRPr="00E47A7C">
          <w:rPr>
            <w:rStyle w:val="Hyperlink"/>
            <w:sz w:val="16"/>
            <w:szCs w:val="16"/>
          </w:rPr>
          <w:t>Informatiekaart Concentraties in de zorg in het jaar 2025</w:t>
        </w:r>
      </w:hyperlink>
    </w:p>
  </w:footnote>
  <w:footnote w:id="6">
    <w:p w14:paraId="34771B4D" w14:textId="77777777" w:rsidR="001F640D" w:rsidRPr="00330E9A" w:rsidRDefault="001E3602" w:rsidP="001F640D">
      <w:pPr>
        <w:pStyle w:val="Voetnoottekst"/>
        <w:suppressAutoHyphens/>
        <w:rPr>
          <w:sz w:val="16"/>
          <w:szCs w:val="16"/>
        </w:rPr>
      </w:pPr>
      <w:r w:rsidRPr="00330E9A">
        <w:rPr>
          <w:rStyle w:val="Voetnootmarkering"/>
          <w:sz w:val="16"/>
          <w:szCs w:val="16"/>
        </w:rPr>
        <w:footnoteRef/>
      </w:r>
      <w:r w:rsidRPr="00330E9A">
        <w:rPr>
          <w:sz w:val="16"/>
          <w:szCs w:val="16"/>
        </w:rPr>
        <w:t xml:space="preserve"> </w:t>
      </w:r>
      <w:r w:rsidR="001B7A97">
        <w:rPr>
          <w:sz w:val="16"/>
          <w:szCs w:val="16"/>
        </w:rPr>
        <w:t xml:space="preserve">Zie bijlage “Monitoring effecten loslaten verlaagde omzetdrempels 2025” bij </w:t>
      </w:r>
      <w:hyperlink r:id="rId2" w:history="1">
        <w:r w:rsidR="001B7A97" w:rsidRPr="00E47A7C">
          <w:rPr>
            <w:rStyle w:val="Hyperlink"/>
            <w:sz w:val="16"/>
            <w:szCs w:val="16"/>
          </w:rPr>
          <w:t>Informatiekaart Concentraties in de zorg in het jaar 2025</w:t>
        </w:r>
      </w:hyperlink>
      <w:r w:rsidR="001B7A97">
        <w:t>.</w:t>
      </w:r>
    </w:p>
  </w:footnote>
  <w:footnote w:id="7">
    <w:p w14:paraId="585F36C8" w14:textId="77777777" w:rsidR="001F640D" w:rsidRPr="00F046F4" w:rsidRDefault="001E3602" w:rsidP="001F640D">
      <w:pPr>
        <w:pStyle w:val="Voetnoottekst"/>
        <w:suppressAutoHyphens/>
        <w:rPr>
          <w:sz w:val="16"/>
          <w:szCs w:val="16"/>
        </w:rPr>
      </w:pPr>
      <w:r w:rsidRPr="00F046F4">
        <w:rPr>
          <w:rStyle w:val="Voetnootmarkering"/>
          <w:sz w:val="16"/>
          <w:szCs w:val="16"/>
        </w:rPr>
        <w:footnoteRef/>
      </w:r>
      <w:r w:rsidRPr="00F046F4">
        <w:rPr>
          <w:sz w:val="16"/>
          <w:szCs w:val="16"/>
        </w:rPr>
        <w:t xml:space="preserve"> Het aantal goedgekeurde concentratieaanvragen bij de NZa is bijgewerkt ten opzichte van de </w:t>
      </w:r>
      <w:r>
        <w:rPr>
          <w:sz w:val="16"/>
          <w:szCs w:val="16"/>
        </w:rPr>
        <w:t>tweede</w:t>
      </w:r>
      <w:r w:rsidRPr="00F046F4">
        <w:rPr>
          <w:sz w:val="16"/>
          <w:szCs w:val="16"/>
        </w:rPr>
        <w:t xml:space="preserve"> monitor verlaagde omzetdrempel. Hier stond in de </w:t>
      </w:r>
      <w:r>
        <w:rPr>
          <w:sz w:val="16"/>
          <w:szCs w:val="16"/>
        </w:rPr>
        <w:t>tweede</w:t>
      </w:r>
      <w:r w:rsidRPr="00F046F4">
        <w:rPr>
          <w:sz w:val="16"/>
          <w:szCs w:val="16"/>
        </w:rPr>
        <w:t xml:space="preserve"> monitor 175, maar moet 200 zijn. Het percentage is bijgewerkt van 7% naar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CF268" w14:textId="77777777" w:rsidR="00CD5856" w:rsidRDefault="001E3602">
    <w:pPr>
      <w:pStyle w:val="Koptekst"/>
    </w:pPr>
    <w:r>
      <w:rPr>
        <w:noProof/>
        <w:lang w:eastAsia="nl-NL" w:bidi="ar-SA"/>
      </w:rPr>
      <w:drawing>
        <wp:anchor distT="0" distB="0" distL="114300" distR="114300" simplePos="0" relativeHeight="251652096" behindDoc="1" locked="0" layoutInCell="1" allowOverlap="1" wp14:anchorId="40AEDD86" wp14:editId="0F75398C">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1F2D5780" wp14:editId="29828059">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0E82AEAD">
        <v:shapetype id="_x0000_t202" coordsize="21600,21600" o:spt="202" path="m,l,21600r21600,l21600,xe">
          <v:stroke joinstyle="miter"/>
          <v:path gradientshapeok="t" o:connecttype="rect"/>
        </v:shapetype>
        <v:shape id="Text Box 30" o:spid="_x0000_s2049"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4EDAEE64" w14:textId="77777777" w:rsidR="00CD5856" w:rsidRDefault="001E3602">
                <w:pPr>
                  <w:pStyle w:val="Huisstijl-AfzendgegevensW1"/>
                </w:pPr>
                <w:r>
                  <w:t>Bezoekadres</w:t>
                </w:r>
              </w:p>
              <w:p w14:paraId="3FF85469" w14:textId="77777777" w:rsidR="00CD5856" w:rsidRDefault="001E3602">
                <w:pPr>
                  <w:pStyle w:val="Huisstijl-Afzendgegevens"/>
                </w:pPr>
                <w:r>
                  <w:t>Parnassusplein 5</w:t>
                </w:r>
              </w:p>
              <w:p w14:paraId="34CB1111" w14:textId="77777777" w:rsidR="00CD5856" w:rsidRDefault="001E3602">
                <w:pPr>
                  <w:pStyle w:val="Huisstijl-Afzendgegevens"/>
                </w:pPr>
                <w:r>
                  <w:t>2511</w:t>
                </w:r>
                <w:r w:rsidR="008D59C5" w:rsidRPr="008D59C5">
                  <w:t xml:space="preserve"> </w:t>
                </w:r>
                <w:r>
                  <w:t>VX</w:t>
                </w:r>
                <w:r w:rsidR="00E1490C">
                  <w:t xml:space="preserve">  </w:t>
                </w:r>
                <w:r w:rsidR="008D59C5" w:rsidRPr="008D59C5">
                  <w:t>Den Haag</w:t>
                </w:r>
              </w:p>
              <w:p w14:paraId="6D5A999B" w14:textId="77777777" w:rsidR="00CD5856" w:rsidRDefault="001E3602">
                <w:pPr>
                  <w:pStyle w:val="Huisstijl-Afzendgegevens"/>
                </w:pPr>
                <w:r w:rsidRPr="008D59C5">
                  <w:t>www.rijksoverheid.nl</w:t>
                </w:r>
              </w:p>
              <w:p w14:paraId="47C3C6BF" w14:textId="77777777" w:rsidR="00CD5856" w:rsidRDefault="001E3602">
                <w:pPr>
                  <w:pStyle w:val="Huisstijl-ReferentiegegevenskopW2"/>
                </w:pPr>
                <w:r w:rsidRPr="008D59C5">
                  <w:t>Kenmerk</w:t>
                </w:r>
              </w:p>
              <w:p w14:paraId="3CAC558B" w14:textId="77777777" w:rsidR="00CD5856" w:rsidRDefault="001E3602">
                <w:pPr>
                  <w:pStyle w:val="Huisstijl-Referentiegegevens"/>
                </w:pPr>
                <w:bookmarkStart w:id="0" w:name="_Hlk117784077"/>
                <w:r>
                  <w:t>4370840-1097046-PZ</w:t>
                </w:r>
                <w:r w:rsidR="00B8198D">
                  <w:t>o</w:t>
                </w:r>
              </w:p>
              <w:bookmarkEnd w:id="0"/>
              <w:p w14:paraId="3A5A8C44" w14:textId="77777777" w:rsidR="00CD5856" w:rsidRPr="002B504F" w:rsidRDefault="001E3602">
                <w:pPr>
                  <w:pStyle w:val="Huisstijl-ReferentiegegevenskopW1"/>
                </w:pPr>
                <w:r w:rsidRPr="008D59C5">
                  <w:t>Bijlage(n)</w:t>
                </w:r>
              </w:p>
              <w:p w14:paraId="3EC3CD37" w14:textId="77777777" w:rsidR="00215CB5" w:rsidRPr="001F640D" w:rsidRDefault="001E3602">
                <w:pPr>
                  <w:pStyle w:val="Huisstijl-ReferentiegegevenskopW1"/>
                  <w:rPr>
                    <w:b w:val="0"/>
                    <w:bCs/>
                  </w:rPr>
                </w:pPr>
                <w:r w:rsidRPr="001F640D">
                  <w:rPr>
                    <w:b w:val="0"/>
                    <w:bCs/>
                  </w:rPr>
                  <w:t>2</w:t>
                </w:r>
              </w:p>
              <w:p w14:paraId="78A49FE0" w14:textId="77777777" w:rsidR="00CD5856" w:rsidRDefault="001E3602">
                <w:pPr>
                  <w:pStyle w:val="Huisstijl-ReferentiegegevenskopW1"/>
                </w:pPr>
                <w:r>
                  <w:t>Kenmerk afzender</w:t>
                </w:r>
              </w:p>
              <w:p w14:paraId="5E965FF7" w14:textId="77777777" w:rsidR="00CD5856" w:rsidRDefault="00CD5856">
                <w:pPr>
                  <w:pStyle w:val="Huisstijl-Referentiegegevens"/>
                </w:pPr>
              </w:p>
              <w:p w14:paraId="49EC6FDB" w14:textId="77777777" w:rsidR="00CD5856" w:rsidRDefault="001E3602">
                <w:pPr>
                  <w:pStyle w:val="Huisstijl-Algemenevoorwaarden"/>
                </w:pPr>
                <w:r>
                  <w:t xml:space="preserve">Correspondentie uitsluitend richten aan het retouradres met vermelding van de datum en het </w:t>
                </w:r>
                <w:r>
                  <w:t>kenmerk van deze brief.</w:t>
                </w:r>
              </w:p>
              <w:p w14:paraId="0E8BF855" w14:textId="77777777" w:rsidR="00CD5856" w:rsidRDefault="00CD5856"/>
            </w:txbxContent>
          </v:textbox>
          <w10:wrap anchorx="page" anchory="page"/>
        </v:shape>
      </w:pict>
    </w:r>
    <w:r>
      <w:rPr>
        <w:lang w:eastAsia="nl-NL" w:bidi="ar-SA"/>
      </w:rPr>
      <w:pict w14:anchorId="4673DC3E">
        <v:shape id="Text Box 29" o:spid="_x0000_s2050"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046317D2" w14:textId="7758F54F" w:rsidR="00CD5856" w:rsidRDefault="001E3602">
                <w:pPr>
                  <w:pStyle w:val="Huisstijl-Datumenbetreft"/>
                  <w:tabs>
                    <w:tab w:val="clear" w:pos="737"/>
                    <w:tab w:val="left" w:pos="-5954"/>
                    <w:tab w:val="left" w:pos="-5670"/>
                    <w:tab w:val="left" w:pos="1134"/>
                  </w:tabs>
                </w:pPr>
                <w:r>
                  <w:t>Datum</w:t>
                </w:r>
                <w:r w:rsidR="00E1490C">
                  <w:tab/>
                </w:r>
                <w:r w:rsidR="00C0691A">
                  <w:t>22 april 2026</w:t>
                </w:r>
              </w:p>
              <w:p w14:paraId="6895832B" w14:textId="77777777" w:rsidR="00CD5856" w:rsidRDefault="001E3602">
                <w:pPr>
                  <w:pStyle w:val="Huisstijl-Datumenbetreft"/>
                  <w:tabs>
                    <w:tab w:val="clear" w:pos="737"/>
                    <w:tab w:val="left" w:pos="-5954"/>
                    <w:tab w:val="left" w:pos="-5670"/>
                    <w:tab w:val="left" w:pos="1134"/>
                  </w:tabs>
                </w:pPr>
                <w:r>
                  <w:t>Betreft</w:t>
                </w:r>
                <w:r w:rsidR="00E1490C">
                  <w:tab/>
                </w:r>
                <w:r w:rsidR="001F640D">
                  <w:t>Vierde monitor effecten loslaten verlaagde omzetdrempels</w:t>
                </w:r>
              </w:p>
              <w:p w14:paraId="4AD5E515"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65D5159B">
        <v:shape id="Text Box 28" o:spid="_x0000_s2051"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579EF3B2" w14:textId="77777777" w:rsidR="00CD5856" w:rsidRDefault="00CD5856">
                <w:pPr>
                  <w:pStyle w:val="Huisstijl-Toezendgegevens"/>
                </w:pPr>
              </w:p>
            </w:txbxContent>
          </v:textbox>
          <w10:wrap anchorx="page" anchory="page"/>
        </v:shape>
      </w:pict>
    </w:r>
    <w:r>
      <w:rPr>
        <w:lang w:eastAsia="nl-NL" w:bidi="ar-SA"/>
      </w:rPr>
      <w:pict w14:anchorId="3AAAC868">
        <v:shape id="Text Box 27" o:spid="_x0000_s2052"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48CD1CF3" w14:textId="77777777" w:rsidR="00AB35F7" w:rsidRDefault="001E3602">
                <w:pPr>
                  <w:pStyle w:val="Huisstijl-Toezendgegevens"/>
                </w:pPr>
                <w:r>
                  <w:t>De Voorzitter van de Tweede Kamer</w:t>
                </w:r>
                <w:r w:rsidR="00B8198D">
                  <w:t xml:space="preserve"> </w:t>
                </w:r>
              </w:p>
              <w:p w14:paraId="7FDC69F8" w14:textId="77777777" w:rsidR="00CD5856" w:rsidRDefault="001E3602">
                <w:pPr>
                  <w:pStyle w:val="Huisstijl-Toezendgegevens"/>
                </w:pPr>
                <w: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44D7033D">
        <v:shape id="Text Box 26" o:spid="_x0000_s2053"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6282CF64" w14:textId="77777777" w:rsidR="00CD5856" w:rsidRDefault="001E3602">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DF5C" w14:textId="77777777" w:rsidR="00CD5856" w:rsidRDefault="001E3602">
    <w:pPr>
      <w:pStyle w:val="Koptekst"/>
    </w:pPr>
    <w:r>
      <w:rPr>
        <w:lang w:eastAsia="nl-NL" w:bidi="ar-SA"/>
      </w:rPr>
      <w:pict w14:anchorId="3EF6F974">
        <v:shapetype id="_x0000_t202" coordsize="21600,21600" o:spt="202" path="m,l,21600r21600,l21600,xe">
          <v:stroke joinstyle="miter"/>
          <v:path gradientshapeok="t" o:connecttype="rect"/>
        </v:shapetype>
        <v:shape id="Text Box 5" o:spid="_x0000_s2055"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7E62CE82" w14:textId="77777777" w:rsidR="00CD5856" w:rsidRDefault="001E3602">
                <w:pPr>
                  <w:pStyle w:val="Huisstijl-ReferentiegegevenskopW2"/>
                </w:pPr>
                <w:r w:rsidRPr="008D59C5">
                  <w:t>Kenmerk</w:t>
                </w:r>
              </w:p>
              <w:p w14:paraId="2F993E2C" w14:textId="77777777" w:rsidR="00C95CA9" w:rsidRPr="00C95CA9" w:rsidRDefault="001E3602" w:rsidP="00C95CA9">
                <w:pPr>
                  <w:pStyle w:val="Huisstijl-Referentiegegevens"/>
                </w:pPr>
                <w:r w:rsidRPr="00C95CA9">
                  <w:t>4370840-1097046-PZ</w:t>
                </w:r>
                <w:r w:rsidR="00B8198D">
                  <w:t>o</w:t>
                </w:r>
              </w:p>
              <w:p w14:paraId="24F2FC05" w14:textId="77777777" w:rsidR="00CD5856" w:rsidRDefault="00CD5856">
                <w:pPr>
                  <w:pStyle w:val="Huisstijl-Referentiegegevens"/>
                </w:pPr>
              </w:p>
            </w:txbxContent>
          </v:textbox>
          <w10:wrap anchorx="page" anchory="page"/>
        </v:shape>
      </w:pict>
    </w:r>
    <w:r>
      <w:rPr>
        <w:lang w:eastAsia="nl-NL" w:bidi="ar-SA"/>
      </w:rPr>
      <w:pict w14:anchorId="23CCB28E">
        <v:shape id="Text Box 18" o:spid="_x0000_s2056"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5E64126B" w14:textId="32E07F05" w:rsidR="00CD5856" w:rsidRDefault="001E3602">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AB35F7">
                  <w:fldChar w:fldCharType="begin"/>
                </w:r>
                <w:r>
                  <w:instrText xml:space="preserve"> SECTIONPAGES  \* Arabic  \* MERGEFORMAT </w:instrText>
                </w:r>
                <w:r w:rsidR="00AB35F7">
                  <w:fldChar w:fldCharType="separate"/>
                </w:r>
                <w:r>
                  <w:rPr>
                    <w:noProof/>
                  </w:rPr>
                  <w:t>4</w:t>
                </w:r>
                <w:r w:rsidR="00AB35F7">
                  <w:rPr>
                    <w:noProof/>
                  </w:rPr>
                  <w:fldChar w:fldCharType="end"/>
                </w:r>
              </w:p>
              <w:p w14:paraId="40237614" w14:textId="77777777" w:rsidR="00CD5856" w:rsidRDefault="00CD5856"/>
              <w:p w14:paraId="2B75A3A0" w14:textId="77777777" w:rsidR="00CD5856" w:rsidRDefault="00CD5856">
                <w:pPr>
                  <w:pStyle w:val="Huisstijl-Paginanummer"/>
                </w:pPr>
              </w:p>
              <w:p w14:paraId="5B12FA1B"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F820" w14:textId="77777777" w:rsidR="00CD5856" w:rsidRDefault="001E3602">
    <w:pPr>
      <w:pStyle w:val="Koptekst"/>
    </w:pPr>
    <w:r>
      <w:rPr>
        <w:lang w:eastAsia="nl-NL" w:bidi="ar-SA"/>
      </w:rPr>
      <w:pict w14:anchorId="7EEABC23">
        <v:shapetype id="_x0000_t202" coordsize="21600,21600" o:spt="202" path="m,l,21600r21600,l21600,xe">
          <v:stroke joinstyle="miter"/>
          <v:path gradientshapeok="t" o:connecttype="rect"/>
        </v:shapetype>
        <v:shape id="Text Box 16" o:spid="_x0000_s2057"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7C467268" w14:textId="77777777" w:rsidR="00CD5856" w:rsidRDefault="001E3602">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C0691A">
                      <w:t>26 juni 2014</w:t>
                    </w:r>
                  </w:sdtContent>
                </w:sdt>
              </w:p>
              <w:p w14:paraId="359FECCE" w14:textId="77777777" w:rsidR="00CD5856" w:rsidRDefault="001E3602">
                <w:pPr>
                  <w:pStyle w:val="Huisstijl-Datumenbetreft"/>
                  <w:tabs>
                    <w:tab w:val="left" w:pos="-5954"/>
                    <w:tab w:val="left" w:pos="-5670"/>
                  </w:tabs>
                </w:pPr>
                <w:r>
                  <w:t>Betreft</w:t>
                </w:r>
                <w:r>
                  <w:tab/>
                </w:r>
                <w:r w:rsidR="008D59C5">
                  <w:t>BETREFT</w:t>
                </w:r>
              </w:p>
              <w:p w14:paraId="534C7054"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0E4080A8" wp14:editId="5B945CE9">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65BD331B" wp14:editId="265E7232">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104FA469">
        <v:shape id="_x0000_s2058"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211EE40D" w14:textId="77777777" w:rsidR="00CD5856" w:rsidRDefault="001E3602">
                <w:pPr>
                  <w:pStyle w:val="Huisstijl-Afzendgegevens"/>
                </w:pPr>
                <w:r w:rsidRPr="008D59C5">
                  <w:t>Rijnstraat 50</w:t>
                </w:r>
              </w:p>
              <w:p w14:paraId="391F7F38" w14:textId="77777777" w:rsidR="00CD5856" w:rsidRDefault="001E3602">
                <w:pPr>
                  <w:pStyle w:val="Huisstijl-Afzendgegevens"/>
                </w:pPr>
                <w:r w:rsidRPr="008D59C5">
                  <w:t>Den Haag</w:t>
                </w:r>
              </w:p>
              <w:p w14:paraId="08605F8A" w14:textId="77777777" w:rsidR="00CD5856" w:rsidRDefault="001E3602">
                <w:pPr>
                  <w:pStyle w:val="Huisstijl-Afzendgegevens"/>
                </w:pPr>
                <w:r w:rsidRPr="008D59C5">
                  <w:t>www.rijksoverheid.nl</w:t>
                </w:r>
              </w:p>
              <w:p w14:paraId="743DDC97" w14:textId="77777777" w:rsidR="00CD5856" w:rsidRDefault="001E3602">
                <w:pPr>
                  <w:pStyle w:val="Huisstijl-AfzendgegevenskopW1"/>
                </w:pPr>
                <w:r>
                  <w:t>Contactpersoon</w:t>
                </w:r>
              </w:p>
              <w:p w14:paraId="04447430" w14:textId="77777777" w:rsidR="00CD5856" w:rsidRDefault="001E3602">
                <w:pPr>
                  <w:pStyle w:val="Huisstijl-Afzendgegevens"/>
                </w:pPr>
                <w:r w:rsidRPr="008D59C5">
                  <w:t>ing. J.A. Ramlal</w:t>
                </w:r>
              </w:p>
              <w:p w14:paraId="5129F522" w14:textId="77777777" w:rsidR="00CD5856" w:rsidRDefault="001E3602">
                <w:pPr>
                  <w:pStyle w:val="Huisstijl-Afzendgegevens"/>
                </w:pPr>
                <w:r w:rsidRPr="008D59C5">
                  <w:t>ja.ramlal@minvws.nl</w:t>
                </w:r>
              </w:p>
              <w:p w14:paraId="51ADECD2" w14:textId="77777777" w:rsidR="00CD5856" w:rsidRDefault="001E3602">
                <w:pPr>
                  <w:pStyle w:val="Huisstijl-ReferentiegegevenskopW2"/>
                </w:pPr>
                <w:r>
                  <w:t>Ons kenmerk</w:t>
                </w:r>
              </w:p>
              <w:p w14:paraId="18631B78" w14:textId="77777777" w:rsidR="00CD5856" w:rsidRDefault="001E3602">
                <w:pPr>
                  <w:pStyle w:val="Huisstijl-Referentiegegevens"/>
                </w:pPr>
                <w:r>
                  <w:t>KENMERK</w:t>
                </w:r>
              </w:p>
              <w:p w14:paraId="2D2182A4" w14:textId="77777777" w:rsidR="00CD5856" w:rsidRDefault="001E3602">
                <w:pPr>
                  <w:pStyle w:val="Huisstijl-ReferentiegegevenskopW1"/>
                </w:pPr>
                <w:r>
                  <w:t>Uw kenmerk</w:t>
                </w:r>
              </w:p>
              <w:p w14:paraId="799DA252" w14:textId="77777777" w:rsidR="00CD5856" w:rsidRDefault="001E3602">
                <w:pPr>
                  <w:pStyle w:val="Huisstijl-Referentiegegevens"/>
                </w:pPr>
                <w:r>
                  <w:t>UW BRIEF</w:t>
                </w:r>
              </w:p>
            </w:txbxContent>
          </v:textbox>
          <w10:wrap anchorx="page" anchory="page"/>
        </v:shape>
      </w:pict>
    </w:r>
    <w:r>
      <w:rPr>
        <w:lang w:eastAsia="nl-NL" w:bidi="ar-SA"/>
      </w:rPr>
      <w:pict w14:anchorId="5A63051E">
        <v:shape id="_x0000_s2059"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6C57DE78" w14:textId="77777777" w:rsidR="00CD5856" w:rsidRDefault="001E3602">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23C839D9">
        <v:shape id="_x0000_s2060"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1D19A8E5" w14:textId="77777777" w:rsidR="00CD5856" w:rsidRDefault="001E3602">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B8198D">
                  <w:fldChar w:fldCharType="begin"/>
                </w:r>
                <w:r>
                  <w:instrText xml:space="preserve"> SECTIONPAGES  \* Arabic  \* MERGEFORMAT </w:instrText>
                </w:r>
                <w:r w:rsidR="00B8198D">
                  <w:fldChar w:fldCharType="separate"/>
                </w:r>
                <w:r w:rsidR="00B8198D">
                  <w:rPr>
                    <w:noProof/>
                  </w:rPr>
                  <w:t>4</w:t>
                </w:r>
                <w:r w:rsidR="00B8198D">
                  <w:rPr>
                    <w:noProof/>
                  </w:rPr>
                  <w:fldChar w:fldCharType="end"/>
                </w:r>
              </w:p>
            </w:txbxContent>
          </v:textbox>
          <w10:wrap anchorx="page" anchory="page"/>
          <w10:anchorlock/>
        </v:shape>
      </w:pict>
    </w:r>
    <w:r>
      <w:rPr>
        <w:lang w:eastAsia="nl-NL" w:bidi="ar-SA"/>
      </w:rPr>
      <w:pict w14:anchorId="53600D87">
        <v:shape id="_x0000_s2061"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1B21E0B7" w14:textId="77777777" w:rsidR="00CD5856" w:rsidRDefault="00CD5856">
                <w:pPr>
                  <w:pStyle w:val="Huisstijl-Toezendgegevens"/>
                </w:pPr>
              </w:p>
            </w:txbxContent>
          </v:textbox>
          <w10:wrap anchorx="page" anchory="page"/>
        </v:shape>
      </w:pict>
    </w:r>
    <w:r>
      <w:rPr>
        <w:lang w:eastAsia="nl-NL" w:bidi="ar-SA"/>
      </w:rPr>
      <w:pict w14:anchorId="26F3C9C3">
        <v:shape id="_x0000_s2062"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61D577F2" w14:textId="77777777" w:rsidR="00CD5856" w:rsidRDefault="001E3602">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4EE651BA">
      <w:numFmt w:val="bullet"/>
      <w:lvlText w:val=""/>
      <w:lvlJc w:val="left"/>
      <w:pPr>
        <w:ind w:left="720" w:hanging="360"/>
      </w:pPr>
      <w:rPr>
        <w:rFonts w:ascii="Wingdings" w:eastAsia="DejaVu Sans" w:hAnsi="Wingdings" w:cs="Lohit Hindi" w:hint="default"/>
      </w:rPr>
    </w:lvl>
    <w:lvl w:ilvl="1" w:tplc="D79AD4BE" w:tentative="1">
      <w:start w:val="1"/>
      <w:numFmt w:val="bullet"/>
      <w:lvlText w:val="o"/>
      <w:lvlJc w:val="left"/>
      <w:pPr>
        <w:ind w:left="1440" w:hanging="360"/>
      </w:pPr>
      <w:rPr>
        <w:rFonts w:ascii="Courier New" w:hAnsi="Courier New" w:cs="Courier New" w:hint="default"/>
      </w:rPr>
    </w:lvl>
    <w:lvl w:ilvl="2" w:tplc="2A6CE0CC" w:tentative="1">
      <w:start w:val="1"/>
      <w:numFmt w:val="bullet"/>
      <w:lvlText w:val=""/>
      <w:lvlJc w:val="left"/>
      <w:pPr>
        <w:ind w:left="2160" w:hanging="360"/>
      </w:pPr>
      <w:rPr>
        <w:rFonts w:ascii="Wingdings" w:hAnsi="Wingdings" w:hint="default"/>
      </w:rPr>
    </w:lvl>
    <w:lvl w:ilvl="3" w:tplc="B7CC8184" w:tentative="1">
      <w:start w:val="1"/>
      <w:numFmt w:val="bullet"/>
      <w:lvlText w:val=""/>
      <w:lvlJc w:val="left"/>
      <w:pPr>
        <w:ind w:left="2880" w:hanging="360"/>
      </w:pPr>
      <w:rPr>
        <w:rFonts w:ascii="Symbol" w:hAnsi="Symbol" w:hint="default"/>
      </w:rPr>
    </w:lvl>
    <w:lvl w:ilvl="4" w:tplc="45F67C54" w:tentative="1">
      <w:start w:val="1"/>
      <w:numFmt w:val="bullet"/>
      <w:lvlText w:val="o"/>
      <w:lvlJc w:val="left"/>
      <w:pPr>
        <w:ind w:left="3600" w:hanging="360"/>
      </w:pPr>
      <w:rPr>
        <w:rFonts w:ascii="Courier New" w:hAnsi="Courier New" w:cs="Courier New" w:hint="default"/>
      </w:rPr>
    </w:lvl>
    <w:lvl w:ilvl="5" w:tplc="FE50FD38" w:tentative="1">
      <w:start w:val="1"/>
      <w:numFmt w:val="bullet"/>
      <w:lvlText w:val=""/>
      <w:lvlJc w:val="left"/>
      <w:pPr>
        <w:ind w:left="4320" w:hanging="360"/>
      </w:pPr>
      <w:rPr>
        <w:rFonts w:ascii="Wingdings" w:hAnsi="Wingdings" w:hint="default"/>
      </w:rPr>
    </w:lvl>
    <w:lvl w:ilvl="6" w:tplc="10968F1C" w:tentative="1">
      <w:start w:val="1"/>
      <w:numFmt w:val="bullet"/>
      <w:lvlText w:val=""/>
      <w:lvlJc w:val="left"/>
      <w:pPr>
        <w:ind w:left="5040" w:hanging="360"/>
      </w:pPr>
      <w:rPr>
        <w:rFonts w:ascii="Symbol" w:hAnsi="Symbol" w:hint="default"/>
      </w:rPr>
    </w:lvl>
    <w:lvl w:ilvl="7" w:tplc="B7BAD476" w:tentative="1">
      <w:start w:val="1"/>
      <w:numFmt w:val="bullet"/>
      <w:lvlText w:val="o"/>
      <w:lvlJc w:val="left"/>
      <w:pPr>
        <w:ind w:left="5760" w:hanging="360"/>
      </w:pPr>
      <w:rPr>
        <w:rFonts w:ascii="Courier New" w:hAnsi="Courier New" w:cs="Courier New" w:hint="default"/>
      </w:rPr>
    </w:lvl>
    <w:lvl w:ilvl="8" w:tplc="5EAC493A" w:tentative="1">
      <w:start w:val="1"/>
      <w:numFmt w:val="bullet"/>
      <w:lvlText w:val=""/>
      <w:lvlJc w:val="left"/>
      <w:pPr>
        <w:ind w:left="6480" w:hanging="360"/>
      </w:pPr>
      <w:rPr>
        <w:rFonts w:ascii="Wingdings" w:hAnsi="Wingdings" w:hint="default"/>
      </w:rPr>
    </w:lvl>
  </w:abstractNum>
  <w:abstractNum w:abstractNumId="1" w15:restartNumberingAfterBreak="0">
    <w:nsid w:val="59A37DB3"/>
    <w:multiLevelType w:val="hybridMultilevel"/>
    <w:tmpl w:val="3FD41952"/>
    <w:lvl w:ilvl="0" w:tplc="9C9812DE">
      <w:numFmt w:val="bullet"/>
      <w:lvlText w:val=""/>
      <w:lvlJc w:val="left"/>
      <w:pPr>
        <w:ind w:left="720" w:hanging="360"/>
      </w:pPr>
      <w:rPr>
        <w:rFonts w:ascii="Symbol" w:eastAsia="DejaVu Sans" w:hAnsi="Symbol" w:cs="Lohit Hindi" w:hint="default"/>
      </w:rPr>
    </w:lvl>
    <w:lvl w:ilvl="1" w:tplc="2258E674" w:tentative="1">
      <w:start w:val="1"/>
      <w:numFmt w:val="bullet"/>
      <w:lvlText w:val="o"/>
      <w:lvlJc w:val="left"/>
      <w:pPr>
        <w:ind w:left="1440" w:hanging="360"/>
      </w:pPr>
      <w:rPr>
        <w:rFonts w:ascii="Courier New" w:hAnsi="Courier New" w:cs="Courier New" w:hint="default"/>
      </w:rPr>
    </w:lvl>
    <w:lvl w:ilvl="2" w:tplc="771CC7FE" w:tentative="1">
      <w:start w:val="1"/>
      <w:numFmt w:val="bullet"/>
      <w:lvlText w:val=""/>
      <w:lvlJc w:val="left"/>
      <w:pPr>
        <w:ind w:left="2160" w:hanging="360"/>
      </w:pPr>
      <w:rPr>
        <w:rFonts w:ascii="Wingdings" w:hAnsi="Wingdings" w:hint="default"/>
      </w:rPr>
    </w:lvl>
    <w:lvl w:ilvl="3" w:tplc="E86E6B54" w:tentative="1">
      <w:start w:val="1"/>
      <w:numFmt w:val="bullet"/>
      <w:lvlText w:val=""/>
      <w:lvlJc w:val="left"/>
      <w:pPr>
        <w:ind w:left="2880" w:hanging="360"/>
      </w:pPr>
      <w:rPr>
        <w:rFonts w:ascii="Symbol" w:hAnsi="Symbol" w:hint="default"/>
      </w:rPr>
    </w:lvl>
    <w:lvl w:ilvl="4" w:tplc="F280B170" w:tentative="1">
      <w:start w:val="1"/>
      <w:numFmt w:val="bullet"/>
      <w:lvlText w:val="o"/>
      <w:lvlJc w:val="left"/>
      <w:pPr>
        <w:ind w:left="3600" w:hanging="360"/>
      </w:pPr>
      <w:rPr>
        <w:rFonts w:ascii="Courier New" w:hAnsi="Courier New" w:cs="Courier New" w:hint="default"/>
      </w:rPr>
    </w:lvl>
    <w:lvl w:ilvl="5" w:tplc="CCF8CA10" w:tentative="1">
      <w:start w:val="1"/>
      <w:numFmt w:val="bullet"/>
      <w:lvlText w:val=""/>
      <w:lvlJc w:val="left"/>
      <w:pPr>
        <w:ind w:left="4320" w:hanging="360"/>
      </w:pPr>
      <w:rPr>
        <w:rFonts w:ascii="Wingdings" w:hAnsi="Wingdings" w:hint="default"/>
      </w:rPr>
    </w:lvl>
    <w:lvl w:ilvl="6" w:tplc="732E1032" w:tentative="1">
      <w:start w:val="1"/>
      <w:numFmt w:val="bullet"/>
      <w:lvlText w:val=""/>
      <w:lvlJc w:val="left"/>
      <w:pPr>
        <w:ind w:left="5040" w:hanging="360"/>
      </w:pPr>
      <w:rPr>
        <w:rFonts w:ascii="Symbol" w:hAnsi="Symbol" w:hint="default"/>
      </w:rPr>
    </w:lvl>
    <w:lvl w:ilvl="7" w:tplc="8E365914" w:tentative="1">
      <w:start w:val="1"/>
      <w:numFmt w:val="bullet"/>
      <w:lvlText w:val="o"/>
      <w:lvlJc w:val="left"/>
      <w:pPr>
        <w:ind w:left="5760" w:hanging="360"/>
      </w:pPr>
      <w:rPr>
        <w:rFonts w:ascii="Courier New" w:hAnsi="Courier New" w:cs="Courier New" w:hint="default"/>
      </w:rPr>
    </w:lvl>
    <w:lvl w:ilvl="8" w:tplc="EC9CCF84" w:tentative="1">
      <w:start w:val="1"/>
      <w:numFmt w:val="bullet"/>
      <w:lvlText w:val=""/>
      <w:lvlJc w:val="left"/>
      <w:pPr>
        <w:ind w:left="6480" w:hanging="360"/>
      </w:pPr>
      <w:rPr>
        <w:rFonts w:ascii="Wingdings" w:hAnsi="Wingdings" w:hint="default"/>
      </w:rPr>
    </w:lvl>
  </w:abstractNum>
  <w:abstractNum w:abstractNumId="2" w15:restartNumberingAfterBreak="0">
    <w:nsid w:val="65070DD9"/>
    <w:multiLevelType w:val="hybridMultilevel"/>
    <w:tmpl w:val="E466BB12"/>
    <w:lvl w:ilvl="0" w:tplc="9E6ADE22">
      <w:numFmt w:val="bullet"/>
      <w:lvlText w:val=""/>
      <w:lvlJc w:val="left"/>
      <w:pPr>
        <w:ind w:left="720" w:hanging="360"/>
      </w:pPr>
      <w:rPr>
        <w:rFonts w:ascii="Symbol" w:eastAsia="DejaVu Sans" w:hAnsi="Symbol" w:cs="Lohit Hindi" w:hint="default"/>
      </w:rPr>
    </w:lvl>
    <w:lvl w:ilvl="1" w:tplc="81C6FD78" w:tentative="1">
      <w:start w:val="1"/>
      <w:numFmt w:val="bullet"/>
      <w:lvlText w:val="o"/>
      <w:lvlJc w:val="left"/>
      <w:pPr>
        <w:ind w:left="1440" w:hanging="360"/>
      </w:pPr>
      <w:rPr>
        <w:rFonts w:ascii="Courier New" w:hAnsi="Courier New" w:cs="Courier New" w:hint="default"/>
      </w:rPr>
    </w:lvl>
    <w:lvl w:ilvl="2" w:tplc="AEB25C30" w:tentative="1">
      <w:start w:val="1"/>
      <w:numFmt w:val="bullet"/>
      <w:lvlText w:val=""/>
      <w:lvlJc w:val="left"/>
      <w:pPr>
        <w:ind w:left="2160" w:hanging="360"/>
      </w:pPr>
      <w:rPr>
        <w:rFonts w:ascii="Wingdings" w:hAnsi="Wingdings" w:hint="default"/>
      </w:rPr>
    </w:lvl>
    <w:lvl w:ilvl="3" w:tplc="30D00572" w:tentative="1">
      <w:start w:val="1"/>
      <w:numFmt w:val="bullet"/>
      <w:lvlText w:val=""/>
      <w:lvlJc w:val="left"/>
      <w:pPr>
        <w:ind w:left="2880" w:hanging="360"/>
      </w:pPr>
      <w:rPr>
        <w:rFonts w:ascii="Symbol" w:hAnsi="Symbol" w:hint="default"/>
      </w:rPr>
    </w:lvl>
    <w:lvl w:ilvl="4" w:tplc="62B4E72C" w:tentative="1">
      <w:start w:val="1"/>
      <w:numFmt w:val="bullet"/>
      <w:lvlText w:val="o"/>
      <w:lvlJc w:val="left"/>
      <w:pPr>
        <w:ind w:left="3600" w:hanging="360"/>
      </w:pPr>
      <w:rPr>
        <w:rFonts w:ascii="Courier New" w:hAnsi="Courier New" w:cs="Courier New" w:hint="default"/>
      </w:rPr>
    </w:lvl>
    <w:lvl w:ilvl="5" w:tplc="2A7C6130" w:tentative="1">
      <w:start w:val="1"/>
      <w:numFmt w:val="bullet"/>
      <w:lvlText w:val=""/>
      <w:lvlJc w:val="left"/>
      <w:pPr>
        <w:ind w:left="4320" w:hanging="360"/>
      </w:pPr>
      <w:rPr>
        <w:rFonts w:ascii="Wingdings" w:hAnsi="Wingdings" w:hint="default"/>
      </w:rPr>
    </w:lvl>
    <w:lvl w:ilvl="6" w:tplc="FCCCE1CE" w:tentative="1">
      <w:start w:val="1"/>
      <w:numFmt w:val="bullet"/>
      <w:lvlText w:val=""/>
      <w:lvlJc w:val="left"/>
      <w:pPr>
        <w:ind w:left="5040" w:hanging="360"/>
      </w:pPr>
      <w:rPr>
        <w:rFonts w:ascii="Symbol" w:hAnsi="Symbol" w:hint="default"/>
      </w:rPr>
    </w:lvl>
    <w:lvl w:ilvl="7" w:tplc="30908A9C" w:tentative="1">
      <w:start w:val="1"/>
      <w:numFmt w:val="bullet"/>
      <w:lvlText w:val="o"/>
      <w:lvlJc w:val="left"/>
      <w:pPr>
        <w:ind w:left="5760" w:hanging="360"/>
      </w:pPr>
      <w:rPr>
        <w:rFonts w:ascii="Courier New" w:hAnsi="Courier New" w:cs="Courier New" w:hint="default"/>
      </w:rPr>
    </w:lvl>
    <w:lvl w:ilvl="8" w:tplc="E340CF9C" w:tentative="1">
      <w:start w:val="1"/>
      <w:numFmt w:val="bullet"/>
      <w:lvlText w:val=""/>
      <w:lvlJc w:val="left"/>
      <w:pPr>
        <w:ind w:left="6480" w:hanging="360"/>
      </w:pPr>
      <w:rPr>
        <w:rFonts w:ascii="Wingdings" w:hAnsi="Wingdings" w:hint="default"/>
      </w:rPr>
    </w:lvl>
  </w:abstractNum>
  <w:num w:numId="1" w16cid:durableId="844369249">
    <w:abstractNumId w:val="0"/>
  </w:num>
  <w:num w:numId="2" w16cid:durableId="1834681449">
    <w:abstractNumId w:val="1"/>
  </w:num>
  <w:num w:numId="3" w16cid:durableId="521941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46A56"/>
    <w:rsid w:val="00050D5B"/>
    <w:rsid w:val="000A75B6"/>
    <w:rsid w:val="000B1832"/>
    <w:rsid w:val="000B45B1"/>
    <w:rsid w:val="000C29E1"/>
    <w:rsid w:val="000D0CCB"/>
    <w:rsid w:val="000D6D8A"/>
    <w:rsid w:val="000E2F12"/>
    <w:rsid w:val="000E54B6"/>
    <w:rsid w:val="000F3A79"/>
    <w:rsid w:val="00113778"/>
    <w:rsid w:val="00125BDF"/>
    <w:rsid w:val="00172CD9"/>
    <w:rsid w:val="001A4FB6"/>
    <w:rsid w:val="001B17FE"/>
    <w:rsid w:val="001B41E1"/>
    <w:rsid w:val="001B7303"/>
    <w:rsid w:val="001B7A97"/>
    <w:rsid w:val="001E3602"/>
    <w:rsid w:val="001F640D"/>
    <w:rsid w:val="00215CB5"/>
    <w:rsid w:val="00234547"/>
    <w:rsid w:val="00235AED"/>
    <w:rsid w:val="00241BB9"/>
    <w:rsid w:val="00256727"/>
    <w:rsid w:val="00284FF7"/>
    <w:rsid w:val="00297795"/>
    <w:rsid w:val="002B1D9F"/>
    <w:rsid w:val="002B504F"/>
    <w:rsid w:val="002F4886"/>
    <w:rsid w:val="00330E9A"/>
    <w:rsid w:val="00334C45"/>
    <w:rsid w:val="003451E2"/>
    <w:rsid w:val="00347F1B"/>
    <w:rsid w:val="003B287C"/>
    <w:rsid w:val="003B48D4"/>
    <w:rsid w:val="003C472B"/>
    <w:rsid w:val="003C6ED5"/>
    <w:rsid w:val="003C700C"/>
    <w:rsid w:val="003C7185"/>
    <w:rsid w:val="003D27F8"/>
    <w:rsid w:val="003F3A47"/>
    <w:rsid w:val="004335B1"/>
    <w:rsid w:val="0043480A"/>
    <w:rsid w:val="00437B5F"/>
    <w:rsid w:val="004509BE"/>
    <w:rsid w:val="0045486D"/>
    <w:rsid w:val="00455FE2"/>
    <w:rsid w:val="00463DBC"/>
    <w:rsid w:val="00486B41"/>
    <w:rsid w:val="004934A8"/>
    <w:rsid w:val="004F0B09"/>
    <w:rsid w:val="00501178"/>
    <w:rsid w:val="00516D6A"/>
    <w:rsid w:val="00523C02"/>
    <w:rsid w:val="00544135"/>
    <w:rsid w:val="005600D7"/>
    <w:rsid w:val="00562D83"/>
    <w:rsid w:val="005677D6"/>
    <w:rsid w:val="00582E97"/>
    <w:rsid w:val="00587714"/>
    <w:rsid w:val="005C3CD4"/>
    <w:rsid w:val="005D327A"/>
    <w:rsid w:val="005D3F28"/>
    <w:rsid w:val="005E09A1"/>
    <w:rsid w:val="0063555A"/>
    <w:rsid w:val="00646C7E"/>
    <w:rsid w:val="006546F3"/>
    <w:rsid w:val="0068360B"/>
    <w:rsid w:val="00686885"/>
    <w:rsid w:val="006922AC"/>
    <w:rsid w:val="00694B51"/>
    <w:rsid w:val="00697032"/>
    <w:rsid w:val="006B16C1"/>
    <w:rsid w:val="0074764C"/>
    <w:rsid w:val="00763E81"/>
    <w:rsid w:val="007674B5"/>
    <w:rsid w:val="00776965"/>
    <w:rsid w:val="007A4F37"/>
    <w:rsid w:val="007B028B"/>
    <w:rsid w:val="007B36B5"/>
    <w:rsid w:val="007B6A41"/>
    <w:rsid w:val="007D0F21"/>
    <w:rsid w:val="007D23C6"/>
    <w:rsid w:val="007E36BA"/>
    <w:rsid w:val="007F380D"/>
    <w:rsid w:val="007F4A98"/>
    <w:rsid w:val="008378BA"/>
    <w:rsid w:val="00857C40"/>
    <w:rsid w:val="0087691C"/>
    <w:rsid w:val="00893C24"/>
    <w:rsid w:val="00894CE2"/>
    <w:rsid w:val="008A21F4"/>
    <w:rsid w:val="008D59C5"/>
    <w:rsid w:val="008D618A"/>
    <w:rsid w:val="008E210E"/>
    <w:rsid w:val="008E4B89"/>
    <w:rsid w:val="008F33AD"/>
    <w:rsid w:val="009209E0"/>
    <w:rsid w:val="009250BA"/>
    <w:rsid w:val="00960E2B"/>
    <w:rsid w:val="00985A65"/>
    <w:rsid w:val="009A31BF"/>
    <w:rsid w:val="009B2459"/>
    <w:rsid w:val="009C4777"/>
    <w:rsid w:val="009D3C77"/>
    <w:rsid w:val="009D7D63"/>
    <w:rsid w:val="009F419D"/>
    <w:rsid w:val="00A01096"/>
    <w:rsid w:val="00A21316"/>
    <w:rsid w:val="00A52DBE"/>
    <w:rsid w:val="00A83BE3"/>
    <w:rsid w:val="00AA61EA"/>
    <w:rsid w:val="00AB35F7"/>
    <w:rsid w:val="00AD48D4"/>
    <w:rsid w:val="00AF342F"/>
    <w:rsid w:val="00AF6BEC"/>
    <w:rsid w:val="00B8198D"/>
    <w:rsid w:val="00B827EB"/>
    <w:rsid w:val="00B8296E"/>
    <w:rsid w:val="00B82F43"/>
    <w:rsid w:val="00BA7566"/>
    <w:rsid w:val="00BC481F"/>
    <w:rsid w:val="00BD317A"/>
    <w:rsid w:val="00BD75C1"/>
    <w:rsid w:val="00C0691A"/>
    <w:rsid w:val="00C3438D"/>
    <w:rsid w:val="00C34D50"/>
    <w:rsid w:val="00C451B7"/>
    <w:rsid w:val="00C62B6C"/>
    <w:rsid w:val="00C6771F"/>
    <w:rsid w:val="00C81260"/>
    <w:rsid w:val="00C81CAF"/>
    <w:rsid w:val="00C95CA9"/>
    <w:rsid w:val="00CA061B"/>
    <w:rsid w:val="00CD4AED"/>
    <w:rsid w:val="00CD5856"/>
    <w:rsid w:val="00CF0F2E"/>
    <w:rsid w:val="00CF3E82"/>
    <w:rsid w:val="00D53F6F"/>
    <w:rsid w:val="00D54679"/>
    <w:rsid w:val="00D67BAF"/>
    <w:rsid w:val="00D73B83"/>
    <w:rsid w:val="00D82376"/>
    <w:rsid w:val="00DA15A1"/>
    <w:rsid w:val="00DC1391"/>
    <w:rsid w:val="00DC7639"/>
    <w:rsid w:val="00DE5535"/>
    <w:rsid w:val="00E04465"/>
    <w:rsid w:val="00E1490C"/>
    <w:rsid w:val="00E27AED"/>
    <w:rsid w:val="00E37122"/>
    <w:rsid w:val="00E47A7C"/>
    <w:rsid w:val="00E85195"/>
    <w:rsid w:val="00E9084C"/>
    <w:rsid w:val="00EA275E"/>
    <w:rsid w:val="00EE23CE"/>
    <w:rsid w:val="00EE2A9D"/>
    <w:rsid w:val="00F046F4"/>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192F8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1F640D"/>
    <w:rPr>
      <w:color w:val="0000FF" w:themeColor="hyperlink"/>
      <w:u w:val="single"/>
    </w:rPr>
  </w:style>
  <w:style w:type="paragraph" w:customStyle="1" w:styleId="WitregelW1bodytekst">
    <w:name w:val="Witregel W1 (bodytekst)"/>
    <w:basedOn w:val="Standaard"/>
    <w:next w:val="Standaard"/>
    <w:rsid w:val="001F640D"/>
    <w:pPr>
      <w:widowControl/>
      <w:suppressAutoHyphens w:val="0"/>
    </w:pPr>
    <w:rPr>
      <w:color w:val="000000"/>
      <w:kern w:val="0"/>
      <w:szCs w:val="18"/>
      <w:lang w:eastAsia="nl-NL" w:bidi="ar-SA"/>
    </w:rPr>
  </w:style>
  <w:style w:type="paragraph" w:styleId="Voetnoottekst">
    <w:name w:val="footnote text"/>
    <w:basedOn w:val="Standaard"/>
    <w:link w:val="VoetnoottekstChar"/>
    <w:uiPriority w:val="99"/>
    <w:semiHidden/>
    <w:unhideWhenUsed/>
    <w:rsid w:val="001F640D"/>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1F640D"/>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1F640D"/>
    <w:rPr>
      <w:vertAlign w:val="superscript"/>
    </w:rPr>
  </w:style>
  <w:style w:type="paragraph" w:styleId="Lijstalinea">
    <w:name w:val="List Paragraph"/>
    <w:basedOn w:val="Standaard"/>
    <w:uiPriority w:val="34"/>
    <w:rsid w:val="001F640D"/>
    <w:pPr>
      <w:widowControl/>
      <w:suppressAutoHyphens w:val="0"/>
      <w:spacing w:line="240" w:lineRule="atLeast"/>
      <w:ind w:left="720"/>
      <w:contextualSpacing/>
    </w:pPr>
    <w:rPr>
      <w:color w:val="000000"/>
      <w:kern w:val="0"/>
      <w:szCs w:val="18"/>
      <w:lang w:eastAsia="nl-NL" w:bidi="ar-SA"/>
    </w:rPr>
  </w:style>
  <w:style w:type="character" w:styleId="Verwijzingopmerking">
    <w:name w:val="annotation reference"/>
    <w:basedOn w:val="Standaardalinea-lettertype"/>
    <w:uiPriority w:val="99"/>
    <w:semiHidden/>
    <w:unhideWhenUsed/>
    <w:rsid w:val="001F640D"/>
    <w:rPr>
      <w:sz w:val="16"/>
      <w:szCs w:val="16"/>
    </w:rPr>
  </w:style>
  <w:style w:type="paragraph" w:styleId="Tekstopmerking">
    <w:name w:val="annotation text"/>
    <w:basedOn w:val="Standaard"/>
    <w:link w:val="TekstopmerkingChar"/>
    <w:uiPriority w:val="99"/>
    <w:unhideWhenUsed/>
    <w:rsid w:val="001F640D"/>
    <w:pPr>
      <w:widowControl/>
      <w:suppressAutoHyphens w:val="0"/>
      <w:spacing w:line="240" w:lineRule="auto"/>
    </w:pPr>
    <w:rPr>
      <w:color w:val="000000"/>
      <w:kern w:val="0"/>
      <w:sz w:val="20"/>
      <w:szCs w:val="20"/>
      <w:lang w:eastAsia="nl-NL" w:bidi="ar-SA"/>
    </w:rPr>
  </w:style>
  <w:style w:type="character" w:customStyle="1" w:styleId="TekstopmerkingChar">
    <w:name w:val="Tekst opmerking Char"/>
    <w:basedOn w:val="Standaardalinea-lettertype"/>
    <w:link w:val="Tekstopmerking"/>
    <w:uiPriority w:val="99"/>
    <w:rsid w:val="001F640D"/>
    <w:rPr>
      <w:rFonts w:ascii="Verdana" w:hAnsi="Verdana"/>
      <w:color w:val="000000"/>
      <w:kern w:val="0"/>
      <w:sz w:val="20"/>
      <w:szCs w:val="20"/>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puc.overheid.nl/nza/doc/PUC_814359_22/" TargetMode="External"/><Relationship Id="rId1" Type="http://schemas.openxmlformats.org/officeDocument/2006/relationships/hyperlink" Target="https://puc.overheid.nl/nza/doc/PUC_814359_2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1129</ap:Words>
  <ap:Characters>6210</ap:Characters>
  <ap:DocSecurity>0</ap:DocSecurity>
  <ap:Lines>51</ap:Lines>
  <ap:Paragraphs>14</ap:Paragraphs>
  <ap:ScaleCrop>false</ap:ScaleCrop>
  <ap:LinksUpToDate>false</ap:LinksUpToDate>
  <ap:CharactersWithSpaces>7325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2026-04-21T14:12:00.0000000Z</dcterms:created>
  <dcterms:modified xsi:type="dcterms:W3CDTF">2026-04-21T14:12:00.0000000Z</dcterms:modified>
  <dc:creator/>
  <dc:description>------------------------</dc:description>
  <dc:subject/>
  <dc:title/>
  <keywords/>
  <version/>
  <category/>
</coreProperties>
</file>