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3C03" w:rsidR="00DC0AF0" w:rsidP="009C075F" w:rsidRDefault="00DC0AF0" w14:paraId="200EF209" w14:textId="77777777">
      <w:pPr>
        <w:spacing w:line="276" w:lineRule="auto"/>
      </w:pPr>
      <w:bookmarkStart w:name="_GoBack" w:id="0"/>
      <w:bookmarkEnd w:id="0"/>
      <w:r w:rsidRPr="00A33C03">
        <w:t>Geachte voorzitter,</w:t>
      </w:r>
    </w:p>
    <w:p w:rsidRPr="00A33C03" w:rsidR="00DC0AF0" w:rsidP="009C075F" w:rsidRDefault="00DC0AF0" w14:paraId="728AC8FC" w14:textId="77777777">
      <w:pPr>
        <w:spacing w:line="276" w:lineRule="auto"/>
      </w:pPr>
    </w:p>
    <w:p w:rsidRPr="00A33C03" w:rsidR="00DC0AF0" w:rsidP="009C075F" w:rsidRDefault="00BA51E3" w14:paraId="06D6E752" w14:textId="3B9F8117">
      <w:pPr>
        <w:spacing w:line="276" w:lineRule="auto"/>
      </w:pPr>
      <w:r>
        <w:t>Tijdens de procedurevergadering van de vaste commissie voor Infrastructuur en Waterstaat van 8 april 2026, heeft d</w:t>
      </w:r>
      <w:r w:rsidRPr="00A33C03" w:rsidR="00DC0AF0">
        <w:t xml:space="preserve">e </w:t>
      </w:r>
      <w:r>
        <w:t>K</w:t>
      </w:r>
      <w:r w:rsidRPr="00A33C03" w:rsidR="00DC0AF0">
        <w:t>amer het verzoek</w:t>
      </w:r>
      <w:r w:rsidR="00CF76EE">
        <w:rPr>
          <w:rStyle w:val="FootnoteReference"/>
        </w:rPr>
        <w:footnoteReference w:id="1"/>
      </w:r>
      <w:r w:rsidRPr="00A33C03" w:rsidR="00DC0AF0">
        <w:t xml:space="preserve"> gedaan om een schriftelijke toelichting te krijgen op de vraag wat de basis wordt van de capaciteitsdeclaratie voor Schiphol</w:t>
      </w:r>
      <w:r>
        <w:t xml:space="preserve">, nu </w:t>
      </w:r>
      <w:r w:rsidR="00E239B0">
        <w:t>de ‘</w:t>
      </w:r>
      <w:r>
        <w:t>versneld</w:t>
      </w:r>
      <w:r w:rsidR="00E239B0">
        <w:t>e’ wijziging van het Luchthavenverkeerbesluit</w:t>
      </w:r>
      <w:r>
        <w:t xml:space="preserve"> </w:t>
      </w:r>
      <w:r w:rsidR="00E239B0">
        <w:t>(</w:t>
      </w:r>
      <w:r>
        <w:t>LVB</w:t>
      </w:r>
      <w:r w:rsidR="00E239B0">
        <w:t>)</w:t>
      </w:r>
      <w:r>
        <w:t xml:space="preserve"> Schiphol door de Afdeling bestuursrechtspraak van de Raad van State (hierna: de Afdeling) </w:t>
      </w:r>
      <w:r w:rsidR="00E239B0">
        <w:t xml:space="preserve">is </w:t>
      </w:r>
      <w:r>
        <w:t>vernietigd.</w:t>
      </w:r>
      <w:r w:rsidRPr="00A33C03" w:rsidR="00DC0AF0">
        <w:t xml:space="preserve"> </w:t>
      </w:r>
      <w:r>
        <w:t>In deze brief</w:t>
      </w:r>
      <w:r w:rsidRPr="00A33C03">
        <w:t xml:space="preserve"> </w:t>
      </w:r>
      <w:r w:rsidRPr="00A33C03" w:rsidR="00FF3347">
        <w:t xml:space="preserve">wordt eerst ingegaan op </w:t>
      </w:r>
      <w:r w:rsidR="00E239B0">
        <w:t>het proces</w:t>
      </w:r>
      <w:r w:rsidRPr="00A33C03" w:rsidR="00FF3347">
        <w:t xml:space="preserve"> </w:t>
      </w:r>
      <w:r w:rsidR="00DC71EB">
        <w:t xml:space="preserve">van de capaciteitsdeclaratie </w:t>
      </w:r>
      <w:r w:rsidRPr="00A33C03" w:rsidR="00FF3347">
        <w:t xml:space="preserve">en vervolgens op </w:t>
      </w:r>
      <w:r w:rsidR="00E239B0">
        <w:t>de basis voor de aankomende capaciteitsdeclaratie</w:t>
      </w:r>
      <w:r w:rsidR="00576033">
        <w:t xml:space="preserve"> en de planning voor het komende winterseizoen</w:t>
      </w:r>
      <w:r w:rsidRPr="00A33C03" w:rsidR="00FF3347">
        <w:t xml:space="preserve">. </w:t>
      </w:r>
    </w:p>
    <w:p w:rsidRPr="00A33C03" w:rsidR="00DC0AF0" w:rsidP="009C075F" w:rsidRDefault="00DC0AF0" w14:paraId="2310718E" w14:textId="77777777">
      <w:pPr>
        <w:spacing w:line="276" w:lineRule="auto"/>
      </w:pPr>
    </w:p>
    <w:p w:rsidRPr="00A33C03" w:rsidR="00E239B0" w:rsidP="00E239B0" w:rsidRDefault="00E239B0" w14:paraId="71BDAAF0" w14:textId="77777777">
      <w:pPr>
        <w:spacing w:line="276" w:lineRule="auto"/>
        <w:rPr>
          <w:b/>
          <w:bCs/>
        </w:rPr>
      </w:pPr>
      <w:r w:rsidRPr="00A33C03">
        <w:rPr>
          <w:b/>
          <w:bCs/>
        </w:rPr>
        <w:t>Proces capaciteitsdeclaratie</w:t>
      </w:r>
    </w:p>
    <w:p w:rsidR="004B3E79" w:rsidP="00E239B0" w:rsidRDefault="00E239B0" w14:paraId="3AECB67C" w14:textId="5AAF8F49">
      <w:pPr>
        <w:spacing w:line="276" w:lineRule="auto"/>
        <w:rPr>
          <w:rFonts w:eastAsia="Times New Roman"/>
        </w:rPr>
      </w:pPr>
      <w:r>
        <w:rPr>
          <w:rFonts w:eastAsia="Times New Roman"/>
        </w:rPr>
        <w:t xml:space="preserve">Voor </w:t>
      </w:r>
      <w:r w:rsidR="00E51C6F">
        <w:rPr>
          <w:rFonts w:eastAsia="Times New Roman"/>
        </w:rPr>
        <w:t xml:space="preserve">een </w:t>
      </w:r>
      <w:r w:rsidR="00003EB4">
        <w:rPr>
          <w:rFonts w:eastAsia="Times New Roman"/>
        </w:rPr>
        <w:t>slot</w:t>
      </w:r>
      <w:r>
        <w:rPr>
          <w:rFonts w:eastAsia="Times New Roman"/>
        </w:rPr>
        <w:t xml:space="preserve">gecoördineerde luchthaven, zoals Schiphol, wordt </w:t>
      </w:r>
      <w:r w:rsidR="00E51C6F">
        <w:rPr>
          <w:rFonts w:eastAsia="Times New Roman"/>
        </w:rPr>
        <w:t>voor</w:t>
      </w:r>
      <w:r>
        <w:rPr>
          <w:rFonts w:eastAsia="Times New Roman"/>
        </w:rPr>
        <w:t xml:space="preserve"> elk slotseizoen een capaciteitsdeclaratie vast</w:t>
      </w:r>
      <w:r w:rsidR="00E51C6F">
        <w:rPr>
          <w:rFonts w:eastAsia="Times New Roman"/>
        </w:rPr>
        <w:t>gesteld</w:t>
      </w:r>
      <w:r w:rsidRPr="00A33C03">
        <w:rPr>
          <w:rFonts w:eastAsia="Times New Roman"/>
        </w:rPr>
        <w:t xml:space="preserve">. </w:t>
      </w:r>
      <w:r w:rsidRPr="00E51C6F" w:rsidR="00E51C6F">
        <w:rPr>
          <w:rFonts w:eastAsia="Times New Roman"/>
        </w:rPr>
        <w:t xml:space="preserve">De capaciteitsdeclaratie vormt de basis voor de slotallocatie door de onafhankelijke slotcoördinator. </w:t>
      </w:r>
      <w:r w:rsidRPr="00A33C03" w:rsidR="004B3E79">
        <w:rPr>
          <w:rFonts w:eastAsia="Times New Roman"/>
        </w:rPr>
        <w:t>Het slotsproces volgt een wereldwijd vastgestelde kalender, die op alle slotgecoördineerde luchthavens wordt gebruikt. Op deze manier kunnen luchtvaartmaatschappijen slots op beide luchthavens aan elkaar koppelen, om zo tot maakbare operaties te komen.</w:t>
      </w:r>
    </w:p>
    <w:p w:rsidR="004B3E79" w:rsidP="00E239B0" w:rsidRDefault="004B3E79" w14:paraId="1A05FD9F" w14:textId="77777777">
      <w:pPr>
        <w:spacing w:line="276" w:lineRule="auto"/>
        <w:rPr>
          <w:rFonts w:eastAsia="Times New Roman"/>
        </w:rPr>
      </w:pPr>
    </w:p>
    <w:p w:rsidR="00E239B0" w:rsidP="00E239B0" w:rsidRDefault="00E239B0" w14:paraId="1933F0F3" w14:textId="344D423F">
      <w:pPr>
        <w:spacing w:line="276" w:lineRule="auto"/>
        <w:rPr>
          <w:rFonts w:eastAsia="Times New Roman"/>
        </w:rPr>
      </w:pPr>
      <w:r w:rsidRPr="00A33C03">
        <w:rPr>
          <w:rFonts w:eastAsia="Times New Roman"/>
        </w:rPr>
        <w:t xml:space="preserve">De capaciteitsdeclaratie </w:t>
      </w:r>
      <w:r>
        <w:rPr>
          <w:rFonts w:eastAsia="Times New Roman"/>
        </w:rPr>
        <w:t>wordt gebaseerd</w:t>
      </w:r>
      <w:r w:rsidRPr="00A33C03">
        <w:rPr>
          <w:rFonts w:eastAsia="Times New Roman"/>
        </w:rPr>
        <w:t xml:space="preserve"> </w:t>
      </w:r>
      <w:r w:rsidR="001A7765">
        <w:rPr>
          <w:rFonts w:eastAsia="Times New Roman"/>
        </w:rPr>
        <w:t xml:space="preserve">op </w:t>
      </w:r>
      <w:r w:rsidRPr="00A33C03">
        <w:rPr>
          <w:rFonts w:eastAsia="Times New Roman"/>
        </w:rPr>
        <w:t>operationele, technische en milieuparameters.</w:t>
      </w:r>
      <w:r>
        <w:rPr>
          <w:rFonts w:eastAsia="Times New Roman"/>
        </w:rPr>
        <w:t xml:space="preserve"> </w:t>
      </w:r>
      <w:r w:rsidR="00E51C6F">
        <w:rPr>
          <w:rFonts w:eastAsia="Times New Roman"/>
        </w:rPr>
        <w:t xml:space="preserve">In Nederland is de luchthavenexploitant eindverantwoordelijk voor het vaststellen van de capaciteitsdeclaratie. </w:t>
      </w:r>
      <w:r w:rsidRPr="00E51C6F" w:rsidR="004B3E79">
        <w:rPr>
          <w:rFonts w:eastAsia="Times New Roman"/>
        </w:rPr>
        <w:t>De beschikbare capaciteit, weergegeven in de capaciteitsdeclaratie, is leidend voor de uitgifte van slots; er kunnen niet meer slots worden uitgegeven dan er capaciteit is.</w:t>
      </w:r>
    </w:p>
    <w:p w:rsidR="00E51C6F" w:rsidP="00E51C6F" w:rsidRDefault="00E51C6F" w14:paraId="6ACAB2DA" w14:textId="77777777">
      <w:pPr>
        <w:spacing w:line="276" w:lineRule="auto"/>
        <w:rPr>
          <w:rFonts w:eastAsia="Times New Roman"/>
        </w:rPr>
      </w:pPr>
    </w:p>
    <w:p w:rsidR="00E51C6F" w:rsidP="00E51C6F" w:rsidRDefault="00E51C6F" w14:paraId="05D1A08F" w14:textId="1306896F">
      <w:pPr>
        <w:spacing w:line="276" w:lineRule="auto"/>
        <w:rPr>
          <w:rFonts w:eastAsia="Times New Roman"/>
        </w:rPr>
      </w:pPr>
      <w:r w:rsidRPr="00A33C03">
        <w:rPr>
          <w:rFonts w:eastAsia="Times New Roman"/>
        </w:rPr>
        <w:t xml:space="preserve">De capaciteit van de luchthaven wordt voor elk zomer- en winterseizoen ruim voor de start van deze seizoenen vastgesteld. Het zomerseizoen </w:t>
      </w:r>
      <w:r>
        <w:rPr>
          <w:rFonts w:eastAsia="Times New Roman"/>
        </w:rPr>
        <w:t>loopt van</w:t>
      </w:r>
      <w:r w:rsidRPr="00A33C03">
        <w:rPr>
          <w:rFonts w:eastAsia="Times New Roman"/>
        </w:rPr>
        <w:t xml:space="preserve"> de laatste zondag van maart</w:t>
      </w:r>
      <w:r>
        <w:rPr>
          <w:rFonts w:eastAsia="Times New Roman"/>
        </w:rPr>
        <w:t xml:space="preserve"> tot en met de laatste zaterdag van oktober</w:t>
      </w:r>
      <w:r w:rsidR="00576033">
        <w:rPr>
          <w:rFonts w:eastAsia="Times New Roman"/>
        </w:rPr>
        <w:t>.</w:t>
      </w:r>
      <w:r w:rsidRPr="00A33C03">
        <w:rPr>
          <w:rFonts w:eastAsia="Times New Roman"/>
        </w:rPr>
        <w:t xml:space="preserve"> Het winterseizoen start de laatste zondag van oktober</w:t>
      </w:r>
      <w:r>
        <w:rPr>
          <w:rFonts w:eastAsia="Times New Roman"/>
        </w:rPr>
        <w:t xml:space="preserve"> en loopt tot en met de laatste zaterdag van maart</w:t>
      </w:r>
      <w:r w:rsidRPr="00A33C03">
        <w:rPr>
          <w:rFonts w:eastAsia="Times New Roman"/>
        </w:rPr>
        <w:t xml:space="preserve">. </w:t>
      </w:r>
    </w:p>
    <w:p w:rsidR="00576033" w:rsidRDefault="00576033" w14:paraId="591BA134" w14:textId="68DDF0F4">
      <w:pPr>
        <w:spacing w:line="240" w:lineRule="auto"/>
        <w:rPr>
          <w:rFonts w:eastAsia="Times New Roman"/>
        </w:rPr>
      </w:pPr>
      <w:r>
        <w:rPr>
          <w:rFonts w:eastAsia="Times New Roman"/>
        </w:rPr>
        <w:br w:type="page"/>
      </w:r>
    </w:p>
    <w:p w:rsidR="00AE2C84" w:rsidP="00E239B0" w:rsidRDefault="00AE2C84" w14:paraId="25719FA7" w14:textId="77777777">
      <w:pPr>
        <w:spacing w:line="276" w:lineRule="auto"/>
        <w:rPr>
          <w:rFonts w:eastAsia="Times New Roman"/>
        </w:rPr>
      </w:pPr>
    </w:p>
    <w:p w:rsidRPr="00E239B0" w:rsidR="00DC0AF0" w:rsidP="00E239B0" w:rsidRDefault="00DC0AF0" w14:paraId="7CF0949E" w14:textId="0D842B35">
      <w:pPr>
        <w:spacing w:line="276" w:lineRule="auto"/>
        <w:rPr>
          <w:rFonts w:eastAsia="Times New Roman"/>
        </w:rPr>
      </w:pPr>
      <w:r w:rsidRPr="00A33C03">
        <w:rPr>
          <w:b/>
          <w:bCs/>
        </w:rPr>
        <w:t>Basis capaciteitsdeclaratie</w:t>
      </w:r>
    </w:p>
    <w:p w:rsidRPr="00A33C03" w:rsidR="00DC0AF0" w:rsidP="009C075F" w:rsidRDefault="00EB1604" w14:paraId="0D339D3F" w14:textId="2016382C">
      <w:pPr>
        <w:spacing w:line="276" w:lineRule="auto"/>
        <w:rPr>
          <w:rFonts w:cs="Calibri"/>
        </w:rPr>
      </w:pPr>
      <w:r w:rsidRPr="00A33C03">
        <w:rPr>
          <w:rFonts w:cs="Calibri"/>
        </w:rPr>
        <w:t xml:space="preserve">Op </w:t>
      </w:r>
      <w:r w:rsidRPr="00A33C03" w:rsidR="001C52A6">
        <w:rPr>
          <w:rFonts w:cs="Calibri"/>
        </w:rPr>
        <w:t>1 april</w:t>
      </w:r>
      <w:r w:rsidRPr="00A33C03" w:rsidR="00925B63">
        <w:rPr>
          <w:rFonts w:cs="Calibri"/>
        </w:rPr>
        <w:t xml:space="preserve"> </w:t>
      </w:r>
      <w:r w:rsidRPr="00A33C03">
        <w:rPr>
          <w:rFonts w:cs="Calibri"/>
        </w:rPr>
        <w:t xml:space="preserve">2026 is de Kamer geïnformeerd over de </w:t>
      </w:r>
      <w:r w:rsidRPr="00A33C03" w:rsidR="00925B63">
        <w:rPr>
          <w:rFonts w:cs="Calibri"/>
        </w:rPr>
        <w:t>nadere duiding van de uitspraak van de Raad van State</w:t>
      </w:r>
      <w:r w:rsidRPr="00A33C03" w:rsidR="00925B63">
        <w:rPr>
          <w:rStyle w:val="FootnoteReference"/>
          <w:rFonts w:cs="Calibri"/>
        </w:rPr>
        <w:footnoteReference w:id="2"/>
      </w:r>
      <w:r w:rsidRPr="00A33C03">
        <w:rPr>
          <w:rFonts w:cs="Calibri"/>
        </w:rPr>
        <w:t xml:space="preserve"> over de versnelde wijziging van het </w:t>
      </w:r>
      <w:r w:rsidR="00BA51E3">
        <w:rPr>
          <w:rFonts w:cs="Calibri"/>
        </w:rPr>
        <w:t>LVB</w:t>
      </w:r>
      <w:r w:rsidRPr="00A33C03">
        <w:rPr>
          <w:rFonts w:cs="Calibri"/>
        </w:rPr>
        <w:t xml:space="preserve">. In die brief wordt ook ingegaan op </w:t>
      </w:r>
      <w:r w:rsidR="00E51C6F">
        <w:rPr>
          <w:rFonts w:cs="Calibri"/>
        </w:rPr>
        <w:t xml:space="preserve">de gevolgen </w:t>
      </w:r>
      <w:r w:rsidRPr="00A33C03">
        <w:rPr>
          <w:rFonts w:cs="Calibri"/>
        </w:rPr>
        <w:t xml:space="preserve">voor de capaciteitsdeclaratie voor Schiphol. </w:t>
      </w:r>
      <w:r w:rsidRPr="00A33C03" w:rsidR="001C52A6">
        <w:rPr>
          <w:rFonts w:cs="Calibri"/>
        </w:rPr>
        <w:t xml:space="preserve"> </w:t>
      </w:r>
    </w:p>
    <w:p w:rsidR="00503439" w:rsidP="009C075F" w:rsidRDefault="00503439" w14:paraId="502B6C1C" w14:textId="77777777">
      <w:pPr>
        <w:spacing w:line="276" w:lineRule="auto"/>
        <w:rPr>
          <w:rFonts w:cs="Calibri"/>
          <w:i/>
          <w:iCs/>
        </w:rPr>
      </w:pPr>
    </w:p>
    <w:p w:rsidRPr="00A33C03" w:rsidR="00DC0AF0" w:rsidP="009C075F" w:rsidRDefault="00DC0AF0" w14:paraId="319F10D5" w14:textId="669A4DD1">
      <w:pPr>
        <w:spacing w:line="276" w:lineRule="auto"/>
        <w:rPr>
          <w:rFonts w:cs="Calibri"/>
        </w:rPr>
      </w:pPr>
      <w:r w:rsidRPr="00A33C03">
        <w:rPr>
          <w:rFonts w:cs="Calibri"/>
        </w:rPr>
        <w:t xml:space="preserve">Voor het aantal toegestane vliegtuigbewegingen handelsverkeer per gebruiksjaar </w:t>
      </w:r>
      <w:r w:rsidR="00E51C6F">
        <w:rPr>
          <w:rFonts w:cs="Calibri"/>
        </w:rPr>
        <w:t>gaat Schiphol uit</w:t>
      </w:r>
      <w:r w:rsidR="00AE2C84">
        <w:rPr>
          <w:rFonts w:cs="Calibri"/>
        </w:rPr>
        <w:t xml:space="preserve"> </w:t>
      </w:r>
      <w:r w:rsidR="00E51C6F">
        <w:rPr>
          <w:rFonts w:cs="Calibri"/>
        </w:rPr>
        <w:t>van</w:t>
      </w:r>
      <w:r w:rsidRPr="00A33C03">
        <w:rPr>
          <w:rFonts w:cs="Calibri"/>
        </w:rPr>
        <w:t xml:space="preserve"> de gedoogsituatie van het anticiperend handhaven. De instructie aan de Inspectie Leefomgeving en Transport (ILT) wordt onverkort doorgezet totdat de integrale wijziging van het LVB in werking treedt. Zoals in de brief van 30 oktober 2025 aan de Kamer is gemeld, gaat de aanwijzing aan de ILT uit van maximaal 478.000 vliegtuigbewegingen per gebruiksjaar.</w:t>
      </w:r>
      <w:r w:rsidRPr="00A33C03">
        <w:rPr>
          <w:rStyle w:val="FootnoteReference"/>
          <w:rFonts w:cs="Calibri"/>
        </w:rPr>
        <w:footnoteReference w:id="3"/>
      </w:r>
      <w:r w:rsidR="00364AE8">
        <w:rPr>
          <w:rFonts w:cs="Calibri"/>
        </w:rPr>
        <w:t xml:space="preserve"> Dit aantal is de uitkomst van de doorlopen balanced approach-procedure.</w:t>
      </w:r>
    </w:p>
    <w:p w:rsidRPr="00A33C03" w:rsidR="00DC0AF0" w:rsidP="009C075F" w:rsidRDefault="00DC0AF0" w14:paraId="52881514" w14:textId="77777777">
      <w:pPr>
        <w:spacing w:line="276" w:lineRule="auto"/>
      </w:pPr>
    </w:p>
    <w:p w:rsidR="00364AE8" w:rsidP="009C075F" w:rsidRDefault="00680B7F" w14:paraId="7E7DF8A0" w14:textId="778F6B83">
      <w:pPr>
        <w:spacing w:line="276" w:lineRule="auto"/>
        <w:rPr>
          <w:rFonts w:eastAsia="Times New Roman"/>
        </w:rPr>
      </w:pPr>
      <w:r>
        <w:rPr>
          <w:rFonts w:eastAsia="Times New Roman"/>
        </w:rPr>
        <w:t>In de uitspraak van het versneld LVB heeft de Afdeling geen uitspraak gedaan over de</w:t>
      </w:r>
      <w:r w:rsidR="00E51C6F">
        <w:rPr>
          <w:rFonts w:eastAsia="Times New Roman"/>
        </w:rPr>
        <w:t xml:space="preserve"> gedoogsituatie van het anticiperend handhaven noch over het maximumaantal vliegtuigbewegingen</w:t>
      </w:r>
      <w:r>
        <w:rPr>
          <w:rFonts w:eastAsia="Times New Roman"/>
        </w:rPr>
        <w:t xml:space="preserve">, behoudens de voorlopige voorziening </w:t>
      </w:r>
      <w:r>
        <w:rPr>
          <w:rFonts w:eastAsia="Times New Roman" w:cs="Calibri"/>
        </w:rPr>
        <w:t>voor het nachtvolume van maximaal 27.000 vliegtuigbewegingen per jaar.</w:t>
      </w:r>
      <w:r>
        <w:rPr>
          <w:rFonts w:eastAsia="Times New Roman"/>
        </w:rPr>
        <w:t xml:space="preserve"> </w:t>
      </w:r>
      <w:r>
        <w:rPr>
          <w:rFonts w:eastAsia="Times New Roman" w:cs="Calibri"/>
        </w:rPr>
        <w:t xml:space="preserve">Gelet op de uitspraak van de Hoge Raad van 12 juli 2024 en de doorlopen </w:t>
      </w:r>
      <w:r w:rsidR="00E51C6F">
        <w:rPr>
          <w:rFonts w:eastAsia="Times New Roman" w:cs="Calibri"/>
        </w:rPr>
        <w:t>balanced approach</w:t>
      </w:r>
      <w:r>
        <w:rPr>
          <w:rFonts w:eastAsia="Times New Roman" w:cs="Calibri"/>
        </w:rPr>
        <w:t xml:space="preserve">-procedure </w:t>
      </w:r>
      <w:r w:rsidR="00E51C6F">
        <w:rPr>
          <w:rFonts w:eastAsia="Times New Roman" w:cs="Calibri"/>
        </w:rPr>
        <w:t>blijft</w:t>
      </w:r>
      <w:r>
        <w:rPr>
          <w:rFonts w:eastAsia="Times New Roman" w:cs="Calibri"/>
        </w:rPr>
        <w:t xml:space="preserve"> de gedoogsituatie </w:t>
      </w:r>
      <w:r w:rsidR="00E51C6F">
        <w:rPr>
          <w:rFonts w:eastAsia="Times New Roman" w:cs="Calibri"/>
        </w:rPr>
        <w:t>voortgezet</w:t>
      </w:r>
      <w:r>
        <w:rPr>
          <w:rFonts w:eastAsia="Times New Roman" w:cs="Calibri"/>
        </w:rPr>
        <w:t xml:space="preserve"> met</w:t>
      </w:r>
      <w:r w:rsidR="00E51C6F">
        <w:rPr>
          <w:rFonts w:eastAsia="Times New Roman" w:cs="Calibri"/>
        </w:rPr>
        <w:t xml:space="preserve"> een</w:t>
      </w:r>
      <w:r>
        <w:rPr>
          <w:rFonts w:eastAsia="Times New Roman" w:cs="Calibri"/>
        </w:rPr>
        <w:t xml:space="preserve"> maxim</w:t>
      </w:r>
      <w:r w:rsidR="00E51C6F">
        <w:rPr>
          <w:rFonts w:eastAsia="Times New Roman" w:cs="Calibri"/>
        </w:rPr>
        <w:t>um van</w:t>
      </w:r>
      <w:r>
        <w:rPr>
          <w:rFonts w:eastAsia="Times New Roman" w:cs="Calibri"/>
        </w:rPr>
        <w:t xml:space="preserve"> 478.000 vliegtuigbewegingen per </w:t>
      </w:r>
      <w:r w:rsidR="00E51C6F">
        <w:rPr>
          <w:rFonts w:eastAsia="Times New Roman" w:cs="Calibri"/>
        </w:rPr>
        <w:t>gebruiks</w:t>
      </w:r>
      <w:r>
        <w:rPr>
          <w:rFonts w:eastAsia="Times New Roman" w:cs="Calibri"/>
        </w:rPr>
        <w:t xml:space="preserve">jaar. </w:t>
      </w:r>
    </w:p>
    <w:p w:rsidR="00AE2C84" w:rsidP="009C075F" w:rsidRDefault="00AE2C84" w14:paraId="7AEF3729" w14:textId="77777777">
      <w:pPr>
        <w:spacing w:line="276" w:lineRule="auto"/>
        <w:rPr>
          <w:b/>
          <w:bCs/>
        </w:rPr>
      </w:pPr>
    </w:p>
    <w:p w:rsidR="00AE2C84" w:rsidP="009C075F" w:rsidRDefault="00AE2C84" w14:paraId="0CC46610" w14:textId="2292F5DF">
      <w:pPr>
        <w:spacing w:line="276" w:lineRule="auto"/>
        <w:rPr>
          <w:b/>
          <w:bCs/>
        </w:rPr>
      </w:pPr>
      <w:r>
        <w:rPr>
          <w:b/>
          <w:bCs/>
        </w:rPr>
        <w:t xml:space="preserve">Planning capaciteitsdeclaratie 2027 </w:t>
      </w:r>
    </w:p>
    <w:p w:rsidRPr="00576033" w:rsidR="00576033" w:rsidP="00576033" w:rsidRDefault="00576033" w14:paraId="23FDF01C" w14:textId="2102C9D9">
      <w:pPr>
        <w:spacing w:line="276" w:lineRule="auto"/>
        <w:rPr>
          <w:rFonts w:eastAsia="Times New Roman"/>
        </w:rPr>
      </w:pPr>
      <w:r w:rsidRPr="00A33C03">
        <w:rPr>
          <w:rFonts w:eastAsia="Times New Roman"/>
        </w:rPr>
        <w:t>De planning voor het komende winterseizoen</w:t>
      </w:r>
      <w:r>
        <w:rPr>
          <w:rFonts w:eastAsia="Times New Roman"/>
        </w:rPr>
        <w:t xml:space="preserve"> 2027</w:t>
      </w:r>
      <w:r w:rsidRPr="00A33C03">
        <w:rPr>
          <w:rFonts w:eastAsia="Times New Roman"/>
        </w:rPr>
        <w:t xml:space="preserve"> </w:t>
      </w:r>
      <w:r>
        <w:rPr>
          <w:rFonts w:eastAsia="Times New Roman"/>
        </w:rPr>
        <w:t>ziet er vervolgens als volgt uit</w:t>
      </w:r>
      <w:r w:rsidRPr="00A33C03">
        <w:rPr>
          <w:rFonts w:eastAsia="Times New Roman"/>
        </w:rPr>
        <w:t>:</w:t>
      </w:r>
    </w:p>
    <w:p w:rsidRPr="00A33C03" w:rsidR="00AE2C84" w:rsidP="00AE2C84" w:rsidRDefault="00AE2C84" w14:paraId="46C2C69B" w14:textId="119D70F2">
      <w:pPr>
        <w:pStyle w:val="ListParagraph"/>
        <w:numPr>
          <w:ilvl w:val="0"/>
          <w:numId w:val="26"/>
        </w:numPr>
        <w:spacing w:line="276" w:lineRule="auto"/>
        <w:rPr>
          <w:rFonts w:ascii="Verdana" w:hAnsi="Verdana" w:eastAsia="Times New Roman"/>
          <w:sz w:val="18"/>
          <w:szCs w:val="18"/>
        </w:rPr>
      </w:pPr>
      <w:r w:rsidRPr="00A33C03">
        <w:rPr>
          <w:rFonts w:ascii="Verdana" w:hAnsi="Verdana" w:eastAsia="Times New Roman"/>
          <w:sz w:val="18"/>
          <w:szCs w:val="18"/>
        </w:rPr>
        <w:t>Voordat capaciteit vastgesteld kan worden, dient de capaciteitsdeclaratie geconsulteerd te worden. Dit heeft voor het aankomende winterseizoen op 2 april 2026 plaatsgevonden. De geconsulteerde capaciteitsdeclaratie kent een limiet van 478.000 bewegingen op jaarbasis</w:t>
      </w:r>
      <w:r>
        <w:rPr>
          <w:rFonts w:ascii="Verdana" w:hAnsi="Verdana" w:eastAsia="Times New Roman"/>
          <w:sz w:val="18"/>
          <w:szCs w:val="18"/>
        </w:rPr>
        <w:t xml:space="preserve"> (zie onder basis capaciteitsdeclaratie)</w:t>
      </w:r>
      <w:r w:rsidRPr="00A33C03">
        <w:rPr>
          <w:rFonts w:ascii="Verdana" w:hAnsi="Verdana" w:eastAsia="Times New Roman"/>
          <w:sz w:val="18"/>
          <w:szCs w:val="18"/>
        </w:rPr>
        <w:t>. Hiervoor wordt een verdeling gemaakt in bewegingen in het winterseizoen en bewegingen in het zomerseizoen.</w:t>
      </w:r>
    </w:p>
    <w:p w:rsidRPr="00A33C03" w:rsidR="00AE2C84" w:rsidP="00AE2C84" w:rsidRDefault="00AE2C84" w14:paraId="3949F7BC" w14:textId="77777777">
      <w:pPr>
        <w:pStyle w:val="ListParagraph"/>
        <w:numPr>
          <w:ilvl w:val="0"/>
          <w:numId w:val="26"/>
        </w:numPr>
        <w:spacing w:line="276" w:lineRule="auto"/>
        <w:rPr>
          <w:rFonts w:ascii="Verdana" w:hAnsi="Verdana" w:eastAsia="Times New Roman"/>
          <w:sz w:val="18"/>
          <w:szCs w:val="18"/>
        </w:rPr>
      </w:pPr>
      <w:r w:rsidRPr="00A33C03">
        <w:rPr>
          <w:rFonts w:ascii="Verdana" w:hAnsi="Verdana" w:eastAsia="Times New Roman"/>
          <w:sz w:val="18"/>
          <w:szCs w:val="18"/>
        </w:rPr>
        <w:t xml:space="preserve">De capaciteitsdeclaratie voor het aanstaande winterseizoen wordt op uiterlijk 30 april 2026 formeel vastgesteld. </w:t>
      </w:r>
    </w:p>
    <w:p w:rsidRPr="00A33C03" w:rsidR="00AE2C84" w:rsidP="00AE2C84" w:rsidRDefault="00AE2C84" w14:paraId="65B1AF73" w14:textId="77777777">
      <w:pPr>
        <w:pStyle w:val="ListParagraph"/>
        <w:numPr>
          <w:ilvl w:val="0"/>
          <w:numId w:val="26"/>
        </w:numPr>
        <w:spacing w:line="276" w:lineRule="auto"/>
        <w:rPr>
          <w:rFonts w:ascii="Verdana" w:hAnsi="Verdana" w:eastAsia="Times New Roman"/>
          <w:sz w:val="18"/>
          <w:szCs w:val="18"/>
        </w:rPr>
      </w:pPr>
      <w:r w:rsidRPr="00A33C03">
        <w:rPr>
          <w:rFonts w:ascii="Verdana" w:hAnsi="Verdana" w:eastAsia="Times New Roman"/>
          <w:sz w:val="18"/>
          <w:szCs w:val="18"/>
        </w:rPr>
        <w:t xml:space="preserve">Vervolgens worden de slots op uiterlijk 7 mei 2026 door luchtvaartmaatschappijen aangevraagd. </w:t>
      </w:r>
    </w:p>
    <w:p w:rsidR="00AE2C84" w:rsidP="00AE2C84" w:rsidRDefault="00AE2C84" w14:paraId="6CA4CBE8" w14:textId="77777777">
      <w:pPr>
        <w:pStyle w:val="ListParagraph"/>
        <w:numPr>
          <w:ilvl w:val="0"/>
          <w:numId w:val="26"/>
        </w:numPr>
        <w:spacing w:line="276" w:lineRule="auto"/>
        <w:rPr>
          <w:rFonts w:ascii="Verdana" w:hAnsi="Verdana" w:eastAsia="Times New Roman"/>
          <w:sz w:val="18"/>
          <w:szCs w:val="18"/>
        </w:rPr>
      </w:pPr>
      <w:r w:rsidRPr="00A33C03">
        <w:rPr>
          <w:rFonts w:ascii="Verdana" w:hAnsi="Verdana" w:eastAsia="Times New Roman"/>
          <w:sz w:val="18"/>
          <w:szCs w:val="18"/>
        </w:rPr>
        <w:t xml:space="preserve">Op 28 mei </w:t>
      </w:r>
      <w:r>
        <w:rPr>
          <w:rFonts w:ascii="Verdana" w:hAnsi="Verdana" w:eastAsia="Times New Roman"/>
          <w:sz w:val="18"/>
          <w:szCs w:val="18"/>
        </w:rPr>
        <w:t xml:space="preserve">2026 </w:t>
      </w:r>
      <w:r w:rsidRPr="00A33C03">
        <w:rPr>
          <w:rFonts w:ascii="Verdana" w:hAnsi="Verdana" w:eastAsia="Times New Roman"/>
          <w:sz w:val="18"/>
          <w:szCs w:val="18"/>
        </w:rPr>
        <w:t>verdeelt de slotcoördinator de beschikbare slots over de luchtvaartmaatschappijen die een aanvraag hebben gedaan.</w:t>
      </w:r>
    </w:p>
    <w:p w:rsidRPr="00503439" w:rsidR="00AE2C84" w:rsidP="00AE2C84" w:rsidRDefault="00AE2C84" w14:paraId="092F6A29" w14:textId="77777777">
      <w:pPr>
        <w:pStyle w:val="ListParagraph"/>
        <w:numPr>
          <w:ilvl w:val="0"/>
          <w:numId w:val="26"/>
        </w:numPr>
        <w:spacing w:line="276" w:lineRule="auto"/>
        <w:rPr>
          <w:rFonts w:ascii="Verdana" w:hAnsi="Verdana" w:eastAsia="Times New Roman"/>
          <w:sz w:val="18"/>
          <w:szCs w:val="18"/>
        </w:rPr>
      </w:pPr>
      <w:r w:rsidRPr="00503439">
        <w:rPr>
          <w:rFonts w:ascii="Verdana" w:hAnsi="Verdana" w:eastAsia="Times New Roman"/>
          <w:sz w:val="18"/>
          <w:szCs w:val="18"/>
        </w:rPr>
        <w:t xml:space="preserve">Het nieuwe winterseizoen </w:t>
      </w:r>
      <w:r>
        <w:rPr>
          <w:rFonts w:ascii="Verdana" w:hAnsi="Verdana" w:eastAsia="Times New Roman"/>
          <w:sz w:val="18"/>
          <w:szCs w:val="18"/>
        </w:rPr>
        <w:t>gaat in</w:t>
      </w:r>
      <w:r w:rsidRPr="00503439">
        <w:rPr>
          <w:rFonts w:ascii="Verdana" w:hAnsi="Verdana" w:eastAsia="Times New Roman"/>
          <w:sz w:val="18"/>
          <w:szCs w:val="18"/>
        </w:rPr>
        <w:t xml:space="preserve"> op 25 oktober 2026</w:t>
      </w:r>
      <w:r>
        <w:rPr>
          <w:rFonts w:ascii="Verdana" w:hAnsi="Verdana" w:eastAsia="Times New Roman"/>
          <w:sz w:val="18"/>
          <w:szCs w:val="18"/>
        </w:rPr>
        <w:t>.</w:t>
      </w:r>
    </w:p>
    <w:p w:rsidR="00AE2C84" w:rsidP="009C075F" w:rsidRDefault="00AE2C84" w14:paraId="7AF74263" w14:textId="77777777">
      <w:pPr>
        <w:spacing w:line="276" w:lineRule="auto"/>
        <w:rPr>
          <w:b/>
          <w:bCs/>
        </w:rPr>
      </w:pPr>
    </w:p>
    <w:p w:rsidR="00576033" w:rsidRDefault="00576033" w14:paraId="21A45A4A" w14:textId="77777777">
      <w:pPr>
        <w:spacing w:line="240" w:lineRule="auto"/>
        <w:rPr>
          <w:b/>
          <w:bCs/>
        </w:rPr>
      </w:pPr>
      <w:r>
        <w:rPr>
          <w:b/>
          <w:bCs/>
        </w:rPr>
        <w:br w:type="page"/>
      </w:r>
    </w:p>
    <w:p w:rsidRPr="00A33C03" w:rsidR="00DC0AF0" w:rsidP="009C075F" w:rsidRDefault="00DC0AF0" w14:paraId="2AB08A35" w14:textId="03063ED0">
      <w:pPr>
        <w:spacing w:line="276" w:lineRule="auto"/>
        <w:rPr>
          <w:b/>
          <w:bCs/>
        </w:rPr>
      </w:pPr>
      <w:r w:rsidRPr="00A33C03">
        <w:rPr>
          <w:b/>
          <w:bCs/>
        </w:rPr>
        <w:t>Tot s</w:t>
      </w:r>
      <w:r w:rsidRPr="00A33C03" w:rsidR="001C52A6">
        <w:rPr>
          <w:b/>
          <w:bCs/>
        </w:rPr>
        <w:t>l</w:t>
      </w:r>
      <w:r w:rsidRPr="00A33C03">
        <w:rPr>
          <w:b/>
          <w:bCs/>
        </w:rPr>
        <w:t xml:space="preserve">ot </w:t>
      </w:r>
    </w:p>
    <w:p w:rsidRPr="00A33C03" w:rsidR="004F1FE7" w:rsidP="009C075F" w:rsidRDefault="004B3E79" w14:paraId="3695DEB9" w14:textId="7A43018B">
      <w:pPr>
        <w:spacing w:line="276" w:lineRule="auto"/>
      </w:pPr>
      <w:r>
        <w:t>De uitspraak van de Afdeling bepaalt, behalve voor het maximale aantal vliegtuigbewegingen in de nacht, geen nieuw maximumaantal vliegtuigbewegingen op het etmaal.</w:t>
      </w:r>
      <w:r w:rsidR="00364AE8">
        <w:t xml:space="preserve"> </w:t>
      </w:r>
      <w:r>
        <w:t>De gedooginstructie aan de ILT op basis van</w:t>
      </w:r>
      <w:r w:rsidR="00364AE8">
        <w:t xml:space="preserve"> het anticiperend handhaven </w:t>
      </w:r>
      <w:r>
        <w:t>blijft van kracht. De uitspraak van de Afdeling onderstreept nogmaals het belang</w:t>
      </w:r>
      <w:r w:rsidR="00576033">
        <w:t xml:space="preserve"> </w:t>
      </w:r>
      <w:r w:rsidR="00A33C03">
        <w:t>om de juridische basis van Schiphol op orde te brengen</w:t>
      </w:r>
      <w:r>
        <w:t xml:space="preserve">, zodat het anticiperend handhaven kan worden beëindigd. </w:t>
      </w:r>
      <w:r w:rsidR="00A33C03">
        <w:t xml:space="preserve">Daarom </w:t>
      </w:r>
      <w:r w:rsidR="00503439">
        <w:t xml:space="preserve">is het </w:t>
      </w:r>
      <w:r w:rsidR="00A33C03">
        <w:t>noodzakelijk om zo spoedig mogelijk de ontwerp-wijziging van het Luchthavenverkeerbesluit Schiphol, d</w:t>
      </w:r>
      <w:r w:rsidR="001A7765">
        <w:t xml:space="preserve">ie </w:t>
      </w:r>
      <w:r w:rsidR="00A33C03">
        <w:t xml:space="preserve">momenteel in het kader van de voorhangprocedure bij de Kamer ligt, </w:t>
      </w:r>
      <w:r>
        <w:t>vast te stellen</w:t>
      </w:r>
      <w:r w:rsidR="00A33C03">
        <w:t>.</w:t>
      </w:r>
    </w:p>
    <w:p w:rsidRPr="00A33C03" w:rsidR="004F1FE7" w:rsidP="009C075F" w:rsidRDefault="00840EDE" w14:paraId="2E8E34B4" w14:textId="77777777">
      <w:pPr>
        <w:pStyle w:val="Slotzin"/>
        <w:spacing w:line="276" w:lineRule="auto"/>
      </w:pPr>
      <w:r w:rsidRPr="00A33C03">
        <w:t>Hoogachtend,</w:t>
      </w:r>
    </w:p>
    <w:p w:rsidRPr="00A33C03" w:rsidR="004F1FE7" w:rsidP="009C075F" w:rsidRDefault="00840EDE" w14:paraId="20889A89" w14:textId="77777777">
      <w:pPr>
        <w:pStyle w:val="OndertekeningArea1"/>
        <w:spacing w:line="276" w:lineRule="auto"/>
      </w:pPr>
      <w:r w:rsidRPr="00A33C03">
        <w:t>DE MINISTER VAN INFRASTRUCTUUR EN WATERSTAAT,</w:t>
      </w:r>
    </w:p>
    <w:p w:rsidRPr="00A33C03" w:rsidR="004F1FE7" w:rsidP="009C075F" w:rsidRDefault="004F1FE7" w14:paraId="339D35A3" w14:textId="77777777">
      <w:pPr>
        <w:spacing w:line="276" w:lineRule="auto"/>
      </w:pPr>
    </w:p>
    <w:p w:rsidRPr="00A33C03" w:rsidR="004F1FE7" w:rsidP="009C075F" w:rsidRDefault="004F1FE7" w14:paraId="311F8D13" w14:textId="77777777">
      <w:pPr>
        <w:spacing w:line="276" w:lineRule="auto"/>
      </w:pPr>
    </w:p>
    <w:p w:rsidRPr="00A33C03" w:rsidR="004F1FE7" w:rsidP="009C075F" w:rsidRDefault="004F1FE7" w14:paraId="2273EA18" w14:textId="77777777">
      <w:pPr>
        <w:spacing w:line="276" w:lineRule="auto"/>
      </w:pPr>
    </w:p>
    <w:p w:rsidRPr="00A33C03" w:rsidR="004F1FE7" w:rsidP="009C075F" w:rsidRDefault="004F1FE7" w14:paraId="53E86C8A" w14:textId="77777777">
      <w:pPr>
        <w:spacing w:line="276" w:lineRule="auto"/>
      </w:pPr>
    </w:p>
    <w:p w:rsidRPr="00A33C03" w:rsidR="004F1FE7" w:rsidP="009C075F" w:rsidRDefault="00840EDE" w14:paraId="1698D176" w14:textId="77777777">
      <w:pPr>
        <w:spacing w:line="276" w:lineRule="auto"/>
      </w:pPr>
      <w:r w:rsidRPr="00A33C03">
        <w:t>Vincent Karremans</w:t>
      </w:r>
    </w:p>
    <w:sectPr w:rsidRPr="00A33C03" w:rsidR="004F1FE7">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7DBA3" w14:textId="77777777" w:rsidR="00601B39" w:rsidRDefault="00601B39">
      <w:pPr>
        <w:spacing w:line="240" w:lineRule="auto"/>
      </w:pPr>
      <w:r>
        <w:separator/>
      </w:r>
    </w:p>
  </w:endnote>
  <w:endnote w:type="continuationSeparator" w:id="0">
    <w:p w14:paraId="0EF82956" w14:textId="77777777" w:rsidR="00601B39" w:rsidRDefault="00601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EAFCF" w14:textId="77777777" w:rsidR="00601B39" w:rsidRDefault="00601B39">
      <w:pPr>
        <w:spacing w:line="240" w:lineRule="auto"/>
      </w:pPr>
      <w:r>
        <w:separator/>
      </w:r>
    </w:p>
  </w:footnote>
  <w:footnote w:type="continuationSeparator" w:id="0">
    <w:p w14:paraId="1EAFEBFD" w14:textId="77777777" w:rsidR="00601B39" w:rsidRDefault="00601B39">
      <w:pPr>
        <w:spacing w:line="240" w:lineRule="auto"/>
      </w:pPr>
      <w:r>
        <w:continuationSeparator/>
      </w:r>
    </w:p>
  </w:footnote>
  <w:footnote w:id="1">
    <w:p w14:paraId="71281423" w14:textId="47FFFF18" w:rsidR="00CF76EE" w:rsidRPr="00CF76EE" w:rsidRDefault="00CF76EE">
      <w:pPr>
        <w:pStyle w:val="FootnoteText"/>
        <w:rPr>
          <w:sz w:val="16"/>
          <w:szCs w:val="16"/>
        </w:rPr>
      </w:pPr>
      <w:r w:rsidRPr="00CF76EE">
        <w:rPr>
          <w:rStyle w:val="FootnoteReference"/>
          <w:sz w:val="16"/>
          <w:szCs w:val="16"/>
        </w:rPr>
        <w:footnoteRef/>
      </w:r>
      <w:r w:rsidRPr="00CF76EE">
        <w:rPr>
          <w:sz w:val="16"/>
          <w:szCs w:val="16"/>
        </w:rPr>
        <w:t xml:space="preserve"> 2026Z07105/2026D16380</w:t>
      </w:r>
    </w:p>
  </w:footnote>
  <w:footnote w:id="2">
    <w:p w14:paraId="078EDA9D" w14:textId="256FEDBB" w:rsidR="00925B63" w:rsidRPr="00A33C03" w:rsidRDefault="00925B63" w:rsidP="00925B63">
      <w:pPr>
        <w:pStyle w:val="FootnoteText"/>
        <w:rPr>
          <w:sz w:val="15"/>
          <w:szCs w:val="15"/>
        </w:rPr>
      </w:pPr>
      <w:r w:rsidRPr="00A33C03">
        <w:rPr>
          <w:rStyle w:val="FootnoteReference"/>
          <w:sz w:val="15"/>
          <w:szCs w:val="15"/>
        </w:rPr>
        <w:footnoteRef/>
      </w:r>
      <w:r w:rsidRPr="00A33C03">
        <w:rPr>
          <w:sz w:val="15"/>
          <w:szCs w:val="15"/>
        </w:rPr>
        <w:t xml:space="preserve"> Kamerstukken II </w:t>
      </w:r>
      <w:r w:rsidR="00BA51E3">
        <w:rPr>
          <w:sz w:val="15"/>
          <w:szCs w:val="15"/>
        </w:rPr>
        <w:t xml:space="preserve">2025/26, </w:t>
      </w:r>
      <w:r w:rsidRPr="00A33C03">
        <w:rPr>
          <w:sz w:val="15"/>
          <w:szCs w:val="15"/>
        </w:rPr>
        <w:t>29665, nr. 592</w:t>
      </w:r>
      <w:r w:rsidR="00BA51E3">
        <w:rPr>
          <w:sz w:val="15"/>
          <w:szCs w:val="15"/>
        </w:rPr>
        <w:t>.</w:t>
      </w:r>
    </w:p>
  </w:footnote>
  <w:footnote w:id="3">
    <w:p w14:paraId="3E5599A4" w14:textId="77777777" w:rsidR="00DC0AF0" w:rsidRPr="00F51E57" w:rsidRDefault="00DC0AF0" w:rsidP="00DC0AF0">
      <w:pPr>
        <w:pStyle w:val="NoSpacing"/>
        <w:rPr>
          <w:rFonts w:ascii="Calibri" w:hAnsi="Calibri" w:cs="Calibri"/>
          <w:sz w:val="20"/>
          <w:szCs w:val="20"/>
        </w:rPr>
      </w:pPr>
      <w:r w:rsidRPr="00A33C03">
        <w:rPr>
          <w:rStyle w:val="FootnoteReference"/>
          <w:rFonts w:ascii="Verdana" w:hAnsi="Verdana" w:cs="Calibri"/>
          <w:sz w:val="15"/>
          <w:szCs w:val="15"/>
        </w:rPr>
        <w:footnoteRef/>
      </w:r>
      <w:r w:rsidRPr="00A33C03">
        <w:rPr>
          <w:rFonts w:ascii="Verdana" w:hAnsi="Verdana" w:cs="Calibri"/>
          <w:sz w:val="15"/>
          <w:szCs w:val="15"/>
        </w:rPr>
        <w:t xml:space="preserve"> Kamerstukken II 2025/26, 29665, nr. 579.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514AA" w14:textId="77777777" w:rsidR="004F1FE7" w:rsidRDefault="00840EDE">
    <w:r>
      <w:rPr>
        <w:noProof/>
        <w:lang w:val="en-GB" w:eastAsia="en-GB"/>
      </w:rPr>
      <mc:AlternateContent>
        <mc:Choice Requires="wps">
          <w:drawing>
            <wp:anchor distT="0" distB="0" distL="0" distR="0" simplePos="0" relativeHeight="251651584" behindDoc="0" locked="1" layoutInCell="1" allowOverlap="1" wp14:anchorId="3CDE47EA" wp14:editId="36799E5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D80D595" w14:textId="77777777" w:rsidR="004F1FE7" w:rsidRDefault="00840EDE">
                          <w:pPr>
                            <w:pStyle w:val="AfzendgegevensKop0"/>
                          </w:pPr>
                          <w:r>
                            <w:t>Ministerie van Infrastructuur en Waterstaat</w:t>
                          </w:r>
                        </w:p>
                        <w:p w14:paraId="128E7738" w14:textId="77777777" w:rsidR="004F1FE7" w:rsidRDefault="004F1FE7">
                          <w:pPr>
                            <w:pStyle w:val="WitregelW2"/>
                          </w:pPr>
                        </w:p>
                        <w:p w14:paraId="7E805AC2" w14:textId="77777777" w:rsidR="004F1FE7" w:rsidRDefault="00840EDE">
                          <w:pPr>
                            <w:pStyle w:val="Referentiegegevenskop"/>
                          </w:pPr>
                          <w:r>
                            <w:t>Ons kenmerk</w:t>
                          </w:r>
                        </w:p>
                        <w:p w14:paraId="75E77C12" w14:textId="77777777" w:rsidR="000627FA" w:rsidRDefault="000627FA" w:rsidP="000627FA">
                          <w:pPr>
                            <w:pStyle w:val="Referentiegegevens"/>
                          </w:pPr>
                          <w:r>
                            <w:t>IenW/BSK-2026/73933</w:t>
                          </w:r>
                        </w:p>
                        <w:p w14:paraId="1D26C641" w14:textId="14860E83" w:rsidR="004F1FE7" w:rsidRDefault="004F1FE7">
                          <w:pPr>
                            <w:pStyle w:val="Referentiegegevens"/>
                          </w:pPr>
                        </w:p>
                      </w:txbxContent>
                    </wps:txbx>
                    <wps:bodyPr vert="horz" wrap="square" lIns="0" tIns="0" rIns="0" bIns="0" anchor="t" anchorCtr="0"/>
                  </wps:wsp>
                </a:graphicData>
              </a:graphic>
            </wp:anchor>
          </w:drawing>
        </mc:Choice>
        <mc:Fallback>
          <w:pict>
            <v:shapetype w14:anchorId="3CDE47E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D80D595" w14:textId="77777777" w:rsidR="004F1FE7" w:rsidRDefault="00840EDE">
                    <w:pPr>
                      <w:pStyle w:val="AfzendgegevensKop0"/>
                    </w:pPr>
                    <w:r>
                      <w:t>Ministerie van Infrastructuur en Waterstaat</w:t>
                    </w:r>
                  </w:p>
                  <w:p w14:paraId="128E7738" w14:textId="77777777" w:rsidR="004F1FE7" w:rsidRDefault="004F1FE7">
                    <w:pPr>
                      <w:pStyle w:val="WitregelW2"/>
                    </w:pPr>
                  </w:p>
                  <w:p w14:paraId="7E805AC2" w14:textId="77777777" w:rsidR="004F1FE7" w:rsidRDefault="00840EDE">
                    <w:pPr>
                      <w:pStyle w:val="Referentiegegevenskop"/>
                    </w:pPr>
                    <w:r>
                      <w:t>Ons kenmerk</w:t>
                    </w:r>
                  </w:p>
                  <w:p w14:paraId="75E77C12" w14:textId="77777777" w:rsidR="000627FA" w:rsidRDefault="000627FA" w:rsidP="000627FA">
                    <w:pPr>
                      <w:pStyle w:val="Referentiegegevens"/>
                    </w:pPr>
                    <w:r>
                      <w:t>IenW/BSK-2026/73933</w:t>
                    </w:r>
                  </w:p>
                  <w:p w14:paraId="1D26C641" w14:textId="14860E83" w:rsidR="004F1FE7" w:rsidRDefault="004F1FE7">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2BB801C" wp14:editId="1E2EA796">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121F33" w14:textId="77777777" w:rsidR="004F1FE7" w:rsidRDefault="00840EDE">
                          <w:pPr>
                            <w:pStyle w:val="Referentiegegevens"/>
                          </w:pPr>
                          <w:r>
                            <w:t xml:space="preserve">Page </w:t>
                          </w:r>
                          <w:r>
                            <w:fldChar w:fldCharType="begin"/>
                          </w:r>
                          <w:r>
                            <w:instrText>PAGE</w:instrText>
                          </w:r>
                          <w:r>
                            <w:fldChar w:fldCharType="separate"/>
                          </w:r>
                          <w:r w:rsidR="00DC0AF0">
                            <w:rPr>
                              <w:noProof/>
                            </w:rPr>
                            <w:t>1</w:t>
                          </w:r>
                          <w:r>
                            <w:fldChar w:fldCharType="end"/>
                          </w:r>
                          <w:r>
                            <w:t xml:space="preserve"> of </w:t>
                          </w:r>
                          <w:r>
                            <w:fldChar w:fldCharType="begin"/>
                          </w:r>
                          <w:r>
                            <w:instrText>NUMPAGES</w:instrText>
                          </w:r>
                          <w:r>
                            <w:fldChar w:fldCharType="separate"/>
                          </w:r>
                          <w:r w:rsidR="00DC0AF0">
                            <w:rPr>
                              <w:noProof/>
                            </w:rPr>
                            <w:t>1</w:t>
                          </w:r>
                          <w:r>
                            <w:fldChar w:fldCharType="end"/>
                          </w:r>
                        </w:p>
                      </w:txbxContent>
                    </wps:txbx>
                    <wps:bodyPr vert="horz" wrap="square" lIns="0" tIns="0" rIns="0" bIns="0" anchor="t" anchorCtr="0"/>
                  </wps:wsp>
                </a:graphicData>
              </a:graphic>
            </wp:anchor>
          </w:drawing>
        </mc:Choice>
        <mc:Fallback>
          <w:pict>
            <v:shape w14:anchorId="72BB801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8121F33" w14:textId="77777777" w:rsidR="004F1FE7" w:rsidRDefault="00840EDE">
                    <w:pPr>
                      <w:pStyle w:val="Referentiegegevens"/>
                    </w:pPr>
                    <w:r>
                      <w:t xml:space="preserve">Page </w:t>
                    </w:r>
                    <w:r>
                      <w:fldChar w:fldCharType="begin"/>
                    </w:r>
                    <w:r>
                      <w:instrText>PAGE</w:instrText>
                    </w:r>
                    <w:r>
                      <w:fldChar w:fldCharType="separate"/>
                    </w:r>
                    <w:r w:rsidR="00DC0AF0">
                      <w:rPr>
                        <w:noProof/>
                      </w:rPr>
                      <w:t>1</w:t>
                    </w:r>
                    <w:r>
                      <w:fldChar w:fldCharType="end"/>
                    </w:r>
                    <w:r>
                      <w:t xml:space="preserve"> of </w:t>
                    </w:r>
                    <w:r>
                      <w:fldChar w:fldCharType="begin"/>
                    </w:r>
                    <w:r>
                      <w:instrText>NUMPAGES</w:instrText>
                    </w:r>
                    <w:r>
                      <w:fldChar w:fldCharType="separate"/>
                    </w:r>
                    <w:r w:rsidR="00DC0AF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EDFF13E" wp14:editId="7036C9DD">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E144D3E" w14:textId="77777777" w:rsidR="00840EDE" w:rsidRDefault="00840EDE"/>
                      </w:txbxContent>
                    </wps:txbx>
                    <wps:bodyPr vert="horz" wrap="square" lIns="0" tIns="0" rIns="0" bIns="0" anchor="t" anchorCtr="0"/>
                  </wps:wsp>
                </a:graphicData>
              </a:graphic>
            </wp:anchor>
          </w:drawing>
        </mc:Choice>
        <mc:Fallback>
          <w:pict>
            <v:shape w14:anchorId="7EDFF13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E144D3E" w14:textId="77777777" w:rsidR="00840EDE" w:rsidRDefault="00840EDE"/>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0EB0452" wp14:editId="531179F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A1C00E2" w14:textId="77777777" w:rsidR="00840EDE" w:rsidRDefault="00840EDE"/>
                      </w:txbxContent>
                    </wps:txbx>
                    <wps:bodyPr vert="horz" wrap="square" lIns="0" tIns="0" rIns="0" bIns="0" anchor="t" anchorCtr="0"/>
                  </wps:wsp>
                </a:graphicData>
              </a:graphic>
            </wp:anchor>
          </w:drawing>
        </mc:Choice>
        <mc:Fallback>
          <w:pict>
            <v:shape w14:anchorId="00EB045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A1C00E2" w14:textId="77777777" w:rsidR="00840EDE" w:rsidRDefault="00840EDE"/>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37CC7" w14:textId="77777777" w:rsidR="004F1FE7" w:rsidRDefault="00840ED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080805F" wp14:editId="3CC9B60C">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C48A57E" w14:textId="77777777" w:rsidR="00840EDE" w:rsidRDefault="00840EDE"/>
                      </w:txbxContent>
                    </wps:txbx>
                    <wps:bodyPr vert="horz" wrap="square" lIns="0" tIns="0" rIns="0" bIns="0" anchor="t" anchorCtr="0"/>
                  </wps:wsp>
                </a:graphicData>
              </a:graphic>
            </wp:anchor>
          </w:drawing>
        </mc:Choice>
        <mc:Fallback>
          <w:pict>
            <v:shapetype w14:anchorId="6080805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C48A57E" w14:textId="77777777" w:rsidR="00840EDE" w:rsidRDefault="00840EDE"/>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159B5AA" wp14:editId="099B034B">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273139" w14:textId="34DF2D41" w:rsidR="004F1FE7" w:rsidRDefault="00840EDE">
                          <w:pPr>
                            <w:pStyle w:val="Referentiegegevens"/>
                          </w:pPr>
                          <w:r>
                            <w:t xml:space="preserve">Page </w:t>
                          </w:r>
                          <w:r>
                            <w:fldChar w:fldCharType="begin"/>
                          </w:r>
                          <w:r>
                            <w:instrText>PAGE</w:instrText>
                          </w:r>
                          <w:r>
                            <w:fldChar w:fldCharType="separate"/>
                          </w:r>
                          <w:r w:rsidR="00CF2B34">
                            <w:rPr>
                              <w:noProof/>
                            </w:rPr>
                            <w:t>1</w:t>
                          </w:r>
                          <w:r>
                            <w:fldChar w:fldCharType="end"/>
                          </w:r>
                          <w:r>
                            <w:t xml:space="preserve"> of </w:t>
                          </w:r>
                          <w:r>
                            <w:fldChar w:fldCharType="begin"/>
                          </w:r>
                          <w:r>
                            <w:instrText>NUMPAGES</w:instrText>
                          </w:r>
                          <w:r>
                            <w:fldChar w:fldCharType="separate"/>
                          </w:r>
                          <w:r w:rsidR="00CF2B34">
                            <w:rPr>
                              <w:noProof/>
                            </w:rPr>
                            <w:t>1</w:t>
                          </w:r>
                          <w:r>
                            <w:fldChar w:fldCharType="end"/>
                          </w:r>
                        </w:p>
                      </w:txbxContent>
                    </wps:txbx>
                    <wps:bodyPr vert="horz" wrap="square" lIns="0" tIns="0" rIns="0" bIns="0" anchor="t" anchorCtr="0"/>
                  </wps:wsp>
                </a:graphicData>
              </a:graphic>
            </wp:anchor>
          </w:drawing>
        </mc:Choice>
        <mc:Fallback>
          <w:pict>
            <v:shape w14:anchorId="2159B5A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3273139" w14:textId="34DF2D41" w:rsidR="004F1FE7" w:rsidRDefault="00840EDE">
                    <w:pPr>
                      <w:pStyle w:val="Referentiegegevens"/>
                    </w:pPr>
                    <w:r>
                      <w:t xml:space="preserve">Page </w:t>
                    </w:r>
                    <w:r>
                      <w:fldChar w:fldCharType="begin"/>
                    </w:r>
                    <w:r>
                      <w:instrText>PAGE</w:instrText>
                    </w:r>
                    <w:r>
                      <w:fldChar w:fldCharType="separate"/>
                    </w:r>
                    <w:r w:rsidR="00CF2B34">
                      <w:rPr>
                        <w:noProof/>
                      </w:rPr>
                      <w:t>1</w:t>
                    </w:r>
                    <w:r>
                      <w:fldChar w:fldCharType="end"/>
                    </w:r>
                    <w:r>
                      <w:t xml:space="preserve"> of </w:t>
                    </w:r>
                    <w:r>
                      <w:fldChar w:fldCharType="begin"/>
                    </w:r>
                    <w:r>
                      <w:instrText>NUMPAGES</w:instrText>
                    </w:r>
                    <w:r>
                      <w:fldChar w:fldCharType="separate"/>
                    </w:r>
                    <w:r w:rsidR="00CF2B3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ADA0121" wp14:editId="386A214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1EBF080" w14:textId="77777777" w:rsidR="004F1FE7" w:rsidRDefault="00840EDE">
                          <w:pPr>
                            <w:pStyle w:val="AfzendgegevensKop0"/>
                          </w:pPr>
                          <w:r>
                            <w:t>Ministerie van Infrastructuur en Waterstaat</w:t>
                          </w:r>
                        </w:p>
                        <w:p w14:paraId="23761B45" w14:textId="77777777" w:rsidR="004F1FE7" w:rsidRDefault="004F1FE7">
                          <w:pPr>
                            <w:pStyle w:val="WitregelW1"/>
                          </w:pPr>
                        </w:p>
                        <w:p w14:paraId="0500E576" w14:textId="77777777" w:rsidR="004F1FE7" w:rsidRDefault="00840EDE">
                          <w:pPr>
                            <w:pStyle w:val="Afzendgegevens"/>
                          </w:pPr>
                          <w:r>
                            <w:t>Rijnstraat 8</w:t>
                          </w:r>
                        </w:p>
                        <w:p w14:paraId="0E6F869C" w14:textId="14A1F85B" w:rsidR="004F1FE7" w:rsidRPr="00DC0AF0" w:rsidRDefault="00840EDE">
                          <w:pPr>
                            <w:pStyle w:val="Afzendgegevens"/>
                            <w:rPr>
                              <w:lang w:val="de-DE"/>
                            </w:rPr>
                          </w:pPr>
                          <w:r w:rsidRPr="00DC0AF0">
                            <w:rPr>
                              <w:lang w:val="de-DE"/>
                            </w:rPr>
                            <w:t xml:space="preserve">2515 </w:t>
                          </w:r>
                          <w:r w:rsidR="00777504" w:rsidRPr="00DC0AF0">
                            <w:rPr>
                              <w:lang w:val="de-DE"/>
                            </w:rPr>
                            <w:t>XP Den</w:t>
                          </w:r>
                          <w:r w:rsidRPr="00DC0AF0">
                            <w:rPr>
                              <w:lang w:val="de-DE"/>
                            </w:rPr>
                            <w:t xml:space="preserve"> Haag</w:t>
                          </w:r>
                        </w:p>
                        <w:p w14:paraId="678BBEA0" w14:textId="77777777" w:rsidR="004F1FE7" w:rsidRPr="00DC0AF0" w:rsidRDefault="00840EDE">
                          <w:pPr>
                            <w:pStyle w:val="Afzendgegevens"/>
                            <w:rPr>
                              <w:lang w:val="de-DE"/>
                            </w:rPr>
                          </w:pPr>
                          <w:r w:rsidRPr="00DC0AF0">
                            <w:rPr>
                              <w:lang w:val="de-DE"/>
                            </w:rPr>
                            <w:t>Postbus 20901</w:t>
                          </w:r>
                        </w:p>
                        <w:p w14:paraId="771CE38D" w14:textId="77777777" w:rsidR="004F1FE7" w:rsidRPr="00DC0AF0" w:rsidRDefault="00840EDE">
                          <w:pPr>
                            <w:pStyle w:val="Afzendgegevens"/>
                            <w:rPr>
                              <w:lang w:val="de-DE"/>
                            </w:rPr>
                          </w:pPr>
                          <w:r w:rsidRPr="00DC0AF0">
                            <w:rPr>
                              <w:lang w:val="de-DE"/>
                            </w:rPr>
                            <w:t>2500 EX Den Haag</w:t>
                          </w:r>
                        </w:p>
                        <w:p w14:paraId="2A5299DA" w14:textId="77777777" w:rsidR="004F1FE7" w:rsidRPr="00DC0AF0" w:rsidRDefault="004F1FE7">
                          <w:pPr>
                            <w:pStyle w:val="WitregelW1"/>
                            <w:rPr>
                              <w:lang w:val="de-DE"/>
                            </w:rPr>
                          </w:pPr>
                        </w:p>
                        <w:p w14:paraId="3DE4FCF6" w14:textId="77777777" w:rsidR="004F1FE7" w:rsidRPr="00DC0AF0" w:rsidRDefault="00840EDE">
                          <w:pPr>
                            <w:pStyle w:val="Afzendgegevens"/>
                            <w:rPr>
                              <w:lang w:val="de-DE"/>
                            </w:rPr>
                          </w:pPr>
                          <w:r w:rsidRPr="00DC0AF0">
                            <w:rPr>
                              <w:lang w:val="de-DE"/>
                            </w:rPr>
                            <w:t>T   070-456 0000</w:t>
                          </w:r>
                        </w:p>
                        <w:p w14:paraId="14C94F1F" w14:textId="77777777" w:rsidR="004F1FE7" w:rsidRDefault="00840EDE">
                          <w:pPr>
                            <w:pStyle w:val="Afzendgegevens"/>
                          </w:pPr>
                          <w:r>
                            <w:t>F   070-456 1111</w:t>
                          </w:r>
                        </w:p>
                        <w:p w14:paraId="09ED255E" w14:textId="77777777" w:rsidR="004F1FE7" w:rsidRDefault="004F1FE7">
                          <w:pPr>
                            <w:pStyle w:val="WitregelW2"/>
                          </w:pPr>
                        </w:p>
                        <w:p w14:paraId="6A3CBA43" w14:textId="65CE6FAF" w:rsidR="00CF76EE" w:rsidRPr="00CF76EE" w:rsidRDefault="00CF76EE">
                          <w:pPr>
                            <w:pStyle w:val="Referentiegegevenskop"/>
                          </w:pPr>
                          <w:r w:rsidRPr="00CF76EE">
                            <w:t>Uw referentie</w:t>
                          </w:r>
                        </w:p>
                        <w:p w14:paraId="4ABDFDBE" w14:textId="1E20C545" w:rsidR="00CF76EE" w:rsidRPr="00CF76EE" w:rsidRDefault="00CF76EE">
                          <w:pPr>
                            <w:pStyle w:val="Referentiegegevenskop"/>
                            <w:rPr>
                              <w:b w:val="0"/>
                              <w:bCs/>
                            </w:rPr>
                          </w:pPr>
                          <w:r w:rsidRPr="00CF76EE">
                            <w:rPr>
                              <w:b w:val="0"/>
                              <w:bCs/>
                            </w:rPr>
                            <w:t>2026Z07105/2026D16380</w:t>
                          </w:r>
                        </w:p>
                        <w:p w14:paraId="52B2EF0D" w14:textId="77777777" w:rsidR="00CF76EE" w:rsidRDefault="00CF76EE">
                          <w:pPr>
                            <w:pStyle w:val="Referentiegegevenskop"/>
                          </w:pPr>
                        </w:p>
                        <w:p w14:paraId="69BF371A" w14:textId="75BC4513" w:rsidR="004F1FE7" w:rsidRDefault="00840EDE">
                          <w:pPr>
                            <w:pStyle w:val="Referentiegegevenskop"/>
                          </w:pPr>
                          <w:r>
                            <w:t>Ons kenmerk</w:t>
                          </w:r>
                        </w:p>
                        <w:p w14:paraId="29B443A4" w14:textId="0695524E" w:rsidR="004F1FE7" w:rsidRDefault="00792326" w:rsidP="00792326">
                          <w:pPr>
                            <w:pStyle w:val="Referentiegegevens"/>
                          </w:pPr>
                          <w:r>
                            <w:t>IenW/BSK-2026/73933</w:t>
                          </w:r>
                        </w:p>
                        <w:p w14:paraId="528200FB" w14:textId="18E05752" w:rsidR="004F1FE7" w:rsidRDefault="004F1FE7">
                          <w:pPr>
                            <w:pStyle w:val="Referentiegegevens"/>
                          </w:pPr>
                        </w:p>
                        <w:p w14:paraId="22FE4D9E" w14:textId="47DB88E9" w:rsidR="000627FA" w:rsidRDefault="000627FA" w:rsidP="000627FA">
                          <w:pPr>
                            <w:pStyle w:val="Referentiegegevenskop"/>
                          </w:pPr>
                          <w:r>
                            <w:t>Bijlage(n)</w:t>
                          </w:r>
                        </w:p>
                        <w:p w14:paraId="22333ED6" w14:textId="4FC2B7DF" w:rsidR="000627FA" w:rsidRPr="000627FA" w:rsidRDefault="000627FA" w:rsidP="000627FA">
                          <w:pPr>
                            <w:pStyle w:val="Referentiegegevens"/>
                          </w:pPr>
                          <w:r>
                            <w:t>1</w:t>
                          </w:r>
                        </w:p>
                      </w:txbxContent>
                    </wps:txbx>
                    <wps:bodyPr vert="horz" wrap="square" lIns="0" tIns="0" rIns="0" bIns="0" anchor="t" anchorCtr="0"/>
                  </wps:wsp>
                </a:graphicData>
              </a:graphic>
            </wp:anchor>
          </w:drawing>
        </mc:Choice>
        <mc:Fallback>
          <w:pict>
            <v:shape w14:anchorId="1ADA012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1EBF080" w14:textId="77777777" w:rsidR="004F1FE7" w:rsidRDefault="00840EDE">
                    <w:pPr>
                      <w:pStyle w:val="AfzendgegevensKop0"/>
                    </w:pPr>
                    <w:r>
                      <w:t>Ministerie van Infrastructuur en Waterstaat</w:t>
                    </w:r>
                  </w:p>
                  <w:p w14:paraId="23761B45" w14:textId="77777777" w:rsidR="004F1FE7" w:rsidRDefault="004F1FE7">
                    <w:pPr>
                      <w:pStyle w:val="WitregelW1"/>
                    </w:pPr>
                  </w:p>
                  <w:p w14:paraId="0500E576" w14:textId="77777777" w:rsidR="004F1FE7" w:rsidRDefault="00840EDE">
                    <w:pPr>
                      <w:pStyle w:val="Afzendgegevens"/>
                    </w:pPr>
                    <w:r>
                      <w:t>Rijnstraat 8</w:t>
                    </w:r>
                  </w:p>
                  <w:p w14:paraId="0E6F869C" w14:textId="14A1F85B" w:rsidR="004F1FE7" w:rsidRPr="00DC0AF0" w:rsidRDefault="00840EDE">
                    <w:pPr>
                      <w:pStyle w:val="Afzendgegevens"/>
                      <w:rPr>
                        <w:lang w:val="de-DE"/>
                      </w:rPr>
                    </w:pPr>
                    <w:r w:rsidRPr="00DC0AF0">
                      <w:rPr>
                        <w:lang w:val="de-DE"/>
                      </w:rPr>
                      <w:t xml:space="preserve">2515 </w:t>
                    </w:r>
                    <w:r w:rsidR="00777504" w:rsidRPr="00DC0AF0">
                      <w:rPr>
                        <w:lang w:val="de-DE"/>
                      </w:rPr>
                      <w:t>XP Den</w:t>
                    </w:r>
                    <w:r w:rsidRPr="00DC0AF0">
                      <w:rPr>
                        <w:lang w:val="de-DE"/>
                      </w:rPr>
                      <w:t xml:space="preserve"> Haag</w:t>
                    </w:r>
                  </w:p>
                  <w:p w14:paraId="678BBEA0" w14:textId="77777777" w:rsidR="004F1FE7" w:rsidRPr="00DC0AF0" w:rsidRDefault="00840EDE">
                    <w:pPr>
                      <w:pStyle w:val="Afzendgegevens"/>
                      <w:rPr>
                        <w:lang w:val="de-DE"/>
                      </w:rPr>
                    </w:pPr>
                    <w:r w:rsidRPr="00DC0AF0">
                      <w:rPr>
                        <w:lang w:val="de-DE"/>
                      </w:rPr>
                      <w:t>Postbus 20901</w:t>
                    </w:r>
                  </w:p>
                  <w:p w14:paraId="771CE38D" w14:textId="77777777" w:rsidR="004F1FE7" w:rsidRPr="00DC0AF0" w:rsidRDefault="00840EDE">
                    <w:pPr>
                      <w:pStyle w:val="Afzendgegevens"/>
                      <w:rPr>
                        <w:lang w:val="de-DE"/>
                      </w:rPr>
                    </w:pPr>
                    <w:r w:rsidRPr="00DC0AF0">
                      <w:rPr>
                        <w:lang w:val="de-DE"/>
                      </w:rPr>
                      <w:t>2500 EX Den Haag</w:t>
                    </w:r>
                  </w:p>
                  <w:p w14:paraId="2A5299DA" w14:textId="77777777" w:rsidR="004F1FE7" w:rsidRPr="00DC0AF0" w:rsidRDefault="004F1FE7">
                    <w:pPr>
                      <w:pStyle w:val="WitregelW1"/>
                      <w:rPr>
                        <w:lang w:val="de-DE"/>
                      </w:rPr>
                    </w:pPr>
                  </w:p>
                  <w:p w14:paraId="3DE4FCF6" w14:textId="77777777" w:rsidR="004F1FE7" w:rsidRPr="00DC0AF0" w:rsidRDefault="00840EDE">
                    <w:pPr>
                      <w:pStyle w:val="Afzendgegevens"/>
                      <w:rPr>
                        <w:lang w:val="de-DE"/>
                      </w:rPr>
                    </w:pPr>
                    <w:r w:rsidRPr="00DC0AF0">
                      <w:rPr>
                        <w:lang w:val="de-DE"/>
                      </w:rPr>
                      <w:t>T   070-456 0000</w:t>
                    </w:r>
                  </w:p>
                  <w:p w14:paraId="14C94F1F" w14:textId="77777777" w:rsidR="004F1FE7" w:rsidRDefault="00840EDE">
                    <w:pPr>
                      <w:pStyle w:val="Afzendgegevens"/>
                    </w:pPr>
                    <w:r>
                      <w:t>F   070-456 1111</w:t>
                    </w:r>
                  </w:p>
                  <w:p w14:paraId="09ED255E" w14:textId="77777777" w:rsidR="004F1FE7" w:rsidRDefault="004F1FE7">
                    <w:pPr>
                      <w:pStyle w:val="WitregelW2"/>
                    </w:pPr>
                  </w:p>
                  <w:p w14:paraId="6A3CBA43" w14:textId="65CE6FAF" w:rsidR="00CF76EE" w:rsidRPr="00CF76EE" w:rsidRDefault="00CF76EE">
                    <w:pPr>
                      <w:pStyle w:val="Referentiegegevenskop"/>
                    </w:pPr>
                    <w:r w:rsidRPr="00CF76EE">
                      <w:t>Uw referentie</w:t>
                    </w:r>
                  </w:p>
                  <w:p w14:paraId="4ABDFDBE" w14:textId="1E20C545" w:rsidR="00CF76EE" w:rsidRPr="00CF76EE" w:rsidRDefault="00CF76EE">
                    <w:pPr>
                      <w:pStyle w:val="Referentiegegevenskop"/>
                      <w:rPr>
                        <w:b w:val="0"/>
                        <w:bCs/>
                      </w:rPr>
                    </w:pPr>
                    <w:r w:rsidRPr="00CF76EE">
                      <w:rPr>
                        <w:b w:val="0"/>
                        <w:bCs/>
                      </w:rPr>
                      <w:t>2026Z07105/2026D16380</w:t>
                    </w:r>
                  </w:p>
                  <w:p w14:paraId="52B2EF0D" w14:textId="77777777" w:rsidR="00CF76EE" w:rsidRDefault="00CF76EE">
                    <w:pPr>
                      <w:pStyle w:val="Referentiegegevenskop"/>
                    </w:pPr>
                  </w:p>
                  <w:p w14:paraId="69BF371A" w14:textId="75BC4513" w:rsidR="004F1FE7" w:rsidRDefault="00840EDE">
                    <w:pPr>
                      <w:pStyle w:val="Referentiegegevenskop"/>
                    </w:pPr>
                    <w:r>
                      <w:t>Ons kenmerk</w:t>
                    </w:r>
                  </w:p>
                  <w:p w14:paraId="29B443A4" w14:textId="0695524E" w:rsidR="004F1FE7" w:rsidRDefault="00792326" w:rsidP="00792326">
                    <w:pPr>
                      <w:pStyle w:val="Referentiegegevens"/>
                    </w:pPr>
                    <w:r>
                      <w:t>IenW/BSK-2026/73933</w:t>
                    </w:r>
                  </w:p>
                  <w:p w14:paraId="528200FB" w14:textId="18E05752" w:rsidR="004F1FE7" w:rsidRDefault="004F1FE7">
                    <w:pPr>
                      <w:pStyle w:val="Referentiegegevens"/>
                    </w:pPr>
                  </w:p>
                  <w:p w14:paraId="22FE4D9E" w14:textId="47DB88E9" w:rsidR="000627FA" w:rsidRDefault="000627FA" w:rsidP="000627FA">
                    <w:pPr>
                      <w:pStyle w:val="Referentiegegevenskop"/>
                    </w:pPr>
                    <w:r>
                      <w:t>Bijlage(n)</w:t>
                    </w:r>
                  </w:p>
                  <w:p w14:paraId="22333ED6" w14:textId="4FC2B7DF" w:rsidR="000627FA" w:rsidRPr="000627FA" w:rsidRDefault="000627FA" w:rsidP="000627FA">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A8ACBC0" wp14:editId="19B7585F">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B727A9D" w14:textId="77777777" w:rsidR="004F1FE7" w:rsidRDefault="00840EDE">
                          <w:pPr>
                            <w:spacing w:line="240" w:lineRule="auto"/>
                          </w:pPr>
                          <w:r>
                            <w:rPr>
                              <w:noProof/>
                              <w:lang w:val="en-GB" w:eastAsia="en-GB"/>
                            </w:rPr>
                            <w:drawing>
                              <wp:inline distT="0" distB="0" distL="0" distR="0" wp14:anchorId="08400031" wp14:editId="1A541A9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8ACBC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B727A9D" w14:textId="77777777" w:rsidR="004F1FE7" w:rsidRDefault="00840EDE">
                    <w:pPr>
                      <w:spacing w:line="240" w:lineRule="auto"/>
                    </w:pPr>
                    <w:r>
                      <w:rPr>
                        <w:noProof/>
                        <w:lang w:val="en-GB" w:eastAsia="en-GB"/>
                      </w:rPr>
                      <w:drawing>
                        <wp:inline distT="0" distB="0" distL="0" distR="0" wp14:anchorId="08400031" wp14:editId="1A541A9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9C60343" wp14:editId="2C77F78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57728E" w14:textId="77777777" w:rsidR="004F1FE7" w:rsidRDefault="00840EDE">
                          <w:pPr>
                            <w:spacing w:line="240" w:lineRule="auto"/>
                          </w:pPr>
                          <w:r>
                            <w:rPr>
                              <w:noProof/>
                              <w:lang w:val="en-GB" w:eastAsia="en-GB"/>
                            </w:rPr>
                            <w:drawing>
                              <wp:inline distT="0" distB="0" distL="0" distR="0" wp14:anchorId="278BDA16" wp14:editId="3B3A345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C6034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157728E" w14:textId="77777777" w:rsidR="004F1FE7" w:rsidRDefault="00840EDE">
                    <w:pPr>
                      <w:spacing w:line="240" w:lineRule="auto"/>
                    </w:pPr>
                    <w:r>
                      <w:rPr>
                        <w:noProof/>
                        <w:lang w:val="en-GB" w:eastAsia="en-GB"/>
                      </w:rPr>
                      <w:drawing>
                        <wp:inline distT="0" distB="0" distL="0" distR="0" wp14:anchorId="278BDA16" wp14:editId="3B3A345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15F0BB9" wp14:editId="0651755A">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D4ADF2C" w14:textId="77777777" w:rsidR="004F1FE7" w:rsidRDefault="00840ED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15F0BB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D4ADF2C" w14:textId="77777777" w:rsidR="004F1FE7" w:rsidRDefault="00840ED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E0FB98F" wp14:editId="3C4EA82C">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CE44384" w14:textId="77777777" w:rsidR="004F1FE7" w:rsidRDefault="00840ED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E0FB98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CE44384" w14:textId="77777777" w:rsidR="004F1FE7" w:rsidRDefault="00840EDE">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0967853" wp14:editId="1792E7EA">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F1FE7" w14:paraId="16D0CA00" w14:textId="77777777">
                            <w:trPr>
                              <w:trHeight w:val="200"/>
                            </w:trPr>
                            <w:tc>
                              <w:tcPr>
                                <w:tcW w:w="1140" w:type="dxa"/>
                              </w:tcPr>
                              <w:p w14:paraId="79FE1614" w14:textId="77777777" w:rsidR="004F1FE7" w:rsidRDefault="004F1FE7"/>
                            </w:tc>
                            <w:tc>
                              <w:tcPr>
                                <w:tcW w:w="5400" w:type="dxa"/>
                              </w:tcPr>
                              <w:p w14:paraId="23A1F215" w14:textId="77777777" w:rsidR="004F1FE7" w:rsidRDefault="004F1FE7"/>
                            </w:tc>
                          </w:tr>
                          <w:tr w:rsidR="004F1FE7" w14:paraId="235BF5C9" w14:textId="77777777">
                            <w:trPr>
                              <w:trHeight w:val="240"/>
                            </w:trPr>
                            <w:tc>
                              <w:tcPr>
                                <w:tcW w:w="1140" w:type="dxa"/>
                              </w:tcPr>
                              <w:p w14:paraId="62E22895" w14:textId="77777777" w:rsidR="004F1FE7" w:rsidRDefault="00840EDE">
                                <w:r>
                                  <w:t>Datum</w:t>
                                </w:r>
                              </w:p>
                            </w:tc>
                            <w:tc>
                              <w:tcPr>
                                <w:tcW w:w="5400" w:type="dxa"/>
                              </w:tcPr>
                              <w:p w14:paraId="193BBA04" w14:textId="08917152" w:rsidR="004F1FE7" w:rsidRDefault="00777504">
                                <w:r>
                                  <w:t>20 april 2026</w:t>
                                </w:r>
                              </w:p>
                            </w:tc>
                          </w:tr>
                          <w:tr w:rsidR="004F1FE7" w14:paraId="21381418" w14:textId="77777777">
                            <w:trPr>
                              <w:trHeight w:val="240"/>
                            </w:trPr>
                            <w:tc>
                              <w:tcPr>
                                <w:tcW w:w="1140" w:type="dxa"/>
                              </w:tcPr>
                              <w:p w14:paraId="19F0DAB1" w14:textId="77777777" w:rsidR="004F1FE7" w:rsidRDefault="00840EDE">
                                <w:r>
                                  <w:t>Betreft</w:t>
                                </w:r>
                              </w:p>
                            </w:tc>
                            <w:tc>
                              <w:tcPr>
                                <w:tcW w:w="5400" w:type="dxa"/>
                              </w:tcPr>
                              <w:p w14:paraId="48027465" w14:textId="74F25260" w:rsidR="004F1FE7" w:rsidRDefault="00BA51E3">
                                <w:r>
                                  <w:t>Verzoek schriftelijke toelichting b</w:t>
                                </w:r>
                                <w:r w:rsidR="001C52A6" w:rsidRPr="00DC0AF0">
                                  <w:t>asis capaciteitsdeclaratie Schiphol</w:t>
                                </w:r>
                              </w:p>
                            </w:tc>
                          </w:tr>
                          <w:tr w:rsidR="004F1FE7" w14:paraId="624C1CAC" w14:textId="77777777">
                            <w:trPr>
                              <w:trHeight w:val="200"/>
                            </w:trPr>
                            <w:tc>
                              <w:tcPr>
                                <w:tcW w:w="1140" w:type="dxa"/>
                              </w:tcPr>
                              <w:p w14:paraId="7F67A88B" w14:textId="77777777" w:rsidR="004F1FE7" w:rsidRDefault="004F1FE7"/>
                            </w:tc>
                            <w:tc>
                              <w:tcPr>
                                <w:tcW w:w="5400" w:type="dxa"/>
                              </w:tcPr>
                              <w:p w14:paraId="46B9D5CE" w14:textId="77777777" w:rsidR="004F1FE7" w:rsidRDefault="004F1FE7"/>
                            </w:tc>
                          </w:tr>
                        </w:tbl>
                        <w:p w14:paraId="1CF4CE59" w14:textId="77777777" w:rsidR="00840EDE" w:rsidRDefault="00840EDE"/>
                      </w:txbxContent>
                    </wps:txbx>
                    <wps:bodyPr vert="horz" wrap="square" lIns="0" tIns="0" rIns="0" bIns="0" anchor="t" anchorCtr="0"/>
                  </wps:wsp>
                </a:graphicData>
              </a:graphic>
            </wp:anchor>
          </w:drawing>
        </mc:Choice>
        <mc:Fallback>
          <w:pict>
            <v:shape w14:anchorId="3096785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F1FE7" w14:paraId="16D0CA00" w14:textId="77777777">
                      <w:trPr>
                        <w:trHeight w:val="200"/>
                      </w:trPr>
                      <w:tc>
                        <w:tcPr>
                          <w:tcW w:w="1140" w:type="dxa"/>
                        </w:tcPr>
                        <w:p w14:paraId="79FE1614" w14:textId="77777777" w:rsidR="004F1FE7" w:rsidRDefault="004F1FE7"/>
                      </w:tc>
                      <w:tc>
                        <w:tcPr>
                          <w:tcW w:w="5400" w:type="dxa"/>
                        </w:tcPr>
                        <w:p w14:paraId="23A1F215" w14:textId="77777777" w:rsidR="004F1FE7" w:rsidRDefault="004F1FE7"/>
                      </w:tc>
                    </w:tr>
                    <w:tr w:rsidR="004F1FE7" w14:paraId="235BF5C9" w14:textId="77777777">
                      <w:trPr>
                        <w:trHeight w:val="240"/>
                      </w:trPr>
                      <w:tc>
                        <w:tcPr>
                          <w:tcW w:w="1140" w:type="dxa"/>
                        </w:tcPr>
                        <w:p w14:paraId="62E22895" w14:textId="77777777" w:rsidR="004F1FE7" w:rsidRDefault="00840EDE">
                          <w:r>
                            <w:t>Datum</w:t>
                          </w:r>
                        </w:p>
                      </w:tc>
                      <w:tc>
                        <w:tcPr>
                          <w:tcW w:w="5400" w:type="dxa"/>
                        </w:tcPr>
                        <w:p w14:paraId="193BBA04" w14:textId="08917152" w:rsidR="004F1FE7" w:rsidRDefault="00777504">
                          <w:r>
                            <w:t>20 april 2026</w:t>
                          </w:r>
                        </w:p>
                      </w:tc>
                    </w:tr>
                    <w:tr w:rsidR="004F1FE7" w14:paraId="21381418" w14:textId="77777777">
                      <w:trPr>
                        <w:trHeight w:val="240"/>
                      </w:trPr>
                      <w:tc>
                        <w:tcPr>
                          <w:tcW w:w="1140" w:type="dxa"/>
                        </w:tcPr>
                        <w:p w14:paraId="19F0DAB1" w14:textId="77777777" w:rsidR="004F1FE7" w:rsidRDefault="00840EDE">
                          <w:r>
                            <w:t>Betreft</w:t>
                          </w:r>
                        </w:p>
                      </w:tc>
                      <w:tc>
                        <w:tcPr>
                          <w:tcW w:w="5400" w:type="dxa"/>
                        </w:tcPr>
                        <w:p w14:paraId="48027465" w14:textId="74F25260" w:rsidR="004F1FE7" w:rsidRDefault="00BA51E3">
                          <w:r>
                            <w:t>Verzoek schriftelijke toelichting b</w:t>
                          </w:r>
                          <w:r w:rsidR="001C52A6" w:rsidRPr="00DC0AF0">
                            <w:t>asis capaciteitsdeclaratie Schiphol</w:t>
                          </w:r>
                        </w:p>
                      </w:tc>
                    </w:tr>
                    <w:tr w:rsidR="004F1FE7" w14:paraId="624C1CAC" w14:textId="77777777">
                      <w:trPr>
                        <w:trHeight w:val="200"/>
                      </w:trPr>
                      <w:tc>
                        <w:tcPr>
                          <w:tcW w:w="1140" w:type="dxa"/>
                        </w:tcPr>
                        <w:p w14:paraId="7F67A88B" w14:textId="77777777" w:rsidR="004F1FE7" w:rsidRDefault="004F1FE7"/>
                      </w:tc>
                      <w:tc>
                        <w:tcPr>
                          <w:tcW w:w="5400" w:type="dxa"/>
                        </w:tcPr>
                        <w:p w14:paraId="46B9D5CE" w14:textId="77777777" w:rsidR="004F1FE7" w:rsidRDefault="004F1FE7"/>
                      </w:tc>
                    </w:tr>
                  </w:tbl>
                  <w:p w14:paraId="1CF4CE59" w14:textId="77777777" w:rsidR="00840EDE" w:rsidRDefault="00840EDE"/>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9D7B4BA" wp14:editId="633D30AA">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3C6C16" w14:textId="77777777" w:rsidR="00840EDE" w:rsidRDefault="00840EDE"/>
                      </w:txbxContent>
                    </wps:txbx>
                    <wps:bodyPr vert="horz" wrap="square" lIns="0" tIns="0" rIns="0" bIns="0" anchor="t" anchorCtr="0"/>
                  </wps:wsp>
                </a:graphicData>
              </a:graphic>
            </wp:anchor>
          </w:drawing>
        </mc:Choice>
        <mc:Fallback>
          <w:pict>
            <v:shape w14:anchorId="79D7B4B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F3C6C16" w14:textId="77777777" w:rsidR="00840EDE" w:rsidRDefault="00840ED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5D76C5"/>
    <w:multiLevelType w:val="multilevel"/>
    <w:tmpl w:val="3F245F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F28A1AA"/>
    <w:multiLevelType w:val="multilevel"/>
    <w:tmpl w:val="8DC2905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0C6140"/>
    <w:multiLevelType w:val="multilevel"/>
    <w:tmpl w:val="2C38D9B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97B667"/>
    <w:multiLevelType w:val="multilevel"/>
    <w:tmpl w:val="0559061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AB48E59"/>
    <w:multiLevelType w:val="multilevel"/>
    <w:tmpl w:val="2843CE3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4D8DF56"/>
    <w:multiLevelType w:val="multilevel"/>
    <w:tmpl w:val="D5282CE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679AC6"/>
    <w:multiLevelType w:val="multilevel"/>
    <w:tmpl w:val="FCBEC3D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E0BD011"/>
    <w:multiLevelType w:val="multilevel"/>
    <w:tmpl w:val="8766377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C6A4286"/>
    <w:multiLevelType w:val="multilevel"/>
    <w:tmpl w:val="D8A9119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1D06CAF"/>
    <w:multiLevelType w:val="multilevel"/>
    <w:tmpl w:val="D4ED961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5EDED5E"/>
    <w:multiLevelType w:val="multilevel"/>
    <w:tmpl w:val="B7E72AD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5FE7F92"/>
    <w:multiLevelType w:val="multilevel"/>
    <w:tmpl w:val="9576478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2D7F41"/>
    <w:multiLevelType w:val="multilevel"/>
    <w:tmpl w:val="6337099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C90FA2"/>
    <w:multiLevelType w:val="multilevel"/>
    <w:tmpl w:val="430278A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8833D8"/>
    <w:multiLevelType w:val="multilevel"/>
    <w:tmpl w:val="2431E3A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966781"/>
    <w:multiLevelType w:val="hybridMultilevel"/>
    <w:tmpl w:val="2BAA9BA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200DB61F"/>
    <w:multiLevelType w:val="multilevel"/>
    <w:tmpl w:val="B0F77F9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D680A7"/>
    <w:multiLevelType w:val="multilevel"/>
    <w:tmpl w:val="851F3BB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AB5BBC"/>
    <w:multiLevelType w:val="multilevel"/>
    <w:tmpl w:val="609446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315102EF"/>
    <w:multiLevelType w:val="multilevel"/>
    <w:tmpl w:val="8305136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75DBD7"/>
    <w:multiLevelType w:val="multilevel"/>
    <w:tmpl w:val="1C640A4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A975AE"/>
    <w:multiLevelType w:val="hybridMultilevel"/>
    <w:tmpl w:val="C846A6A6"/>
    <w:lvl w:ilvl="0" w:tplc="A70E3800">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73E34834"/>
    <w:multiLevelType w:val="multilevel"/>
    <w:tmpl w:val="34F7ABC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1FB5AA"/>
    <w:multiLevelType w:val="multilevel"/>
    <w:tmpl w:val="F180D55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CEF474"/>
    <w:multiLevelType w:val="multilevel"/>
    <w:tmpl w:val="946659C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19"/>
  </w:num>
  <w:num w:numId="4">
    <w:abstractNumId w:val="9"/>
  </w:num>
  <w:num w:numId="5">
    <w:abstractNumId w:val="18"/>
  </w:num>
  <w:num w:numId="6">
    <w:abstractNumId w:val="16"/>
  </w:num>
  <w:num w:numId="7">
    <w:abstractNumId w:val="3"/>
  </w:num>
  <w:num w:numId="8">
    <w:abstractNumId w:val="23"/>
  </w:num>
  <w:num w:numId="9">
    <w:abstractNumId w:val="10"/>
  </w:num>
  <w:num w:numId="10">
    <w:abstractNumId w:val="11"/>
  </w:num>
  <w:num w:numId="11">
    <w:abstractNumId w:val="22"/>
  </w:num>
  <w:num w:numId="12">
    <w:abstractNumId w:val="0"/>
  </w:num>
  <w:num w:numId="13">
    <w:abstractNumId w:val="24"/>
  </w:num>
  <w:num w:numId="14">
    <w:abstractNumId w:val="5"/>
  </w:num>
  <w:num w:numId="15">
    <w:abstractNumId w:val="20"/>
  </w:num>
  <w:num w:numId="16">
    <w:abstractNumId w:val="8"/>
  </w:num>
  <w:num w:numId="17">
    <w:abstractNumId w:val="12"/>
  </w:num>
  <w:num w:numId="18">
    <w:abstractNumId w:val="1"/>
  </w:num>
  <w:num w:numId="19">
    <w:abstractNumId w:val="4"/>
  </w:num>
  <w:num w:numId="20">
    <w:abstractNumId w:val="2"/>
  </w:num>
  <w:num w:numId="21">
    <w:abstractNumId w:val="6"/>
  </w:num>
  <w:num w:numId="22">
    <w:abstractNumId w:val="13"/>
  </w:num>
  <w:num w:numId="23">
    <w:abstractNumId w:val="17"/>
  </w:num>
  <w:num w:numId="24">
    <w:abstractNumId w:val="21"/>
  </w:num>
  <w:num w:numId="25">
    <w:abstractNumId w:val="2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F0"/>
    <w:rsid w:val="00003EB4"/>
    <w:rsid w:val="0002753F"/>
    <w:rsid w:val="00037B3B"/>
    <w:rsid w:val="000627FA"/>
    <w:rsid w:val="001A7765"/>
    <w:rsid w:val="001C08C9"/>
    <w:rsid w:val="001C52A6"/>
    <w:rsid w:val="00233DA3"/>
    <w:rsid w:val="002971EE"/>
    <w:rsid w:val="002F7A26"/>
    <w:rsid w:val="0032745E"/>
    <w:rsid w:val="00364AE8"/>
    <w:rsid w:val="003B3288"/>
    <w:rsid w:val="003C74D8"/>
    <w:rsid w:val="00437CC4"/>
    <w:rsid w:val="004A14CC"/>
    <w:rsid w:val="004A6124"/>
    <w:rsid w:val="004B3E79"/>
    <w:rsid w:val="004B5CE7"/>
    <w:rsid w:val="004F1FE7"/>
    <w:rsid w:val="00503439"/>
    <w:rsid w:val="00576033"/>
    <w:rsid w:val="00581521"/>
    <w:rsid w:val="00601B39"/>
    <w:rsid w:val="00667D47"/>
    <w:rsid w:val="00680B7F"/>
    <w:rsid w:val="0076546A"/>
    <w:rsid w:val="00777504"/>
    <w:rsid w:val="00792326"/>
    <w:rsid w:val="007B1AE2"/>
    <w:rsid w:val="00840EDE"/>
    <w:rsid w:val="00842A83"/>
    <w:rsid w:val="0092191B"/>
    <w:rsid w:val="00922D3F"/>
    <w:rsid w:val="00925B63"/>
    <w:rsid w:val="00957197"/>
    <w:rsid w:val="009C075F"/>
    <w:rsid w:val="00A33C03"/>
    <w:rsid w:val="00A736E9"/>
    <w:rsid w:val="00AE2C84"/>
    <w:rsid w:val="00BA51E3"/>
    <w:rsid w:val="00C4410A"/>
    <w:rsid w:val="00C46575"/>
    <w:rsid w:val="00CF2B34"/>
    <w:rsid w:val="00CF4CE5"/>
    <w:rsid w:val="00CF76EE"/>
    <w:rsid w:val="00D11082"/>
    <w:rsid w:val="00D315B0"/>
    <w:rsid w:val="00D33CDC"/>
    <w:rsid w:val="00D433A3"/>
    <w:rsid w:val="00D73EDD"/>
    <w:rsid w:val="00DC0AF0"/>
    <w:rsid w:val="00DC71EB"/>
    <w:rsid w:val="00DD1409"/>
    <w:rsid w:val="00DD3E35"/>
    <w:rsid w:val="00E20937"/>
    <w:rsid w:val="00E239B0"/>
    <w:rsid w:val="00E51C6F"/>
    <w:rsid w:val="00E53075"/>
    <w:rsid w:val="00EA6BCB"/>
    <w:rsid w:val="00EB1604"/>
    <w:rsid w:val="00EB5CAC"/>
    <w:rsid w:val="00F01252"/>
    <w:rsid w:val="00F25932"/>
    <w:rsid w:val="00F67ACE"/>
    <w:rsid w:val="00FB3AEC"/>
    <w:rsid w:val="00FC4681"/>
    <w:rsid w:val="00FF33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1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C0AF0"/>
    <w:pPr>
      <w:tabs>
        <w:tab w:val="center" w:pos="4536"/>
        <w:tab w:val="right" w:pos="9072"/>
      </w:tabs>
      <w:spacing w:line="240" w:lineRule="auto"/>
    </w:pPr>
  </w:style>
  <w:style w:type="character" w:customStyle="1" w:styleId="HeaderChar">
    <w:name w:val="Header Char"/>
    <w:basedOn w:val="DefaultParagraphFont"/>
    <w:link w:val="Header"/>
    <w:uiPriority w:val="99"/>
    <w:rsid w:val="00DC0AF0"/>
    <w:rPr>
      <w:rFonts w:ascii="Verdana" w:hAnsi="Verdana"/>
      <w:color w:val="000000"/>
      <w:sz w:val="18"/>
      <w:szCs w:val="18"/>
    </w:rPr>
  </w:style>
  <w:style w:type="paragraph" w:styleId="Footer">
    <w:name w:val="footer"/>
    <w:basedOn w:val="Normal"/>
    <w:link w:val="FooterChar"/>
    <w:uiPriority w:val="99"/>
    <w:unhideWhenUsed/>
    <w:rsid w:val="00DC0AF0"/>
    <w:pPr>
      <w:tabs>
        <w:tab w:val="center" w:pos="4536"/>
        <w:tab w:val="right" w:pos="9072"/>
      </w:tabs>
      <w:spacing w:line="240" w:lineRule="auto"/>
    </w:pPr>
  </w:style>
  <w:style w:type="character" w:customStyle="1" w:styleId="FooterChar">
    <w:name w:val="Footer Char"/>
    <w:basedOn w:val="DefaultParagraphFont"/>
    <w:link w:val="Footer"/>
    <w:uiPriority w:val="99"/>
    <w:rsid w:val="00DC0AF0"/>
    <w:rPr>
      <w:rFonts w:ascii="Verdana" w:hAnsi="Verdana"/>
      <w:color w:val="000000"/>
      <w:sz w:val="18"/>
      <w:szCs w:val="18"/>
    </w:rPr>
  </w:style>
  <w:style w:type="character" w:styleId="FootnoteReference">
    <w:name w:val="footnote reference"/>
    <w:basedOn w:val="DefaultParagraphFont"/>
    <w:uiPriority w:val="99"/>
    <w:semiHidden/>
    <w:unhideWhenUsed/>
    <w:rsid w:val="00DC0AF0"/>
    <w:rPr>
      <w:vertAlign w:val="superscript"/>
    </w:rPr>
  </w:style>
  <w:style w:type="paragraph" w:styleId="NoSpacing">
    <w:name w:val="No Spacing"/>
    <w:uiPriority w:val="1"/>
    <w:qFormat/>
    <w:rsid w:val="00DC0AF0"/>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1C52A6"/>
    <w:pPr>
      <w:spacing w:line="240" w:lineRule="auto"/>
    </w:pPr>
    <w:rPr>
      <w:sz w:val="20"/>
      <w:szCs w:val="20"/>
    </w:rPr>
  </w:style>
  <w:style w:type="character" w:customStyle="1" w:styleId="FootnoteTextChar">
    <w:name w:val="Footnote Text Char"/>
    <w:basedOn w:val="DefaultParagraphFont"/>
    <w:link w:val="FootnoteText"/>
    <w:uiPriority w:val="99"/>
    <w:semiHidden/>
    <w:rsid w:val="001C52A6"/>
    <w:rPr>
      <w:rFonts w:ascii="Verdana" w:hAnsi="Verdana"/>
      <w:color w:val="000000"/>
    </w:rPr>
  </w:style>
  <w:style w:type="paragraph" w:styleId="ListParagraph">
    <w:name w:val="List Paragraph"/>
    <w:basedOn w:val="Normal"/>
    <w:uiPriority w:val="34"/>
    <w:qFormat/>
    <w:rsid w:val="00A33C03"/>
    <w:pPr>
      <w:autoSpaceDN/>
      <w:spacing w:line="240" w:lineRule="auto"/>
      <w:ind w:left="720"/>
      <w:textAlignment w:val="auto"/>
    </w:pPr>
    <w:rPr>
      <w:rFonts w:ascii="Aptos" w:eastAsiaTheme="minorHAnsi" w:hAnsi="Aptos" w:cs="Aptos"/>
      <w:color w:val="auto"/>
      <w:sz w:val="22"/>
      <w:szCs w:val="22"/>
      <w:lang w:eastAsia="en-US"/>
    </w:rPr>
  </w:style>
  <w:style w:type="character" w:styleId="CommentReference">
    <w:name w:val="annotation reference"/>
    <w:basedOn w:val="DefaultParagraphFont"/>
    <w:uiPriority w:val="99"/>
    <w:semiHidden/>
    <w:unhideWhenUsed/>
    <w:rsid w:val="00503439"/>
    <w:rPr>
      <w:sz w:val="16"/>
      <w:szCs w:val="16"/>
    </w:rPr>
  </w:style>
  <w:style w:type="paragraph" w:styleId="CommentText">
    <w:name w:val="annotation text"/>
    <w:basedOn w:val="Normal"/>
    <w:link w:val="CommentTextChar"/>
    <w:uiPriority w:val="99"/>
    <w:unhideWhenUsed/>
    <w:rsid w:val="00503439"/>
    <w:pPr>
      <w:spacing w:line="240" w:lineRule="auto"/>
    </w:pPr>
    <w:rPr>
      <w:sz w:val="20"/>
      <w:szCs w:val="20"/>
    </w:rPr>
  </w:style>
  <w:style w:type="character" w:customStyle="1" w:styleId="CommentTextChar">
    <w:name w:val="Comment Text Char"/>
    <w:basedOn w:val="DefaultParagraphFont"/>
    <w:link w:val="CommentText"/>
    <w:uiPriority w:val="99"/>
    <w:rsid w:val="0050343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03439"/>
    <w:rPr>
      <w:b/>
      <w:bCs/>
    </w:rPr>
  </w:style>
  <w:style w:type="character" w:customStyle="1" w:styleId="CommentSubjectChar">
    <w:name w:val="Comment Subject Char"/>
    <w:basedOn w:val="CommentTextChar"/>
    <w:link w:val="CommentSubject"/>
    <w:uiPriority w:val="99"/>
    <w:semiHidden/>
    <w:rsid w:val="00503439"/>
    <w:rPr>
      <w:rFonts w:ascii="Verdana" w:hAnsi="Verdana"/>
      <w:b/>
      <w:bCs/>
      <w:color w:val="000000"/>
    </w:rPr>
  </w:style>
  <w:style w:type="paragraph" w:styleId="Revision">
    <w:name w:val="Revision"/>
    <w:hidden/>
    <w:uiPriority w:val="99"/>
    <w:semiHidden/>
    <w:rsid w:val="00BA51E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61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716</ap:Words>
  <ap:Characters>4082</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aan Parlement - blabla</vt:lpstr>
    </vt:vector>
  </ap:TitlesOfParts>
  <ap:LinksUpToDate>false</ap:LinksUpToDate>
  <ap:CharactersWithSpaces>4789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2026-04-20T13:01:00.0000000Z</lastPrinted>
  <dcterms:created xsi:type="dcterms:W3CDTF">2026-04-20T13:37:00.0000000Z</dcterms:created>
  <dcterms:modified xsi:type="dcterms:W3CDTF">2026-04-20T13:37:00.0000000Z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blabla</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C.G. Ensing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