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1036" w:rsidP="005A1036" w:rsidRDefault="005A1036" w14:paraId="0ABA856D" w14:textId="77777777">
      <w:pPr>
        <w:rPr>
          <w:szCs w:val="18"/>
        </w:rPr>
      </w:pPr>
    </w:p>
    <w:p w:rsidR="005A1036" w:rsidP="005A1036" w:rsidRDefault="005A1036" w14:paraId="6B68A761" w14:textId="56AA2D50">
      <w:pPr>
        <w:rPr>
          <w:szCs w:val="18"/>
        </w:rPr>
      </w:pPr>
      <w:r>
        <w:rPr>
          <w:szCs w:val="18"/>
        </w:rPr>
        <w:t>AH 1674</w:t>
      </w:r>
    </w:p>
    <w:p w:rsidR="005A1036" w:rsidP="005A1036" w:rsidRDefault="005A1036" w14:paraId="64E3A1AF" w14:textId="76A468AB">
      <w:pPr>
        <w:rPr>
          <w:szCs w:val="18"/>
        </w:rPr>
      </w:pPr>
      <w:r>
        <w:rPr>
          <w:szCs w:val="18"/>
        </w:rPr>
        <w:t>2026Z05635</w:t>
      </w:r>
    </w:p>
    <w:p w:rsidR="005A1036" w:rsidP="005A1036" w:rsidRDefault="005A1036" w14:paraId="52187CD6" w14:textId="0D51263D">
      <w:pPr>
        <w:rPr>
          <w:szCs w:val="18"/>
        </w:rPr>
      </w:pPr>
      <w:r w:rsidRPr="005A1036">
        <w:rPr>
          <w:sz w:val="24"/>
          <w:szCs w:val="24"/>
        </w:rPr>
        <w:t xml:space="preserve">Antwoord van staatssecretaris Erkens (Landbouw, Visserij, Voedselzekerheid en Natuur) (ontvangen </w:t>
      </w:r>
      <w:r>
        <w:rPr>
          <w:sz w:val="24"/>
          <w:szCs w:val="24"/>
        </w:rPr>
        <w:t xml:space="preserve"> 20 april 2026)</w:t>
      </w:r>
    </w:p>
    <w:p w:rsidR="005A1036" w:rsidP="005A1036" w:rsidRDefault="005A1036" w14:paraId="395B4249" w14:textId="77777777">
      <w:pPr>
        <w:rPr>
          <w:szCs w:val="18"/>
        </w:rPr>
      </w:pPr>
    </w:p>
    <w:p w:rsidRPr="00FB6DF7" w:rsidR="005A1036" w:rsidP="005A1036" w:rsidRDefault="005A1036" w14:paraId="1F2A8578" w14:textId="00866B77">
      <w:pPr>
        <w:rPr>
          <w:szCs w:val="18"/>
        </w:rPr>
      </w:pPr>
      <w:r w:rsidRPr="005A1036">
        <w:rPr>
          <w:color w:val="000000"/>
          <w:sz w:val="24"/>
          <w:szCs w:val="24"/>
        </w:rPr>
        <w:t xml:space="preserve">Zie ook Aanhangsel Handelingen, vergaderjaar 2025-2026, nr. </w:t>
      </w:r>
      <w:r>
        <w:rPr>
          <w:szCs w:val="18"/>
        </w:rPr>
        <w:t>1658</w:t>
      </w:r>
    </w:p>
    <w:p w:rsidRPr="00C25A1D" w:rsidR="005A1036" w:rsidP="005A1036" w:rsidRDefault="005A1036" w14:paraId="309D6827" w14:textId="77777777">
      <w:pPr>
        <w:rPr>
          <w:rStyle w:val="Zwaar"/>
          <w:b w:val="0"/>
          <w:bCs w:val="0"/>
        </w:rPr>
      </w:pPr>
      <w:r w:rsidRPr="00C25A1D">
        <w:rPr>
          <w:rStyle w:val="Zwaar"/>
        </w:rPr>
        <w:t>1</w:t>
      </w:r>
    </w:p>
    <w:p w:rsidRPr="0076311D" w:rsidR="005A1036" w:rsidP="005A1036" w:rsidRDefault="005A1036" w14:paraId="21B16847" w14:textId="77777777">
      <w:pPr>
        <w:rPr>
          <w:szCs w:val="18"/>
        </w:rPr>
      </w:pPr>
      <w:r w:rsidRPr="0076311D">
        <w:rPr>
          <w:szCs w:val="18"/>
        </w:rPr>
        <w:t>Bent u bekend met het bericht ‘Kalverslachter VanDrie verbreekt belofte over import Ierse kalveren’?</w:t>
      </w:r>
    </w:p>
    <w:p w:rsidR="005A1036" w:rsidP="005A1036" w:rsidRDefault="005A1036" w14:paraId="2DFA4303" w14:textId="77777777">
      <w:pPr>
        <w:rPr>
          <w:rStyle w:val="Zwaar"/>
          <w:b w:val="0"/>
          <w:bCs w:val="0"/>
        </w:rPr>
      </w:pPr>
    </w:p>
    <w:p w:rsidRPr="00C25A1D" w:rsidR="005A1036" w:rsidP="005A1036" w:rsidRDefault="005A1036" w14:paraId="74E98E0C" w14:textId="77777777">
      <w:pPr>
        <w:rPr>
          <w:b/>
          <w:bCs/>
        </w:rPr>
      </w:pPr>
      <w:r w:rsidRPr="00C25A1D">
        <w:rPr>
          <w:rStyle w:val="Zwaar"/>
        </w:rPr>
        <w:t>Antwoord</w:t>
      </w:r>
    </w:p>
    <w:p w:rsidRPr="0076311D" w:rsidR="005A1036" w:rsidP="005A1036" w:rsidRDefault="005A1036" w14:paraId="3EFB58E5" w14:textId="77777777">
      <w:pPr>
        <w:rPr>
          <w:szCs w:val="18"/>
        </w:rPr>
      </w:pPr>
      <w:r w:rsidRPr="0076311D">
        <w:rPr>
          <w:szCs w:val="18"/>
        </w:rPr>
        <w:t xml:space="preserve">Ja, hier ben ik mee bekend. </w:t>
      </w:r>
    </w:p>
    <w:p w:rsidR="005A1036" w:rsidP="005A1036" w:rsidRDefault="005A1036" w14:paraId="4B8E30D1" w14:textId="77777777"/>
    <w:p w:rsidR="005A1036" w:rsidP="005A1036" w:rsidRDefault="005A1036" w14:paraId="28F3A3C9" w14:textId="77777777">
      <w:r>
        <w:t>2</w:t>
      </w:r>
    </w:p>
    <w:p w:rsidR="005A1036" w:rsidP="005A1036" w:rsidRDefault="005A1036" w14:paraId="25DF120A" w14:textId="77777777">
      <w:pPr>
        <w:rPr>
          <w:szCs w:val="18"/>
        </w:rPr>
      </w:pPr>
      <w:r w:rsidRPr="0076311D">
        <w:rPr>
          <w:szCs w:val="18"/>
        </w:rPr>
        <w:t>Klopt het dat VanDrie Group eerder heeft aangekondigd vanaf 2026 te stoppen met de import van kalveren uit Ierland, maar dat het bedrijf nu toch doorgaat met deze import? Kunt u toelichten hoe deze situatie precies zit?</w:t>
      </w:r>
    </w:p>
    <w:p w:rsidRPr="0076311D" w:rsidR="005A1036" w:rsidP="005A1036" w:rsidRDefault="005A1036" w14:paraId="79C3D010" w14:textId="77777777"/>
    <w:p w:rsidR="005A1036" w:rsidP="005A1036" w:rsidRDefault="005A1036" w14:paraId="6811EC1F" w14:textId="77777777">
      <w:r>
        <w:t>Antwoord</w:t>
      </w:r>
    </w:p>
    <w:p w:rsidRPr="0076311D" w:rsidR="005A1036" w:rsidP="005A1036" w:rsidRDefault="005A1036" w14:paraId="129C5A46" w14:textId="77777777">
      <w:pPr>
        <w:rPr>
          <w:szCs w:val="18"/>
        </w:rPr>
      </w:pPr>
      <w:r w:rsidRPr="0076311D">
        <w:rPr>
          <w:szCs w:val="18"/>
        </w:rPr>
        <w:t xml:space="preserve">VanDrie Group heeft in haar MVO-verslag van 2020 onder de beleidspeiler Diergezondheid en Dierenwelzijn het volgende aangegeven: ‘Voor 2026 stoppen we met de import van kalveren uit Oost-Europa en Ierland naar Nederland.’ Deze doelstelling is daarna niet meer opgenomen in de opvolgende MVO verslagen. </w:t>
      </w:r>
    </w:p>
    <w:p w:rsidRPr="0076311D" w:rsidR="005A1036" w:rsidP="005A1036" w:rsidRDefault="005A1036" w14:paraId="133FF052" w14:textId="77777777">
      <w:pPr>
        <w:rPr>
          <w:szCs w:val="18"/>
        </w:rPr>
      </w:pPr>
      <w:r w:rsidRPr="0076311D">
        <w:rPr>
          <w:szCs w:val="18"/>
        </w:rPr>
        <w:t xml:space="preserve">VanDrie Group mag dergelijke doelen aanpassen. De Europese wet- en regelgeving staat lang transport van ongespeende kalveren ook toe, dus kan VanDrie Group doorgaan met deze import. Wel betreur ik het dat er niet wordt uitgelegd waarom VanDrie Group ogenschijnlijk van deze doelstelling is afgestapt. </w:t>
      </w:r>
    </w:p>
    <w:p w:rsidR="005A1036" w:rsidP="005A1036" w:rsidRDefault="005A1036" w14:paraId="16F338CE" w14:textId="77777777">
      <w:r>
        <w:br/>
        <w:t>3</w:t>
      </w:r>
    </w:p>
    <w:p w:rsidR="005A1036" w:rsidP="005A1036" w:rsidRDefault="005A1036" w14:paraId="0BD70776" w14:textId="77777777">
      <w:pPr>
        <w:rPr>
          <w:szCs w:val="18"/>
        </w:rPr>
      </w:pPr>
      <w:r w:rsidRPr="0076311D">
        <w:rPr>
          <w:szCs w:val="18"/>
        </w:rPr>
        <w:t>Hoeveel kalveren worden jaarlijks vanuit Ierland naar Nederland vervoerd voor de kalverhouderij? Kunt u aangeven hoeveel transporten het betreft en hoelang deze transporten gemiddeld duren?</w:t>
      </w:r>
    </w:p>
    <w:p w:rsidRPr="0076311D" w:rsidR="005A1036" w:rsidP="005A1036" w:rsidRDefault="005A1036" w14:paraId="5345FE6D" w14:textId="77777777"/>
    <w:p w:rsidR="005A1036" w:rsidP="005A1036" w:rsidRDefault="005A1036" w14:paraId="3F3E7D28" w14:textId="77777777">
      <w:r>
        <w:lastRenderedPageBreak/>
        <w:t>Antwoord</w:t>
      </w:r>
    </w:p>
    <w:tbl>
      <w:tblPr>
        <w:tblStyle w:val="Tabelraster"/>
        <w:tblW w:w="0" w:type="auto"/>
        <w:tblLook w:val="04A0" w:firstRow="1" w:lastRow="0" w:firstColumn="1" w:lastColumn="0" w:noHBand="0" w:noVBand="1"/>
      </w:tblPr>
      <w:tblGrid>
        <w:gridCol w:w="2265"/>
        <w:gridCol w:w="2550"/>
        <w:gridCol w:w="2551"/>
      </w:tblGrid>
      <w:tr w:rsidR="005A1036" w:rsidTr="007A526B" w14:paraId="2BB1D90F" w14:textId="77777777">
        <w:tc>
          <w:tcPr>
            <w:tcW w:w="2265" w:type="dxa"/>
            <w:shd w:val="clear" w:color="auto" w:fill="D9D9D9" w:themeFill="background1" w:themeFillShade="D9"/>
          </w:tcPr>
          <w:p w:rsidR="005A1036" w:rsidP="007A526B" w:rsidRDefault="005A1036" w14:paraId="5B542E0A" w14:textId="77777777">
            <w:pPr>
              <w:rPr>
                <w:szCs w:val="18"/>
              </w:rPr>
            </w:pPr>
          </w:p>
        </w:tc>
        <w:tc>
          <w:tcPr>
            <w:tcW w:w="2550" w:type="dxa"/>
            <w:shd w:val="clear" w:color="auto" w:fill="D9D9D9" w:themeFill="background1" w:themeFillShade="D9"/>
          </w:tcPr>
          <w:p w:rsidRPr="005A1036" w:rsidR="005A1036" w:rsidP="007A526B" w:rsidRDefault="005A1036" w14:paraId="47770C8D" w14:textId="77777777">
            <w:pPr>
              <w:jc w:val="center"/>
              <w:rPr>
                <w:szCs w:val="18"/>
                <w:lang w:val="nl-NL"/>
              </w:rPr>
            </w:pPr>
            <w:r w:rsidRPr="005A1036">
              <w:rPr>
                <w:szCs w:val="18"/>
                <w:lang w:val="nl-NL"/>
              </w:rPr>
              <w:t>Aantal kalveren &lt; jaar</w:t>
            </w:r>
          </w:p>
          <w:p w:rsidRPr="005A1036" w:rsidR="005A1036" w:rsidP="007A526B" w:rsidRDefault="005A1036" w14:paraId="3D294BAC" w14:textId="77777777">
            <w:pPr>
              <w:jc w:val="center"/>
              <w:rPr>
                <w:szCs w:val="18"/>
                <w:lang w:val="nl-NL"/>
              </w:rPr>
            </w:pPr>
            <w:r w:rsidRPr="005A1036">
              <w:rPr>
                <w:szCs w:val="18"/>
                <w:lang w:val="nl-NL"/>
              </w:rPr>
              <w:t>(gem. leeftijd 30 dgn)</w:t>
            </w:r>
          </w:p>
        </w:tc>
        <w:tc>
          <w:tcPr>
            <w:tcW w:w="2551" w:type="dxa"/>
            <w:shd w:val="clear" w:color="auto" w:fill="D9D9D9" w:themeFill="background1" w:themeFillShade="D9"/>
          </w:tcPr>
          <w:p w:rsidR="005A1036" w:rsidP="007A526B" w:rsidRDefault="005A1036" w14:paraId="7448E624" w14:textId="77777777">
            <w:pPr>
              <w:jc w:val="center"/>
              <w:rPr>
                <w:szCs w:val="18"/>
              </w:rPr>
            </w:pPr>
            <w:r>
              <w:rPr>
                <w:szCs w:val="18"/>
              </w:rPr>
              <w:t>Aantal transporten</w:t>
            </w:r>
          </w:p>
        </w:tc>
      </w:tr>
      <w:tr w:rsidR="005A1036" w:rsidTr="007A526B" w14:paraId="25E3C189" w14:textId="77777777">
        <w:tc>
          <w:tcPr>
            <w:tcW w:w="2265" w:type="dxa"/>
          </w:tcPr>
          <w:p w:rsidR="005A1036" w:rsidP="007A526B" w:rsidRDefault="005A1036" w14:paraId="60E0D02A" w14:textId="77777777">
            <w:pPr>
              <w:jc w:val="center"/>
              <w:rPr>
                <w:szCs w:val="18"/>
              </w:rPr>
            </w:pPr>
            <w:r>
              <w:rPr>
                <w:szCs w:val="18"/>
              </w:rPr>
              <w:t>2022</w:t>
            </w:r>
          </w:p>
        </w:tc>
        <w:tc>
          <w:tcPr>
            <w:tcW w:w="2550" w:type="dxa"/>
          </w:tcPr>
          <w:p w:rsidR="005A1036" w:rsidP="007A526B" w:rsidRDefault="005A1036" w14:paraId="2B9ED28C" w14:textId="77777777">
            <w:pPr>
              <w:jc w:val="center"/>
              <w:rPr>
                <w:szCs w:val="18"/>
              </w:rPr>
            </w:pPr>
            <w:r>
              <w:rPr>
                <w:szCs w:val="18"/>
              </w:rPr>
              <w:t>93524</w:t>
            </w:r>
          </w:p>
        </w:tc>
        <w:tc>
          <w:tcPr>
            <w:tcW w:w="2551" w:type="dxa"/>
          </w:tcPr>
          <w:p w:rsidR="005A1036" w:rsidP="007A526B" w:rsidRDefault="005A1036" w14:paraId="06FFFEEF" w14:textId="77777777">
            <w:pPr>
              <w:jc w:val="center"/>
              <w:rPr>
                <w:szCs w:val="18"/>
              </w:rPr>
            </w:pPr>
            <w:r w:rsidRPr="00D95323">
              <w:rPr>
                <w:szCs w:val="18"/>
              </w:rPr>
              <w:t>386</w:t>
            </w:r>
          </w:p>
        </w:tc>
      </w:tr>
      <w:tr w:rsidR="005A1036" w:rsidTr="007A526B" w14:paraId="564F0463" w14:textId="77777777">
        <w:tc>
          <w:tcPr>
            <w:tcW w:w="2265" w:type="dxa"/>
          </w:tcPr>
          <w:p w:rsidR="005A1036" w:rsidP="007A526B" w:rsidRDefault="005A1036" w14:paraId="2D846CC7" w14:textId="77777777">
            <w:pPr>
              <w:jc w:val="center"/>
              <w:rPr>
                <w:szCs w:val="18"/>
              </w:rPr>
            </w:pPr>
            <w:r>
              <w:rPr>
                <w:szCs w:val="18"/>
              </w:rPr>
              <w:t>2023</w:t>
            </w:r>
          </w:p>
        </w:tc>
        <w:tc>
          <w:tcPr>
            <w:tcW w:w="2550" w:type="dxa"/>
          </w:tcPr>
          <w:p w:rsidR="005A1036" w:rsidP="007A526B" w:rsidRDefault="005A1036" w14:paraId="4C4DD71F" w14:textId="77777777">
            <w:pPr>
              <w:jc w:val="center"/>
              <w:rPr>
                <w:szCs w:val="18"/>
              </w:rPr>
            </w:pPr>
            <w:r>
              <w:rPr>
                <w:szCs w:val="18"/>
              </w:rPr>
              <w:t>107489</w:t>
            </w:r>
          </w:p>
        </w:tc>
        <w:tc>
          <w:tcPr>
            <w:tcW w:w="2551" w:type="dxa"/>
          </w:tcPr>
          <w:p w:rsidR="005A1036" w:rsidP="007A526B" w:rsidRDefault="005A1036" w14:paraId="6142AF61" w14:textId="77777777">
            <w:pPr>
              <w:jc w:val="center"/>
              <w:rPr>
                <w:szCs w:val="18"/>
              </w:rPr>
            </w:pPr>
            <w:r>
              <w:rPr>
                <w:szCs w:val="18"/>
              </w:rPr>
              <w:t>452</w:t>
            </w:r>
          </w:p>
        </w:tc>
      </w:tr>
      <w:tr w:rsidR="005A1036" w:rsidTr="007A526B" w14:paraId="7A4DF080" w14:textId="77777777">
        <w:tc>
          <w:tcPr>
            <w:tcW w:w="2265" w:type="dxa"/>
          </w:tcPr>
          <w:p w:rsidR="005A1036" w:rsidP="007A526B" w:rsidRDefault="005A1036" w14:paraId="3068363D" w14:textId="77777777">
            <w:pPr>
              <w:jc w:val="center"/>
              <w:rPr>
                <w:szCs w:val="18"/>
              </w:rPr>
            </w:pPr>
            <w:r>
              <w:rPr>
                <w:szCs w:val="18"/>
              </w:rPr>
              <w:t>2024</w:t>
            </w:r>
          </w:p>
        </w:tc>
        <w:tc>
          <w:tcPr>
            <w:tcW w:w="2550" w:type="dxa"/>
          </w:tcPr>
          <w:p w:rsidR="005A1036" w:rsidP="007A526B" w:rsidRDefault="005A1036" w14:paraId="28F587B2" w14:textId="77777777">
            <w:pPr>
              <w:jc w:val="center"/>
              <w:rPr>
                <w:szCs w:val="18"/>
              </w:rPr>
            </w:pPr>
            <w:r>
              <w:rPr>
                <w:szCs w:val="18"/>
              </w:rPr>
              <w:t>78517</w:t>
            </w:r>
          </w:p>
        </w:tc>
        <w:tc>
          <w:tcPr>
            <w:tcW w:w="2551" w:type="dxa"/>
          </w:tcPr>
          <w:p w:rsidR="005A1036" w:rsidP="007A526B" w:rsidRDefault="005A1036" w14:paraId="6E6380B7" w14:textId="77777777">
            <w:pPr>
              <w:jc w:val="center"/>
              <w:rPr>
                <w:szCs w:val="18"/>
              </w:rPr>
            </w:pPr>
            <w:r>
              <w:rPr>
                <w:szCs w:val="18"/>
              </w:rPr>
              <w:t>327</w:t>
            </w:r>
          </w:p>
        </w:tc>
      </w:tr>
      <w:tr w:rsidR="005A1036" w:rsidTr="007A526B" w14:paraId="7076E4AE" w14:textId="77777777">
        <w:tc>
          <w:tcPr>
            <w:tcW w:w="2265" w:type="dxa"/>
          </w:tcPr>
          <w:p w:rsidR="005A1036" w:rsidP="007A526B" w:rsidRDefault="005A1036" w14:paraId="1B1060CE" w14:textId="77777777">
            <w:pPr>
              <w:jc w:val="center"/>
              <w:rPr>
                <w:szCs w:val="18"/>
              </w:rPr>
            </w:pPr>
            <w:r>
              <w:rPr>
                <w:szCs w:val="18"/>
              </w:rPr>
              <w:t>2025</w:t>
            </w:r>
          </w:p>
        </w:tc>
        <w:tc>
          <w:tcPr>
            <w:tcW w:w="2550" w:type="dxa"/>
          </w:tcPr>
          <w:p w:rsidR="005A1036" w:rsidP="007A526B" w:rsidRDefault="005A1036" w14:paraId="5E5E6D84" w14:textId="77777777">
            <w:pPr>
              <w:jc w:val="center"/>
              <w:rPr>
                <w:szCs w:val="18"/>
              </w:rPr>
            </w:pPr>
            <w:r>
              <w:rPr>
                <w:szCs w:val="18"/>
              </w:rPr>
              <w:t>85428</w:t>
            </w:r>
          </w:p>
        </w:tc>
        <w:tc>
          <w:tcPr>
            <w:tcW w:w="2551" w:type="dxa"/>
          </w:tcPr>
          <w:p w:rsidR="005A1036" w:rsidP="007A526B" w:rsidRDefault="005A1036" w14:paraId="679C4102" w14:textId="77777777">
            <w:pPr>
              <w:jc w:val="center"/>
              <w:rPr>
                <w:szCs w:val="18"/>
              </w:rPr>
            </w:pPr>
            <w:r>
              <w:rPr>
                <w:szCs w:val="18"/>
              </w:rPr>
              <w:t>361</w:t>
            </w:r>
          </w:p>
        </w:tc>
      </w:tr>
    </w:tbl>
    <w:p w:rsidR="005A1036" w:rsidP="005A1036" w:rsidRDefault="005A1036" w14:paraId="1C2FEA30" w14:textId="77777777">
      <w:r>
        <w:t>De gemiddelde tijd tussen het laden in Ierland en het lossen in Nederland van de dieren ligt rond de 36 uur. De transportduur wordt niet door de NVWA gecontroleerd. Die verantwoording ligt bij de Ierse autoriteit.</w:t>
      </w:r>
    </w:p>
    <w:p w:rsidR="005A1036" w:rsidP="005A1036" w:rsidRDefault="005A1036" w14:paraId="7537FA64" w14:textId="77777777"/>
    <w:p w:rsidR="005A1036" w:rsidP="005A1036" w:rsidRDefault="005A1036" w14:paraId="7F8DCF0D" w14:textId="77777777">
      <w:r>
        <w:t>4</w:t>
      </w:r>
    </w:p>
    <w:p w:rsidR="005A1036" w:rsidP="005A1036" w:rsidRDefault="005A1036" w14:paraId="7E4D2852" w14:textId="77777777">
      <w:pPr>
        <w:rPr>
          <w:szCs w:val="18"/>
        </w:rPr>
      </w:pPr>
      <w:r w:rsidRPr="0076311D">
        <w:rPr>
          <w:szCs w:val="18"/>
        </w:rPr>
        <w:t>In hoeverre voldoen deze transporten aan de huidige Europese regels voor diertransport, met name ten aanzien van transportduur, rusttijden en het verstrekken van voeding aan jonge dieren? </w:t>
      </w:r>
    </w:p>
    <w:p w:rsidR="005A1036" w:rsidP="005A1036" w:rsidRDefault="005A1036" w14:paraId="7110C2B4" w14:textId="77777777">
      <w:pPr>
        <w:rPr>
          <w:szCs w:val="18"/>
        </w:rPr>
      </w:pPr>
    </w:p>
    <w:p w:rsidR="005A1036" w:rsidP="005A1036" w:rsidRDefault="005A1036" w14:paraId="2B0A6967" w14:textId="77777777">
      <w:pPr>
        <w:rPr>
          <w:szCs w:val="18"/>
        </w:rPr>
      </w:pPr>
      <w:r>
        <w:rPr>
          <w:szCs w:val="18"/>
        </w:rPr>
        <w:t>Antwoord</w:t>
      </w:r>
    </w:p>
    <w:p w:rsidR="005A1036" w:rsidP="005A1036" w:rsidRDefault="005A1036" w14:paraId="497A718E" w14:textId="77777777">
      <w:r>
        <w:t>De Ierse autoriteiten zijn verantwoordelijk voor een juiste uitvoering van de Transportverordening en dus de regels voor diertransport. De Europese Commissie ziet toe op de naleving van de Transportverordening door de EU-lidstaten. De NVWA houdt alleen toezicht op het transport van deze kalveren op Nederlands grondgebied. Toezicht op het transport onderweg is aan de lidstaat waar het transport doorheen rijdt.</w:t>
      </w:r>
    </w:p>
    <w:p w:rsidR="005A1036" w:rsidP="005A1036" w:rsidRDefault="005A1036" w14:paraId="796325F4" w14:textId="77777777">
      <w:pPr>
        <w:rPr>
          <w:szCs w:val="18"/>
        </w:rPr>
      </w:pPr>
    </w:p>
    <w:p w:rsidR="005A1036" w:rsidP="005A1036" w:rsidRDefault="005A1036" w14:paraId="6BB40BE2" w14:textId="77777777">
      <w:pPr>
        <w:rPr>
          <w:szCs w:val="18"/>
        </w:rPr>
      </w:pPr>
      <w:r>
        <w:rPr>
          <w:szCs w:val="18"/>
        </w:rPr>
        <w:t>5</w:t>
      </w:r>
    </w:p>
    <w:p w:rsidR="005A1036" w:rsidP="005A1036" w:rsidRDefault="005A1036" w14:paraId="7538BBE2" w14:textId="77777777">
      <w:pPr>
        <w:rPr>
          <w:szCs w:val="18"/>
        </w:rPr>
      </w:pPr>
      <w:r w:rsidRPr="0076311D">
        <w:rPr>
          <w:szCs w:val="18"/>
        </w:rPr>
        <w:t>Deelt u de opvatting dat langeafstandstransporten van zeer jonge kalveren vanuit andere Europese Unie (EU) lidstaten (en overige landen) onwenselijk zijn vanuit het oogpunt van dierenwelzijn? Zo ja, welke stappen zet u om deze transporten te beperken? Zo nee, waarom niet?</w:t>
      </w:r>
    </w:p>
    <w:p w:rsidR="005A1036" w:rsidP="005A1036" w:rsidRDefault="005A1036" w14:paraId="1C8CC4C4" w14:textId="77777777">
      <w:pPr>
        <w:rPr>
          <w:szCs w:val="18"/>
        </w:rPr>
      </w:pPr>
    </w:p>
    <w:p w:rsidR="005A1036" w:rsidP="005A1036" w:rsidRDefault="005A1036" w14:paraId="5F6549D3" w14:textId="77777777">
      <w:pPr>
        <w:rPr>
          <w:szCs w:val="18"/>
        </w:rPr>
      </w:pPr>
      <w:r>
        <w:rPr>
          <w:szCs w:val="18"/>
        </w:rPr>
        <w:t>Antwoord</w:t>
      </w:r>
    </w:p>
    <w:p w:rsidRPr="0076311D" w:rsidR="005A1036" w:rsidP="005A1036" w:rsidRDefault="005A1036" w14:paraId="4BCE0D73" w14:textId="77777777">
      <w:pPr>
        <w:rPr>
          <w:szCs w:val="18"/>
        </w:rPr>
      </w:pPr>
      <w:r w:rsidRPr="0076311D">
        <w:rPr>
          <w:szCs w:val="18"/>
        </w:rPr>
        <w:t xml:space="preserve">Lange transporten van kwetsbare dieren - waaronder jonge, ongespeende dieren – vind ik vanuit het oogpunt van dierenwelzijn onwenselijk. Het lastige daarbij is dat voor diertransport de Europese Transportverordening geldt, die maar zeer beperkt (alleen nationaal) strengere regelgeving toestaat. Daarnaast moet ik me ook houden aan het vrij verkeer van goederen in Europa, waar diertransporten onder vallen. Daarom zet ik mij in Europa in voor een verbod op lang transport voor ongespeende dieren én duidelijke regels omtrent voederen en drenken onderweg bij de </w:t>
      </w:r>
      <w:r w:rsidRPr="0076311D">
        <w:rPr>
          <w:szCs w:val="18"/>
        </w:rPr>
        <w:lastRenderedPageBreak/>
        <w:t>herziening van de Transportverordening. Deze inzet wordt op ieder mogelijk moment naar voren gebracht bij de Raadswerkgroepen over de herziening van de Transportverordening.</w:t>
      </w:r>
    </w:p>
    <w:p w:rsidR="005A1036" w:rsidP="005A1036" w:rsidRDefault="005A1036" w14:paraId="3AE6E0E6" w14:textId="77777777"/>
    <w:p w:rsidR="005A1036" w:rsidP="005A1036" w:rsidRDefault="005A1036" w14:paraId="464EB584" w14:textId="77777777">
      <w:r>
        <w:t>6</w:t>
      </w:r>
    </w:p>
    <w:p w:rsidRPr="0076311D" w:rsidR="005A1036" w:rsidP="005A1036" w:rsidRDefault="005A1036" w14:paraId="54965A40" w14:textId="77777777">
      <w:r w:rsidRPr="0076311D">
        <w:rPr>
          <w:szCs w:val="18"/>
        </w:rPr>
        <w:t>Worden er momenteel controles uitgevoerd op transporten van jonge kalveren vanuit Ierland naar Nederland? Zo ja, hoe vaak vinden controles plaats en wat zijn de bevindingen van deze controles in de afgelopen jaren?</w:t>
      </w:r>
    </w:p>
    <w:p w:rsidR="005A1036" w:rsidP="005A1036" w:rsidRDefault="005A1036" w14:paraId="2711262A" w14:textId="77777777"/>
    <w:p w:rsidR="005A1036" w:rsidP="005A1036" w:rsidRDefault="005A1036" w14:paraId="57F1D5B9" w14:textId="77777777">
      <w:r>
        <w:t>Antwoord</w:t>
      </w:r>
    </w:p>
    <w:p w:rsidR="005A1036" w:rsidP="005A1036" w:rsidRDefault="005A1036" w14:paraId="73A10A72" w14:textId="77777777">
      <w:r>
        <w:t>De NVWA controleert jaarlijks op internationale transporten van jonge kalveren op Nederlands grondgebied, waarvan het merendeel uit Ierland komt. In 2026 zijn tot nu toe zes internationale transporten gecontroleerd, naar aanleiding van deze controles zullen er vijf rapporten van bevindingen opgemaakt worden. Jaarlijks worden deze inspectieresultaten door de NVWA gepubliceerd</w:t>
      </w:r>
      <w:r>
        <w:rPr>
          <w:rStyle w:val="Voetnootmarkering"/>
        </w:rPr>
        <w:footnoteReference w:id="1"/>
      </w:r>
      <w:r>
        <w:t>. In 2024 was de meest voorkomende overtreding het niet op orde hebben van de watervoorziening, ook in 2025 lijkt dit de meeste voorkomende overtreding te zijn. Er waren bijvoorbeeld te weinig spenen aanwezig of ze waren niet geïnstalleerd/bevestigd. Ik ben van mening dat bewuste overtredingen ten aanzien van het dierenwelzijn niet acceptabel zijn en niet mogen lonen. Daarom bereid ik een aanpassing van het Besluit handhaving en overige zaken Wet dieren voor, waarbij ik bijvoorbeeld denk aan een verhoging van de boetes voor bedrijven en het beter toepasbaar maken van de omzetgerelateerde boete.</w:t>
      </w:r>
    </w:p>
    <w:p w:rsidR="005A1036" w:rsidP="005A1036" w:rsidRDefault="005A1036" w14:paraId="041ABB5E" w14:textId="77777777"/>
    <w:p w:rsidRPr="003A5BF7" w:rsidR="005A1036" w:rsidP="005A1036" w:rsidRDefault="005A1036" w14:paraId="1092B3AF" w14:textId="77777777">
      <w:pPr>
        <w:pStyle w:val="Bijschrift"/>
        <w:keepNext/>
        <w:rPr>
          <w:i w:val="0"/>
          <w:iCs w:val="0"/>
          <w:color w:val="auto"/>
        </w:rPr>
      </w:pPr>
      <w:r>
        <w:rPr>
          <w:b/>
          <w:bCs/>
          <w:i w:val="0"/>
          <w:iCs w:val="0"/>
          <w:color w:val="auto"/>
        </w:rPr>
        <w:t>Ta</w:t>
      </w:r>
      <w:r w:rsidRPr="003A5BF7">
        <w:rPr>
          <w:b/>
          <w:bCs/>
          <w:i w:val="0"/>
          <w:iCs w:val="0"/>
          <w:color w:val="auto"/>
        </w:rPr>
        <w:t>bel</w:t>
      </w:r>
      <w:r>
        <w:rPr>
          <w:b/>
          <w:bCs/>
          <w:i w:val="0"/>
          <w:iCs w:val="0"/>
          <w:color w:val="auto"/>
        </w:rPr>
        <w:t>:</w:t>
      </w:r>
      <w:r w:rsidRPr="003A5BF7">
        <w:rPr>
          <w:i w:val="0"/>
          <w:iCs w:val="0"/>
          <w:color w:val="auto"/>
        </w:rPr>
        <w:t xml:space="preserve"> Totaal aantal inspecties transport jonge kalveren uit Ierland per jaar en interventie.</w:t>
      </w:r>
    </w:p>
    <w:tbl>
      <w:tblPr>
        <w:tblStyle w:val="Tabelraster"/>
        <w:tblW w:w="0" w:type="auto"/>
        <w:tblLook w:val="04A0" w:firstRow="1" w:lastRow="0" w:firstColumn="1" w:lastColumn="0" w:noHBand="0" w:noVBand="1"/>
      </w:tblPr>
      <w:tblGrid>
        <w:gridCol w:w="1240"/>
        <w:gridCol w:w="1061"/>
        <w:gridCol w:w="1061"/>
        <w:gridCol w:w="1227"/>
        <w:gridCol w:w="1176"/>
        <w:gridCol w:w="1754"/>
      </w:tblGrid>
      <w:tr w:rsidR="005A1036" w:rsidTr="007A526B" w14:paraId="12E81D9C" w14:textId="77777777">
        <w:trPr>
          <w:trHeight w:val="1010"/>
        </w:trPr>
        <w:tc>
          <w:tcPr>
            <w:tcW w:w="1188" w:type="dxa"/>
          </w:tcPr>
          <w:p w:rsidR="005A1036" w:rsidP="007A526B" w:rsidRDefault="005A1036" w14:paraId="6703EC55" w14:textId="77777777">
            <w:pPr>
              <w:rPr>
                <w:rStyle w:val="eop"/>
                <w:color w:val="000000"/>
                <w:shd w:val="clear" w:color="auto" w:fill="FFFFFF"/>
              </w:rPr>
            </w:pPr>
            <w:r>
              <w:rPr>
                <w:rStyle w:val="eop"/>
                <w:color w:val="000000"/>
                <w:shd w:val="clear" w:color="auto" w:fill="FFFFFF"/>
              </w:rPr>
              <w:t>Jaar</w:t>
            </w:r>
          </w:p>
        </w:tc>
        <w:tc>
          <w:tcPr>
            <w:tcW w:w="1026" w:type="dxa"/>
          </w:tcPr>
          <w:p w:rsidR="005A1036" w:rsidP="007A526B" w:rsidRDefault="005A1036" w14:paraId="1C8E55B8" w14:textId="77777777">
            <w:pPr>
              <w:rPr>
                <w:rStyle w:val="eop"/>
                <w:color w:val="000000"/>
                <w:shd w:val="clear" w:color="auto" w:fill="FFFFFF"/>
              </w:rPr>
            </w:pPr>
            <w:r>
              <w:rPr>
                <w:rStyle w:val="eop"/>
                <w:color w:val="000000"/>
                <w:shd w:val="clear" w:color="auto" w:fill="FFFFFF"/>
              </w:rPr>
              <w:t>Aantal controles</w:t>
            </w:r>
          </w:p>
        </w:tc>
        <w:tc>
          <w:tcPr>
            <w:tcW w:w="1212" w:type="dxa"/>
          </w:tcPr>
          <w:p w:rsidR="005A1036" w:rsidP="007A526B" w:rsidRDefault="005A1036" w14:paraId="1B7B2958" w14:textId="77777777">
            <w:pPr>
              <w:rPr>
                <w:rStyle w:val="eop"/>
                <w:color w:val="000000"/>
                <w:shd w:val="clear" w:color="auto" w:fill="FFFFFF"/>
              </w:rPr>
            </w:pPr>
            <w:r>
              <w:rPr>
                <w:rStyle w:val="eop"/>
                <w:color w:val="000000"/>
                <w:shd w:val="clear" w:color="auto" w:fill="FFFFFF"/>
              </w:rPr>
              <w:t>Aantal controles niet akkoord</w:t>
            </w:r>
          </w:p>
        </w:tc>
        <w:tc>
          <w:tcPr>
            <w:tcW w:w="1201" w:type="dxa"/>
          </w:tcPr>
          <w:p w:rsidR="005A1036" w:rsidP="007A526B" w:rsidRDefault="005A1036" w14:paraId="5EEDE2F8" w14:textId="77777777">
            <w:pPr>
              <w:rPr>
                <w:rStyle w:val="eop"/>
                <w:color w:val="000000"/>
                <w:shd w:val="clear" w:color="auto" w:fill="FFFFFF"/>
              </w:rPr>
            </w:pPr>
            <w:r>
              <w:rPr>
                <w:rStyle w:val="eop"/>
                <w:color w:val="000000"/>
                <w:shd w:val="clear" w:color="auto" w:fill="FFFFFF"/>
              </w:rPr>
              <w:t>Aantal Processen-verbaal</w:t>
            </w:r>
          </w:p>
        </w:tc>
        <w:tc>
          <w:tcPr>
            <w:tcW w:w="1164" w:type="dxa"/>
          </w:tcPr>
          <w:p w:rsidR="005A1036" w:rsidP="007A526B" w:rsidRDefault="005A1036" w14:paraId="6729214D" w14:textId="77777777">
            <w:pPr>
              <w:rPr>
                <w:rStyle w:val="eop"/>
                <w:color w:val="000000"/>
                <w:shd w:val="clear" w:color="auto" w:fill="FFFFFF"/>
              </w:rPr>
            </w:pPr>
            <w:r>
              <w:rPr>
                <w:rStyle w:val="eop"/>
                <w:color w:val="000000"/>
                <w:shd w:val="clear" w:color="auto" w:fill="FFFFFF"/>
              </w:rPr>
              <w:t>Rapporten van bevinden</w:t>
            </w:r>
          </w:p>
        </w:tc>
        <w:tc>
          <w:tcPr>
            <w:tcW w:w="1665" w:type="dxa"/>
          </w:tcPr>
          <w:p w:rsidR="005A1036" w:rsidP="007A526B" w:rsidRDefault="005A1036" w14:paraId="2FEF85AD" w14:textId="77777777">
            <w:pPr>
              <w:rPr>
                <w:rStyle w:val="eop"/>
                <w:color w:val="000000"/>
                <w:shd w:val="clear" w:color="auto" w:fill="FFFFFF"/>
              </w:rPr>
            </w:pPr>
            <w:r>
              <w:rPr>
                <w:rStyle w:val="eop"/>
                <w:color w:val="000000"/>
                <w:shd w:val="clear" w:color="auto" w:fill="FFFFFF"/>
              </w:rPr>
              <w:t>Officiële waarschuwingen</w:t>
            </w:r>
          </w:p>
        </w:tc>
      </w:tr>
      <w:tr w:rsidR="005A1036" w:rsidTr="007A526B" w14:paraId="36D91424" w14:textId="77777777">
        <w:trPr>
          <w:trHeight w:val="497"/>
        </w:trPr>
        <w:tc>
          <w:tcPr>
            <w:tcW w:w="1188" w:type="dxa"/>
          </w:tcPr>
          <w:p w:rsidR="005A1036" w:rsidP="007A526B" w:rsidRDefault="005A1036" w14:paraId="6DC4A264" w14:textId="77777777">
            <w:pPr>
              <w:rPr>
                <w:rStyle w:val="eop"/>
                <w:color w:val="000000"/>
                <w:shd w:val="clear" w:color="auto" w:fill="FFFFFF"/>
              </w:rPr>
            </w:pPr>
            <w:r>
              <w:rPr>
                <w:rStyle w:val="eop"/>
                <w:color w:val="000000"/>
                <w:shd w:val="clear" w:color="auto" w:fill="FFFFFF"/>
              </w:rPr>
              <w:t xml:space="preserve">2025 </w:t>
            </w:r>
          </w:p>
          <w:p w:rsidR="005A1036" w:rsidP="007A526B" w:rsidRDefault="005A1036" w14:paraId="2B96C36D" w14:textId="77777777">
            <w:pPr>
              <w:rPr>
                <w:rStyle w:val="eop"/>
                <w:color w:val="000000"/>
                <w:shd w:val="clear" w:color="auto" w:fill="FFFFFF"/>
              </w:rPr>
            </w:pPr>
            <w:r>
              <w:rPr>
                <w:rStyle w:val="eop"/>
                <w:color w:val="000000"/>
                <w:shd w:val="clear" w:color="auto" w:fill="FFFFFF"/>
              </w:rPr>
              <w:t>(voorlopig)</w:t>
            </w:r>
          </w:p>
        </w:tc>
        <w:tc>
          <w:tcPr>
            <w:tcW w:w="1026" w:type="dxa"/>
          </w:tcPr>
          <w:p w:rsidR="005A1036" w:rsidP="007A526B" w:rsidRDefault="005A1036" w14:paraId="51D3F20E" w14:textId="77777777">
            <w:pPr>
              <w:rPr>
                <w:rStyle w:val="eop"/>
                <w:color w:val="000000"/>
                <w:shd w:val="clear" w:color="auto" w:fill="FFFFFF"/>
              </w:rPr>
            </w:pPr>
            <w:r>
              <w:rPr>
                <w:rStyle w:val="eop"/>
                <w:color w:val="000000"/>
                <w:shd w:val="clear" w:color="auto" w:fill="FFFFFF"/>
              </w:rPr>
              <w:t>32</w:t>
            </w:r>
          </w:p>
        </w:tc>
        <w:tc>
          <w:tcPr>
            <w:tcW w:w="1212" w:type="dxa"/>
          </w:tcPr>
          <w:p w:rsidR="005A1036" w:rsidP="007A526B" w:rsidRDefault="005A1036" w14:paraId="4AF9EB89" w14:textId="77777777">
            <w:pPr>
              <w:rPr>
                <w:rStyle w:val="eop"/>
                <w:color w:val="000000"/>
                <w:shd w:val="clear" w:color="auto" w:fill="FFFFFF"/>
              </w:rPr>
            </w:pPr>
            <w:r>
              <w:rPr>
                <w:rStyle w:val="eop"/>
                <w:color w:val="000000"/>
                <w:shd w:val="clear" w:color="auto" w:fill="FFFFFF"/>
              </w:rPr>
              <w:t>17</w:t>
            </w:r>
          </w:p>
        </w:tc>
        <w:tc>
          <w:tcPr>
            <w:tcW w:w="1201" w:type="dxa"/>
          </w:tcPr>
          <w:p w:rsidR="005A1036" w:rsidP="007A526B" w:rsidRDefault="005A1036" w14:paraId="70CDC88C" w14:textId="77777777">
            <w:pPr>
              <w:rPr>
                <w:rStyle w:val="eop"/>
                <w:color w:val="000000"/>
                <w:shd w:val="clear" w:color="auto" w:fill="FFFFFF"/>
              </w:rPr>
            </w:pPr>
            <w:r>
              <w:rPr>
                <w:rStyle w:val="eop"/>
                <w:color w:val="000000"/>
                <w:shd w:val="clear" w:color="auto" w:fill="FFFFFF"/>
              </w:rPr>
              <w:t>-</w:t>
            </w:r>
          </w:p>
        </w:tc>
        <w:tc>
          <w:tcPr>
            <w:tcW w:w="1164" w:type="dxa"/>
          </w:tcPr>
          <w:p w:rsidR="005A1036" w:rsidP="007A526B" w:rsidRDefault="005A1036" w14:paraId="2193A4A3" w14:textId="77777777">
            <w:pPr>
              <w:rPr>
                <w:rStyle w:val="eop"/>
                <w:color w:val="000000"/>
                <w:shd w:val="clear" w:color="auto" w:fill="FFFFFF"/>
              </w:rPr>
            </w:pPr>
            <w:r>
              <w:rPr>
                <w:rStyle w:val="eop"/>
                <w:color w:val="000000"/>
                <w:shd w:val="clear" w:color="auto" w:fill="FFFFFF"/>
              </w:rPr>
              <w:t>6</w:t>
            </w:r>
          </w:p>
        </w:tc>
        <w:tc>
          <w:tcPr>
            <w:tcW w:w="1665" w:type="dxa"/>
          </w:tcPr>
          <w:p w:rsidR="005A1036" w:rsidP="007A526B" w:rsidRDefault="005A1036" w14:paraId="381FCBC5" w14:textId="77777777">
            <w:pPr>
              <w:rPr>
                <w:rStyle w:val="eop"/>
                <w:color w:val="000000"/>
                <w:shd w:val="clear" w:color="auto" w:fill="FFFFFF"/>
              </w:rPr>
            </w:pPr>
            <w:r>
              <w:rPr>
                <w:rStyle w:val="eop"/>
                <w:color w:val="000000"/>
                <w:shd w:val="clear" w:color="auto" w:fill="FFFFFF"/>
              </w:rPr>
              <w:t>14</w:t>
            </w:r>
          </w:p>
        </w:tc>
      </w:tr>
      <w:tr w:rsidR="005A1036" w:rsidTr="007A526B" w14:paraId="0AC11959" w14:textId="77777777">
        <w:trPr>
          <w:trHeight w:val="256"/>
        </w:trPr>
        <w:tc>
          <w:tcPr>
            <w:tcW w:w="1188" w:type="dxa"/>
          </w:tcPr>
          <w:p w:rsidR="005A1036" w:rsidP="007A526B" w:rsidRDefault="005A1036" w14:paraId="40E67F2C" w14:textId="77777777">
            <w:pPr>
              <w:rPr>
                <w:rStyle w:val="eop"/>
                <w:color w:val="000000"/>
                <w:shd w:val="clear" w:color="auto" w:fill="FFFFFF"/>
              </w:rPr>
            </w:pPr>
            <w:r>
              <w:rPr>
                <w:rStyle w:val="eop"/>
                <w:color w:val="000000"/>
                <w:shd w:val="clear" w:color="auto" w:fill="FFFFFF"/>
              </w:rPr>
              <w:t>2024</w:t>
            </w:r>
          </w:p>
        </w:tc>
        <w:tc>
          <w:tcPr>
            <w:tcW w:w="1026" w:type="dxa"/>
          </w:tcPr>
          <w:p w:rsidR="005A1036" w:rsidP="007A526B" w:rsidRDefault="005A1036" w14:paraId="65A98982" w14:textId="77777777">
            <w:pPr>
              <w:rPr>
                <w:rStyle w:val="eop"/>
                <w:color w:val="000000"/>
                <w:shd w:val="clear" w:color="auto" w:fill="FFFFFF"/>
              </w:rPr>
            </w:pPr>
            <w:r>
              <w:rPr>
                <w:rStyle w:val="eop"/>
                <w:color w:val="000000"/>
                <w:shd w:val="clear" w:color="auto" w:fill="FFFFFF"/>
              </w:rPr>
              <w:t>21</w:t>
            </w:r>
          </w:p>
        </w:tc>
        <w:tc>
          <w:tcPr>
            <w:tcW w:w="1212" w:type="dxa"/>
          </w:tcPr>
          <w:p w:rsidR="005A1036" w:rsidP="007A526B" w:rsidRDefault="005A1036" w14:paraId="340D27DA" w14:textId="77777777">
            <w:pPr>
              <w:rPr>
                <w:rStyle w:val="eop"/>
                <w:color w:val="000000"/>
                <w:shd w:val="clear" w:color="auto" w:fill="FFFFFF"/>
              </w:rPr>
            </w:pPr>
            <w:r>
              <w:rPr>
                <w:rStyle w:val="eop"/>
                <w:color w:val="000000"/>
                <w:shd w:val="clear" w:color="auto" w:fill="FFFFFF"/>
              </w:rPr>
              <w:t>9</w:t>
            </w:r>
          </w:p>
        </w:tc>
        <w:tc>
          <w:tcPr>
            <w:tcW w:w="1201" w:type="dxa"/>
          </w:tcPr>
          <w:p w:rsidR="005A1036" w:rsidP="007A526B" w:rsidRDefault="005A1036" w14:paraId="77BEB80C" w14:textId="77777777">
            <w:pPr>
              <w:rPr>
                <w:rStyle w:val="eop"/>
                <w:color w:val="000000"/>
                <w:shd w:val="clear" w:color="auto" w:fill="FFFFFF"/>
              </w:rPr>
            </w:pPr>
            <w:r>
              <w:rPr>
                <w:rStyle w:val="eop"/>
                <w:color w:val="000000"/>
                <w:shd w:val="clear" w:color="auto" w:fill="FFFFFF"/>
              </w:rPr>
              <w:t>2</w:t>
            </w:r>
          </w:p>
        </w:tc>
        <w:tc>
          <w:tcPr>
            <w:tcW w:w="1164" w:type="dxa"/>
          </w:tcPr>
          <w:p w:rsidR="005A1036" w:rsidP="007A526B" w:rsidRDefault="005A1036" w14:paraId="6AA7AD1A" w14:textId="77777777">
            <w:pPr>
              <w:rPr>
                <w:rStyle w:val="eop"/>
                <w:color w:val="000000"/>
                <w:shd w:val="clear" w:color="auto" w:fill="FFFFFF"/>
              </w:rPr>
            </w:pPr>
            <w:r>
              <w:rPr>
                <w:rStyle w:val="eop"/>
                <w:color w:val="000000"/>
                <w:shd w:val="clear" w:color="auto" w:fill="FFFFFF"/>
              </w:rPr>
              <w:t>1</w:t>
            </w:r>
          </w:p>
        </w:tc>
        <w:tc>
          <w:tcPr>
            <w:tcW w:w="1665" w:type="dxa"/>
          </w:tcPr>
          <w:p w:rsidR="005A1036" w:rsidP="007A526B" w:rsidRDefault="005A1036" w14:paraId="3DA8AB51" w14:textId="77777777">
            <w:pPr>
              <w:rPr>
                <w:rStyle w:val="eop"/>
                <w:color w:val="000000"/>
                <w:shd w:val="clear" w:color="auto" w:fill="FFFFFF"/>
              </w:rPr>
            </w:pPr>
            <w:r>
              <w:rPr>
                <w:rStyle w:val="eop"/>
                <w:color w:val="000000"/>
                <w:shd w:val="clear" w:color="auto" w:fill="FFFFFF"/>
              </w:rPr>
              <w:t>8</w:t>
            </w:r>
          </w:p>
        </w:tc>
      </w:tr>
    </w:tbl>
    <w:p w:rsidR="005A1036" w:rsidP="005A1036" w:rsidRDefault="005A1036" w14:paraId="2CF6136C" w14:textId="77777777">
      <w:pPr>
        <w:spacing w:line="240" w:lineRule="auto"/>
      </w:pPr>
    </w:p>
    <w:p w:rsidR="005A1036" w:rsidP="005A1036" w:rsidRDefault="005A1036" w14:paraId="7753D087" w14:textId="77777777">
      <w:r>
        <w:t>7</w:t>
      </w:r>
    </w:p>
    <w:p w:rsidRPr="0076311D" w:rsidR="005A1036" w:rsidP="005A1036" w:rsidRDefault="005A1036" w14:paraId="6573B105" w14:textId="77777777">
      <w:pPr>
        <w:rPr>
          <w:szCs w:val="18"/>
        </w:rPr>
      </w:pPr>
      <w:r w:rsidRPr="0076311D">
        <w:rPr>
          <w:szCs w:val="18"/>
        </w:rPr>
        <w:lastRenderedPageBreak/>
        <w:t xml:space="preserve">In hoeverre ziet u mogelijkheden om op Europees niveau strengere regels te bepleiten voor het transport van jonge kalveren? Wat kan Nederland hier zelf in doen? </w:t>
      </w:r>
    </w:p>
    <w:p w:rsidR="005A1036" w:rsidP="005A1036" w:rsidRDefault="005A1036" w14:paraId="225AEEE6" w14:textId="77777777"/>
    <w:p w:rsidR="005A1036" w:rsidP="005A1036" w:rsidRDefault="005A1036" w14:paraId="158BBE7B" w14:textId="77777777">
      <w:r>
        <w:t>Antwoord</w:t>
      </w:r>
    </w:p>
    <w:p w:rsidRPr="0076311D" w:rsidR="005A1036" w:rsidP="005A1036" w:rsidRDefault="005A1036" w14:paraId="2D172EC1" w14:textId="77777777">
      <w:pPr>
        <w:rPr>
          <w:szCs w:val="18"/>
        </w:rPr>
      </w:pPr>
      <w:r w:rsidRPr="0076311D">
        <w:rPr>
          <w:szCs w:val="18"/>
        </w:rPr>
        <w:t xml:space="preserve">Zoals in mijn antwoord op vraag 5 aangegeven, grijp ik ieder mogelijk moment aan om een verbod of beperking van lange transporten van ongespeende dieren te bepleiten in Europa. Het krachtenveld is daar echter zeer uitdagend met een meerderheid van de lidstaten die dergelijke strengere regels niet ziet zitten. De uiteindelijke herziene transportverordening zal dan ook een onderhandelingsresultaat zijn. </w:t>
      </w:r>
    </w:p>
    <w:p w:rsidRPr="0076311D" w:rsidR="005A1036" w:rsidP="005A1036" w:rsidRDefault="005A1036" w14:paraId="6D69732F" w14:textId="77777777">
      <w:pPr>
        <w:rPr>
          <w:szCs w:val="18"/>
        </w:rPr>
      </w:pPr>
      <w:r w:rsidRPr="0076311D">
        <w:rPr>
          <w:szCs w:val="18"/>
        </w:rPr>
        <w:t>Zoals ook aangegeven in mijn antwoord op vraag 5 zijn de mogelijkheden wat Nederland nationaal kan regelen op dit gebied zeer beperkt. De Transportverordening staat alleen strengere regels toe voor transporten die geheel op het Nederlandse grondgebied plaatsvinden en daar vallen dergelijke kalvertransporten niet onder.</w:t>
      </w:r>
    </w:p>
    <w:p w:rsidR="005A1036" w:rsidP="005A1036" w:rsidRDefault="005A1036" w14:paraId="0174C073" w14:textId="77777777"/>
    <w:p w:rsidR="005A1036" w:rsidP="005A1036" w:rsidRDefault="005A1036" w14:paraId="77079E51" w14:textId="77777777">
      <w:r>
        <w:t>8</w:t>
      </w:r>
    </w:p>
    <w:p w:rsidR="005A1036" w:rsidP="005A1036" w:rsidRDefault="005A1036" w14:paraId="7A517F83" w14:textId="77777777">
      <w:pPr>
        <w:rPr>
          <w:szCs w:val="18"/>
        </w:rPr>
      </w:pPr>
      <w:r w:rsidRPr="0076311D">
        <w:rPr>
          <w:szCs w:val="18"/>
        </w:rPr>
        <w:t>Deelt u de mening dat de Nederlandse kalversector toekomstbestendig moet zijn en dat de afhankelijkheid van geïmporteerde kalveren niet past binnen een dierwaardige veehouderij? Welke stappen zet het kabinet om hier een einde aan te maken?</w:t>
      </w:r>
    </w:p>
    <w:p w:rsidR="005A1036" w:rsidP="005A1036" w:rsidRDefault="005A1036" w14:paraId="2395B429" w14:textId="77777777">
      <w:pPr>
        <w:rPr>
          <w:szCs w:val="18"/>
        </w:rPr>
      </w:pPr>
    </w:p>
    <w:p w:rsidRPr="0076311D" w:rsidR="005A1036" w:rsidP="005A1036" w:rsidRDefault="005A1036" w14:paraId="412D4E34" w14:textId="77777777">
      <w:r>
        <w:rPr>
          <w:szCs w:val="18"/>
        </w:rPr>
        <w:t>Antwoord</w:t>
      </w:r>
    </w:p>
    <w:p w:rsidR="005A1036" w:rsidP="005A1036" w:rsidRDefault="005A1036" w14:paraId="021DFB68" w14:textId="77777777">
      <w:pPr>
        <w:rPr>
          <w:szCs w:val="18"/>
        </w:rPr>
      </w:pPr>
      <w:r w:rsidRPr="0076311D">
        <w:rPr>
          <w:szCs w:val="18"/>
        </w:rPr>
        <w:t xml:space="preserve">Ik deel de mening dat de Nederlandse kalversector toekomstbestending moet zijn </w:t>
      </w:r>
      <w:r>
        <w:rPr>
          <w:szCs w:val="18"/>
        </w:rPr>
        <w:t xml:space="preserve">waarbij het welzijn van kalveren hoog in het vaandel staat. </w:t>
      </w:r>
      <w:r w:rsidRPr="0076311D">
        <w:rPr>
          <w:szCs w:val="18"/>
        </w:rPr>
        <w:t xml:space="preserve">Mijn streven is de kalverhouderij meer in balans te brengen met de Nederlandse melkveehouderij. </w:t>
      </w:r>
      <w:r>
        <w:rPr>
          <w:szCs w:val="18"/>
        </w:rPr>
        <w:t xml:space="preserve">Het verminderen van de import van kalveren levert hier een directe bijdrage aan. Echter, zoals al eerder genoemd in vraag 5 en 7, in Europa is sprake van vrij verkeer van goederen en diensten. Het is dus voor Nederland als lidstaat van de Europese Unie niet mogelijk zelfstandig de import van kalveren te verbieden of om wettelijk vast te leggen dat een (kleinere) kalversector alle en/of alleen in Nederland geboren kalveren moet afnemen. </w:t>
      </w:r>
      <w:r w:rsidRPr="0076311D">
        <w:rPr>
          <w:szCs w:val="18"/>
        </w:rPr>
        <w:t>Wel zet ik mij overal waar mogelijk in voor strengere transport- en gezondheidsregels, dierenwelzijn en emissiereductie. Dit alles conform de kamerbrief van mijn voorganger (Kamerstuk 28 624</w:t>
      </w:r>
      <w:r>
        <w:rPr>
          <w:szCs w:val="18"/>
        </w:rPr>
        <w:t>,</w:t>
      </w:r>
      <w:r w:rsidRPr="0076311D">
        <w:rPr>
          <w:szCs w:val="18"/>
        </w:rPr>
        <w:t xml:space="preserve"> nr. 372) over de motie van De Groot/Grinwis over de inrichting van de kalverhouderij (Kamerstuk 36 410 XIV, nr. 53).</w:t>
      </w:r>
    </w:p>
    <w:p w:rsidR="005A1036" w:rsidP="005A1036" w:rsidRDefault="005A1036" w14:paraId="53428871" w14:textId="77777777">
      <w:pPr>
        <w:rPr>
          <w:szCs w:val="18"/>
        </w:rPr>
      </w:pPr>
    </w:p>
    <w:p w:rsidR="005A1036" w:rsidP="005A1036" w:rsidRDefault="005A1036" w14:paraId="3A7931B8" w14:textId="77777777">
      <w:pPr>
        <w:rPr>
          <w:szCs w:val="18"/>
        </w:rPr>
      </w:pPr>
      <w:r>
        <w:rPr>
          <w:szCs w:val="18"/>
        </w:rPr>
        <w:lastRenderedPageBreak/>
        <w:t>9</w:t>
      </w:r>
    </w:p>
    <w:p w:rsidRPr="0076311D" w:rsidR="005A1036" w:rsidP="005A1036" w:rsidRDefault="005A1036" w14:paraId="56752214" w14:textId="77777777">
      <w:pPr>
        <w:rPr>
          <w:szCs w:val="18"/>
        </w:rPr>
      </w:pPr>
      <w:r w:rsidRPr="0076311D">
        <w:rPr>
          <w:szCs w:val="18"/>
        </w:rPr>
        <w:t xml:space="preserve">Bent u bereid om met een plan te komen voor het verder verbeteren van dierenwelzijn in de kalverhouderij en hierbij ook in gesprek te gaan met de sector over het beëindigen van langeafstandstransporten van jonge dieren? </w:t>
      </w:r>
    </w:p>
    <w:p w:rsidR="005A1036" w:rsidP="005A1036" w:rsidRDefault="005A1036" w14:paraId="66A948FB" w14:textId="77777777">
      <w:pPr>
        <w:rPr>
          <w:szCs w:val="18"/>
        </w:rPr>
      </w:pPr>
    </w:p>
    <w:p w:rsidR="005A1036" w:rsidP="005A1036" w:rsidRDefault="005A1036" w14:paraId="0761BEB9" w14:textId="77777777">
      <w:pPr>
        <w:rPr>
          <w:szCs w:val="18"/>
        </w:rPr>
      </w:pPr>
      <w:r>
        <w:rPr>
          <w:szCs w:val="18"/>
        </w:rPr>
        <w:t>Antwoord</w:t>
      </w:r>
    </w:p>
    <w:p w:rsidR="005A1036" w:rsidP="005A1036" w:rsidRDefault="005A1036" w14:paraId="4BDE6425" w14:textId="77777777">
      <w:pPr>
        <w:rPr>
          <w:szCs w:val="18"/>
        </w:rPr>
      </w:pPr>
      <w:r>
        <w:rPr>
          <w:szCs w:val="18"/>
        </w:rPr>
        <w:t>Voor het verbeteren van dierenwelzijn op het primaire bedrijf werk ik aan de Algemene Maatregel van Bestuur (AMvB) Dierwaardige Veehouderij. Hierin staan concrete welzijnseisen voor onder andere kalveren om het dierenwelzijn op het primaire bedrijf structureel te verhogen in deze sector. Ook wordt er middels het convenant ‘Stappen naar een dierwaardige veehouderij’ samen met de kalversector gekeken naar de verbetering van het welzijn van kalveren. Daarnaast ben ik zeker bereid met de sector in gesprek te gaan over het transport van kalveren. Zoals al in mijn antwoord op zowel vraag 5, 7 als 8 aangegeven, grijp ik ieder mogelijk moment aan om een verbod of beperking van lange transporten van ongespeende dieren te bepleiten in Europa. De mogelijkheden wat Nederland nationaal kan regelen op dit gebied zijn zeer beperkt.</w:t>
      </w:r>
    </w:p>
    <w:p w:rsidR="005A1036" w:rsidP="005A1036" w:rsidRDefault="005A1036" w14:paraId="2DB4CE56" w14:textId="77777777">
      <w:pPr>
        <w:rPr>
          <w:szCs w:val="18"/>
        </w:rPr>
      </w:pPr>
    </w:p>
    <w:p w:rsidR="005A1036" w:rsidP="005A1036" w:rsidRDefault="005A1036" w14:paraId="0C5C8C7E" w14:textId="77777777">
      <w:pPr>
        <w:rPr>
          <w:szCs w:val="18"/>
        </w:rPr>
      </w:pPr>
      <w:r>
        <w:rPr>
          <w:szCs w:val="18"/>
        </w:rPr>
        <w:t>10</w:t>
      </w:r>
    </w:p>
    <w:p w:rsidRPr="0076311D" w:rsidR="005A1036" w:rsidP="005A1036" w:rsidRDefault="005A1036" w14:paraId="558669AE" w14:textId="77777777">
      <w:pPr>
        <w:rPr>
          <w:szCs w:val="18"/>
        </w:rPr>
      </w:pPr>
      <w:r w:rsidRPr="0076311D">
        <w:rPr>
          <w:szCs w:val="18"/>
        </w:rPr>
        <w:t>Bent u bereid om ook in gesprek te gaan met dierenwelzijnsorganisaties die dit thema al jaren agenderen en ook oplossingen en aanbevelingen hebben?</w:t>
      </w:r>
    </w:p>
    <w:p w:rsidR="005A1036" w:rsidP="005A1036" w:rsidRDefault="005A1036" w14:paraId="209122FC" w14:textId="77777777">
      <w:pPr>
        <w:rPr>
          <w:szCs w:val="18"/>
        </w:rPr>
      </w:pPr>
    </w:p>
    <w:p w:rsidR="005A1036" w:rsidP="005A1036" w:rsidRDefault="005A1036" w14:paraId="7AF7F12A" w14:textId="77777777">
      <w:pPr>
        <w:rPr>
          <w:szCs w:val="18"/>
        </w:rPr>
      </w:pPr>
      <w:r>
        <w:rPr>
          <w:szCs w:val="18"/>
        </w:rPr>
        <w:t>Antwoord</w:t>
      </w:r>
    </w:p>
    <w:p w:rsidRPr="0076311D" w:rsidR="005A1036" w:rsidP="005A1036" w:rsidRDefault="005A1036" w14:paraId="14EBCD60" w14:textId="77777777">
      <w:pPr>
        <w:rPr>
          <w:szCs w:val="18"/>
        </w:rPr>
      </w:pPr>
      <w:r w:rsidRPr="0076311D">
        <w:rPr>
          <w:szCs w:val="18"/>
        </w:rPr>
        <w:t xml:space="preserve">Ja, </w:t>
      </w:r>
      <w:r>
        <w:rPr>
          <w:szCs w:val="18"/>
        </w:rPr>
        <w:t>ik ben reeds in gesprek met deze organisaties.</w:t>
      </w:r>
    </w:p>
    <w:p w:rsidR="005A1036" w:rsidP="005A1036" w:rsidRDefault="005A1036" w14:paraId="35328BC1" w14:textId="77777777"/>
    <w:p w:rsidRPr="00A406DF" w:rsidR="005A1036" w:rsidP="005A1036" w:rsidRDefault="005A1036" w14:paraId="6F284792" w14:textId="77777777"/>
    <w:p w:rsidR="008D4300" w:rsidRDefault="008D4300" w14:paraId="774EB1C8" w14:textId="77777777"/>
    <w:sectPr w:rsidR="008D4300" w:rsidSect="005A103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35AC6" w14:textId="77777777" w:rsidR="005A1036" w:rsidRDefault="005A1036" w:rsidP="005A1036">
      <w:pPr>
        <w:spacing w:after="0" w:line="240" w:lineRule="auto"/>
      </w:pPr>
      <w:r>
        <w:separator/>
      </w:r>
    </w:p>
  </w:endnote>
  <w:endnote w:type="continuationSeparator" w:id="0">
    <w:p w14:paraId="05CA9EF9" w14:textId="77777777" w:rsidR="005A1036" w:rsidRDefault="005A1036" w:rsidP="005A1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10FA" w14:textId="77777777" w:rsidR="005A1036" w:rsidRPr="005A1036" w:rsidRDefault="005A1036" w:rsidP="005A10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DAE8" w14:textId="77777777" w:rsidR="005A1036" w:rsidRPr="005A1036" w:rsidRDefault="005A1036" w:rsidP="005A10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80F6" w14:textId="77777777" w:rsidR="005A1036" w:rsidRPr="005A1036" w:rsidRDefault="005A1036" w:rsidP="005A10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57C9A" w14:textId="77777777" w:rsidR="005A1036" w:rsidRDefault="005A1036" w:rsidP="005A1036">
      <w:pPr>
        <w:spacing w:after="0" w:line="240" w:lineRule="auto"/>
      </w:pPr>
      <w:r>
        <w:separator/>
      </w:r>
    </w:p>
  </w:footnote>
  <w:footnote w:type="continuationSeparator" w:id="0">
    <w:p w14:paraId="2933561E" w14:textId="77777777" w:rsidR="005A1036" w:rsidRDefault="005A1036" w:rsidP="005A1036">
      <w:pPr>
        <w:spacing w:after="0" w:line="240" w:lineRule="auto"/>
      </w:pPr>
      <w:r>
        <w:continuationSeparator/>
      </w:r>
    </w:p>
  </w:footnote>
  <w:footnote w:id="1">
    <w:p w14:paraId="3A1A88F4" w14:textId="77777777" w:rsidR="005A1036" w:rsidRDefault="005A1036" w:rsidP="005A1036">
      <w:pPr>
        <w:pStyle w:val="Voetnoottekst"/>
      </w:pPr>
      <w:r>
        <w:rPr>
          <w:rStyle w:val="Voetnootmarkering"/>
        </w:rPr>
        <w:footnoteRef/>
      </w:r>
      <w:r>
        <w:t xml:space="preserve"> </w:t>
      </w:r>
      <w:r w:rsidRPr="00564C34">
        <w:t>https://www.nvwa.nl/onderwerpen/dier/vervoer-levende-dieren/inspectieresultaten/inspectieresultaten-2024/diertransporten-tussen-eu-landen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FE8A8" w14:textId="77777777" w:rsidR="005A1036" w:rsidRPr="005A1036" w:rsidRDefault="005A1036" w:rsidP="005A10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3371" w14:textId="77777777" w:rsidR="005A1036" w:rsidRPr="005A1036" w:rsidRDefault="005A1036" w:rsidP="005A10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0902" w14:textId="77777777" w:rsidR="005A1036" w:rsidRPr="005A1036" w:rsidRDefault="005A1036" w:rsidP="005A10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36"/>
    <w:rsid w:val="00147ECE"/>
    <w:rsid w:val="005A1036"/>
    <w:rsid w:val="008D43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08BC"/>
  <w15:chartTrackingRefBased/>
  <w15:docId w15:val="{943BE6AC-9FB1-4460-A5D2-ED576068E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10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A10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A103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A103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A103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A10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10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10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10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103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A103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A103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A103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A103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A10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10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10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1036"/>
    <w:rPr>
      <w:rFonts w:eastAsiaTheme="majorEastAsia" w:cstheme="majorBidi"/>
      <w:color w:val="272727" w:themeColor="text1" w:themeTint="D8"/>
    </w:rPr>
  </w:style>
  <w:style w:type="paragraph" w:styleId="Titel">
    <w:name w:val="Title"/>
    <w:basedOn w:val="Standaard"/>
    <w:next w:val="Standaard"/>
    <w:link w:val="TitelChar"/>
    <w:uiPriority w:val="10"/>
    <w:qFormat/>
    <w:rsid w:val="005A10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10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10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10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10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1036"/>
    <w:rPr>
      <w:i/>
      <w:iCs/>
      <w:color w:val="404040" w:themeColor="text1" w:themeTint="BF"/>
    </w:rPr>
  </w:style>
  <w:style w:type="paragraph" w:styleId="Lijstalinea">
    <w:name w:val="List Paragraph"/>
    <w:basedOn w:val="Standaard"/>
    <w:uiPriority w:val="34"/>
    <w:qFormat/>
    <w:rsid w:val="005A1036"/>
    <w:pPr>
      <w:ind w:left="720"/>
      <w:contextualSpacing/>
    </w:pPr>
  </w:style>
  <w:style w:type="character" w:styleId="Intensievebenadrukking">
    <w:name w:val="Intense Emphasis"/>
    <w:basedOn w:val="Standaardalinea-lettertype"/>
    <w:uiPriority w:val="21"/>
    <w:qFormat/>
    <w:rsid w:val="005A1036"/>
    <w:rPr>
      <w:i/>
      <w:iCs/>
      <w:color w:val="2F5496" w:themeColor="accent1" w:themeShade="BF"/>
    </w:rPr>
  </w:style>
  <w:style w:type="paragraph" w:styleId="Duidelijkcitaat">
    <w:name w:val="Intense Quote"/>
    <w:basedOn w:val="Standaard"/>
    <w:next w:val="Standaard"/>
    <w:link w:val="DuidelijkcitaatChar"/>
    <w:uiPriority w:val="30"/>
    <w:qFormat/>
    <w:rsid w:val="005A10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A1036"/>
    <w:rPr>
      <w:i/>
      <w:iCs/>
      <w:color w:val="2F5496" w:themeColor="accent1" w:themeShade="BF"/>
    </w:rPr>
  </w:style>
  <w:style w:type="character" w:styleId="Intensieveverwijzing">
    <w:name w:val="Intense Reference"/>
    <w:basedOn w:val="Standaardalinea-lettertype"/>
    <w:uiPriority w:val="32"/>
    <w:qFormat/>
    <w:rsid w:val="005A1036"/>
    <w:rPr>
      <w:b/>
      <w:bCs/>
      <w:smallCaps/>
      <w:color w:val="2F5496" w:themeColor="accent1" w:themeShade="BF"/>
      <w:spacing w:val="5"/>
    </w:rPr>
  </w:style>
  <w:style w:type="paragraph" w:styleId="Koptekst">
    <w:name w:val="header"/>
    <w:basedOn w:val="Standaard"/>
    <w:link w:val="KoptekstChar"/>
    <w:rsid w:val="005A103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A103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A103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A1036"/>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39"/>
    <w:rsid w:val="005A1036"/>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5A103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A1036"/>
    <w:rPr>
      <w:rFonts w:ascii="Verdana" w:hAnsi="Verdana"/>
      <w:noProof/>
      <w:sz w:val="13"/>
      <w:szCs w:val="24"/>
      <w:lang w:eastAsia="nl-NL"/>
    </w:rPr>
  </w:style>
  <w:style w:type="paragraph" w:customStyle="1" w:styleId="Huisstijl-Gegeven">
    <w:name w:val="Huisstijl-Gegeven"/>
    <w:basedOn w:val="Standaard"/>
    <w:link w:val="Huisstijl-GegevenCharChar"/>
    <w:rsid w:val="005A103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A103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A103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A103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A1036"/>
    <w:pPr>
      <w:spacing w:after="0"/>
    </w:pPr>
    <w:rPr>
      <w:b/>
    </w:rPr>
  </w:style>
  <w:style w:type="paragraph" w:customStyle="1" w:styleId="Huisstijl-Paginanummering">
    <w:name w:val="Huisstijl-Paginanummering"/>
    <w:basedOn w:val="Standaard"/>
    <w:rsid w:val="005A103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A103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5A103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5A1036"/>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5A1036"/>
    <w:rPr>
      <w:b/>
      <w:bCs/>
    </w:rPr>
  </w:style>
  <w:style w:type="character" w:styleId="Voetnootmarkering">
    <w:name w:val="footnote reference"/>
    <w:basedOn w:val="Standaardalinea-lettertype"/>
    <w:semiHidden/>
    <w:unhideWhenUsed/>
    <w:rsid w:val="005A1036"/>
    <w:rPr>
      <w:vertAlign w:val="superscript"/>
    </w:rPr>
  </w:style>
  <w:style w:type="character" w:customStyle="1" w:styleId="eop">
    <w:name w:val="eop"/>
    <w:basedOn w:val="Standaardalinea-lettertype"/>
    <w:rsid w:val="005A1036"/>
  </w:style>
  <w:style w:type="paragraph" w:styleId="Bijschrift">
    <w:name w:val="caption"/>
    <w:basedOn w:val="Standaard"/>
    <w:next w:val="Standaard"/>
    <w:unhideWhenUsed/>
    <w:qFormat/>
    <w:rsid w:val="005A1036"/>
    <w:pPr>
      <w:spacing w:after="200" w:line="240" w:lineRule="auto"/>
    </w:pPr>
    <w:rPr>
      <w:rFonts w:ascii="Verdana" w:eastAsia="Times New Roman" w:hAnsi="Verdana" w:cs="Times New Roman"/>
      <w:i/>
      <w:iCs/>
      <w:color w:val="44546A" w:themeColor="text2"/>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1270</ap:Words>
  <ap:Characters>6991</ap:Characters>
  <ap:DocSecurity>0</ap:DocSecurity>
  <ap:Lines>58</ap:Lines>
  <ap:Paragraphs>16</ap:Paragraphs>
  <ap:ScaleCrop>false</ap:ScaleCrop>
  <ap:LinksUpToDate>false</ap:LinksUpToDate>
  <ap:CharactersWithSpaces>8245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2026-04-20T13:41:00.0000000Z</dcterms:created>
  <dcterms:modified xsi:type="dcterms:W3CDTF">2026-04-20T13:42:00.0000000Z</dcterms:modified>
  <version/>
  <category/>
</coreProperties>
</file>