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54314" w:rsidR="003565F4" w:rsidRDefault="003565F4" w14:paraId="50A4A35B" w14:textId="1B473681">
      <w:pPr>
        <w:rPr>
          <w:rFonts w:ascii="Verdana" w:hAnsi="Verdana"/>
          <w:b/>
          <w:bCs/>
          <w:sz w:val="18"/>
          <w:szCs w:val="18"/>
        </w:rPr>
      </w:pPr>
      <w:bookmarkStart w:name="_GoBack" w:id="0"/>
      <w:bookmarkEnd w:id="0"/>
      <w:r w:rsidRPr="00A54314">
        <w:rPr>
          <w:rFonts w:ascii="Verdana" w:hAnsi="Verdana"/>
          <w:b/>
          <w:bCs/>
          <w:sz w:val="18"/>
          <w:szCs w:val="18"/>
        </w:rPr>
        <w:t>36 915-XII</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67"/>
        <w:gridCol w:w="8505"/>
      </w:tblGrid>
      <w:tr w:rsidRPr="00A54314" w:rsidR="009B2E0D" w:rsidTr="00D23270" w14:paraId="555E285F" w14:textId="77777777">
        <w:tc>
          <w:tcPr>
            <w:tcW w:w="567" w:type="dxa"/>
          </w:tcPr>
          <w:p w:rsidRPr="00A54314" w:rsidR="009B2E0D" w:rsidRDefault="003565F4" w14:paraId="4D1E6F76" w14:textId="45397F99">
            <w:pPr>
              <w:rPr>
                <w:rFonts w:ascii="Verdana" w:hAnsi="Verdana"/>
                <w:b/>
                <w:bCs/>
                <w:sz w:val="18"/>
                <w:szCs w:val="18"/>
              </w:rPr>
            </w:pPr>
            <w:r w:rsidRPr="00A54314">
              <w:rPr>
                <w:rFonts w:ascii="Verdana" w:hAnsi="Verdana"/>
                <w:b/>
                <w:bCs/>
                <w:sz w:val="18"/>
                <w:szCs w:val="18"/>
              </w:rPr>
              <w:t>Nr</w:t>
            </w:r>
          </w:p>
        </w:tc>
        <w:tc>
          <w:tcPr>
            <w:tcW w:w="8505" w:type="dxa"/>
          </w:tcPr>
          <w:p w:rsidRPr="00A54314" w:rsidR="009B2E0D" w:rsidRDefault="00603C2F" w14:paraId="465F3F72" w14:textId="77777777">
            <w:pPr>
              <w:rPr>
                <w:rFonts w:ascii="Verdana" w:hAnsi="Verdana"/>
                <w:b/>
                <w:bCs/>
                <w:sz w:val="18"/>
                <w:szCs w:val="18"/>
              </w:rPr>
            </w:pPr>
            <w:r w:rsidRPr="00A54314">
              <w:rPr>
                <w:rFonts w:ascii="Verdana" w:hAnsi="Verdana"/>
                <w:b/>
                <w:bCs/>
                <w:sz w:val="18"/>
                <w:szCs w:val="18"/>
              </w:rPr>
              <w:t>Vraag en Antwoord</w:t>
            </w:r>
          </w:p>
          <w:p w:rsidRPr="00A54314" w:rsidR="003565F4" w:rsidRDefault="003565F4" w14:paraId="23A6E9A5" w14:textId="77777777">
            <w:pPr>
              <w:rPr>
                <w:rFonts w:ascii="Verdana" w:hAnsi="Verdana"/>
                <w:b/>
                <w:bCs/>
                <w:sz w:val="18"/>
                <w:szCs w:val="18"/>
              </w:rPr>
            </w:pPr>
          </w:p>
        </w:tc>
      </w:tr>
      <w:tr w:rsidRPr="00A54314" w:rsidR="009B2E0D" w:rsidTr="00D23270" w14:paraId="77EFFB19" w14:textId="77777777">
        <w:tc>
          <w:tcPr>
            <w:tcW w:w="567" w:type="dxa"/>
          </w:tcPr>
          <w:p w:rsidRPr="00A54314" w:rsidR="009B2E0D" w:rsidRDefault="00603C2F" w14:paraId="183F9EA7" w14:textId="77777777">
            <w:pPr>
              <w:rPr>
                <w:rFonts w:ascii="Verdana" w:hAnsi="Verdana"/>
                <w:sz w:val="18"/>
                <w:szCs w:val="18"/>
              </w:rPr>
            </w:pPr>
            <w:r w:rsidRPr="00A54314">
              <w:rPr>
                <w:rFonts w:ascii="Verdana" w:hAnsi="Verdana"/>
                <w:sz w:val="18"/>
                <w:szCs w:val="18"/>
              </w:rPr>
              <w:t>1</w:t>
            </w:r>
          </w:p>
        </w:tc>
        <w:tc>
          <w:tcPr>
            <w:tcW w:w="8505" w:type="dxa"/>
          </w:tcPr>
          <w:p w:rsidRPr="00A54314" w:rsidR="009B2E0D" w:rsidRDefault="00603C2F" w14:paraId="5BB633D9" w14:textId="7AD58C9C">
            <w:pPr>
              <w:rPr>
                <w:rFonts w:ascii="Verdana" w:hAnsi="Verdana"/>
                <w:sz w:val="18"/>
                <w:szCs w:val="18"/>
              </w:rPr>
            </w:pPr>
            <w:r w:rsidRPr="00A54314">
              <w:rPr>
                <w:rFonts w:ascii="Verdana" w:hAnsi="Verdana"/>
                <w:sz w:val="18"/>
                <w:szCs w:val="18"/>
              </w:rPr>
              <w:t>Hoeveel kost het om btw op treintickets af te schaffen?</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Antwoord:</w:t>
            </w:r>
            <w:r w:rsidRPr="00A54314">
              <w:rPr>
                <w:rFonts w:ascii="Verdana" w:hAnsi="Verdana"/>
                <w:sz w:val="18"/>
                <w:szCs w:val="18"/>
              </w:rPr>
              <w:br/>
              <w:t xml:space="preserve">Jaarlijks betreft de derving aan de lastenkant van de Rijksbegroting 328 miljoen euro. Het btw-tarief voor openbaar vervoer kan per kwartaal worden </w:t>
            </w:r>
            <w:r w:rsidRPr="00A54314">
              <w:rPr>
                <w:rFonts w:ascii="Verdana" w:hAnsi="Verdana"/>
                <w:sz w:val="18"/>
                <w:szCs w:val="18"/>
              </w:rPr>
              <w:t>aangepast.</w:t>
            </w:r>
            <w:r w:rsidRPr="00A54314">
              <w:rPr>
                <w:rFonts w:ascii="Verdana" w:hAnsi="Verdana"/>
                <w:sz w:val="18"/>
                <w:szCs w:val="18"/>
              </w:rPr>
              <w:br/>
            </w:r>
          </w:p>
        </w:tc>
      </w:tr>
      <w:tr w:rsidRPr="00A54314" w:rsidR="009B2E0D" w:rsidTr="00D23270" w14:paraId="2550B1F4" w14:textId="77777777">
        <w:tc>
          <w:tcPr>
            <w:tcW w:w="567" w:type="dxa"/>
          </w:tcPr>
          <w:p w:rsidRPr="00A54314" w:rsidR="009B2E0D" w:rsidRDefault="00603C2F" w14:paraId="4C80E42B" w14:textId="77777777">
            <w:pPr>
              <w:rPr>
                <w:rFonts w:ascii="Verdana" w:hAnsi="Verdana"/>
                <w:sz w:val="18"/>
                <w:szCs w:val="18"/>
              </w:rPr>
            </w:pPr>
            <w:r w:rsidRPr="00A54314">
              <w:rPr>
                <w:rFonts w:ascii="Verdana" w:hAnsi="Verdana"/>
                <w:sz w:val="18"/>
                <w:szCs w:val="18"/>
              </w:rPr>
              <w:t>2</w:t>
            </w:r>
          </w:p>
        </w:tc>
        <w:tc>
          <w:tcPr>
            <w:tcW w:w="8505" w:type="dxa"/>
          </w:tcPr>
          <w:p w:rsidRPr="00A54314" w:rsidR="003565F4" w:rsidP="003565F4" w:rsidRDefault="00603C2F" w14:paraId="1323BBDB" w14:textId="18390F28">
            <w:pPr>
              <w:rPr>
                <w:rFonts w:ascii="Verdana" w:hAnsi="Verdana"/>
                <w:sz w:val="18"/>
                <w:szCs w:val="18"/>
              </w:rPr>
            </w:pPr>
            <w:r w:rsidRPr="00A54314">
              <w:rPr>
                <w:rFonts w:ascii="Verdana" w:hAnsi="Verdana"/>
                <w:sz w:val="18"/>
                <w:szCs w:val="18"/>
              </w:rPr>
              <w:t>Wat is de kostenontwikkeling van treinkaartjes bij de NS in de afgelopen 20 jaar?</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Antwoord:</w:t>
            </w:r>
            <w:r w:rsidRPr="00A54314">
              <w:rPr>
                <w:rFonts w:ascii="Verdana" w:hAnsi="Verdana"/>
                <w:sz w:val="18"/>
                <w:szCs w:val="18"/>
              </w:rPr>
              <w:br/>
            </w:r>
            <w:r w:rsidRPr="00A54314" w:rsidR="003565F4">
              <w:rPr>
                <w:rFonts w:ascii="Verdana" w:hAnsi="Verdana"/>
                <w:sz w:val="18"/>
                <w:szCs w:val="18"/>
              </w:rPr>
              <w:t>Onderstaande tabel presenteert de gewogen gemiddelde tariefstijging van de beschermde reisrechten van NS in de afgelopen 20 jaar.</w:t>
            </w:r>
          </w:p>
          <w:p w:rsidRPr="00A54314" w:rsidR="003565F4" w:rsidP="003565F4" w:rsidRDefault="003565F4" w14:paraId="5CEA898A" w14:textId="77777777">
            <w:pPr>
              <w:rPr>
                <w:rFonts w:ascii="Verdana" w:hAnsi="Verdana"/>
                <w:sz w:val="18"/>
                <w:szCs w:val="18"/>
              </w:rPr>
            </w:pPr>
          </w:p>
          <w:tbl>
            <w:tblPr>
              <w:tblStyle w:val="TableGrid"/>
              <w:tblW w:w="8392" w:type="dxa"/>
              <w:tblLayout w:type="fixed"/>
              <w:tblLook w:val="04A0" w:firstRow="1" w:lastRow="0" w:firstColumn="1" w:lastColumn="0" w:noHBand="0" w:noVBand="1"/>
            </w:tblPr>
            <w:tblGrid>
              <w:gridCol w:w="1271"/>
              <w:gridCol w:w="1559"/>
              <w:gridCol w:w="5562"/>
            </w:tblGrid>
            <w:tr w:rsidRPr="00A54314" w:rsidR="003565F4" w:rsidTr="00A54314" w14:paraId="1C5E1BF3" w14:textId="77777777">
              <w:tc>
                <w:tcPr>
                  <w:tcW w:w="1271" w:type="dxa"/>
                  <w:tcBorders>
                    <w:top w:val="single" w:color="auto" w:sz="4" w:space="0"/>
                    <w:left w:val="single" w:color="auto" w:sz="4" w:space="0"/>
                    <w:bottom w:val="single" w:color="auto" w:sz="4" w:space="0"/>
                    <w:right w:val="single" w:color="auto" w:sz="4" w:space="0"/>
                  </w:tcBorders>
                  <w:hideMark/>
                </w:tcPr>
                <w:p w:rsidRPr="00450C9C" w:rsidR="003565F4" w:rsidP="003565F4" w:rsidRDefault="003565F4" w14:paraId="2CAB49D4" w14:textId="77777777">
                  <w:pPr>
                    <w:rPr>
                      <w:rFonts w:ascii="Verdana" w:hAnsi="Verdana"/>
                      <w:b/>
                      <w:bCs/>
                      <w:sz w:val="16"/>
                      <w:szCs w:val="16"/>
                    </w:rPr>
                  </w:pPr>
                  <w:r w:rsidRPr="00450C9C">
                    <w:rPr>
                      <w:rFonts w:ascii="Verdana" w:hAnsi="Verdana"/>
                      <w:b/>
                      <w:bCs/>
                      <w:sz w:val="16"/>
                      <w:szCs w:val="16"/>
                    </w:rPr>
                    <w:t>Jaar</w:t>
                  </w:r>
                </w:p>
              </w:tc>
              <w:tc>
                <w:tcPr>
                  <w:tcW w:w="1559" w:type="dxa"/>
                  <w:tcBorders>
                    <w:top w:val="single" w:color="auto" w:sz="4" w:space="0"/>
                    <w:left w:val="single" w:color="auto" w:sz="4" w:space="0"/>
                    <w:bottom w:val="single" w:color="auto" w:sz="4" w:space="0"/>
                    <w:right w:val="single" w:color="auto" w:sz="4" w:space="0"/>
                  </w:tcBorders>
                  <w:hideMark/>
                </w:tcPr>
                <w:p w:rsidRPr="00450C9C" w:rsidR="003565F4" w:rsidP="003565F4" w:rsidRDefault="003565F4" w14:paraId="423C0390" w14:textId="77777777">
                  <w:pPr>
                    <w:rPr>
                      <w:rFonts w:ascii="Verdana" w:hAnsi="Verdana"/>
                      <w:b/>
                      <w:bCs/>
                      <w:sz w:val="16"/>
                      <w:szCs w:val="16"/>
                    </w:rPr>
                  </w:pPr>
                  <w:r w:rsidRPr="00450C9C">
                    <w:rPr>
                      <w:rFonts w:ascii="Verdana" w:hAnsi="Verdana"/>
                      <w:b/>
                      <w:bCs/>
                      <w:sz w:val="16"/>
                      <w:szCs w:val="16"/>
                    </w:rPr>
                    <w:t>Procentuele tariefstijging</w:t>
                  </w:r>
                </w:p>
              </w:tc>
              <w:tc>
                <w:tcPr>
                  <w:tcW w:w="5562" w:type="dxa"/>
                  <w:tcBorders>
                    <w:top w:val="single" w:color="auto" w:sz="4" w:space="0"/>
                    <w:left w:val="single" w:color="auto" w:sz="4" w:space="0"/>
                    <w:bottom w:val="single" w:color="auto" w:sz="4" w:space="0"/>
                    <w:right w:val="single" w:color="auto" w:sz="4" w:space="0"/>
                  </w:tcBorders>
                  <w:hideMark/>
                </w:tcPr>
                <w:p w:rsidRPr="00450C9C" w:rsidR="003565F4" w:rsidP="003565F4" w:rsidRDefault="003565F4" w14:paraId="136171F9" w14:textId="77777777">
                  <w:pPr>
                    <w:rPr>
                      <w:rFonts w:ascii="Verdana" w:hAnsi="Verdana"/>
                      <w:b/>
                      <w:bCs/>
                      <w:sz w:val="16"/>
                      <w:szCs w:val="16"/>
                    </w:rPr>
                  </w:pPr>
                  <w:r w:rsidRPr="00450C9C">
                    <w:rPr>
                      <w:rFonts w:ascii="Verdana" w:hAnsi="Verdana"/>
                      <w:b/>
                      <w:bCs/>
                      <w:sz w:val="16"/>
                      <w:szCs w:val="16"/>
                    </w:rPr>
                    <w:t>Opmerkingen</w:t>
                  </w:r>
                </w:p>
              </w:tc>
            </w:tr>
            <w:tr w:rsidRPr="00A54314" w:rsidR="003565F4" w:rsidTr="00A54314" w14:paraId="6DABF60F"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6162FF7C" w14:textId="77777777">
                  <w:pPr>
                    <w:rPr>
                      <w:rFonts w:ascii="Verdana" w:hAnsi="Verdana"/>
                      <w:sz w:val="16"/>
                      <w:szCs w:val="16"/>
                    </w:rPr>
                  </w:pPr>
                  <w:r w:rsidRPr="00450C9C">
                    <w:rPr>
                      <w:rFonts w:ascii="Verdana" w:hAnsi="Verdana"/>
                      <w:sz w:val="16"/>
                      <w:szCs w:val="16"/>
                      <w:lang w:val="en-US"/>
                    </w:rPr>
                    <w:t>2007</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2DF01975" w14:textId="77777777">
                  <w:pPr>
                    <w:rPr>
                      <w:rFonts w:ascii="Verdana" w:hAnsi="Verdana"/>
                      <w:sz w:val="16"/>
                      <w:szCs w:val="16"/>
                    </w:rPr>
                  </w:pPr>
                  <w:r w:rsidRPr="00450C9C">
                    <w:rPr>
                      <w:rFonts w:ascii="Verdana" w:hAnsi="Verdana"/>
                      <w:sz w:val="16"/>
                      <w:szCs w:val="16"/>
                      <w:lang w:val="en-US"/>
                    </w:rPr>
                    <w:t>0,90%</w:t>
                  </w:r>
                </w:p>
              </w:tc>
              <w:tc>
                <w:tcPr>
                  <w:tcW w:w="5562" w:type="dxa"/>
                  <w:tcBorders>
                    <w:top w:val="single" w:color="auto" w:sz="4" w:space="0"/>
                    <w:left w:val="single" w:color="auto" w:sz="4" w:space="0"/>
                    <w:bottom w:val="single" w:color="auto" w:sz="4" w:space="0"/>
                    <w:right w:val="single" w:color="auto" w:sz="4" w:space="0"/>
                  </w:tcBorders>
                </w:tcPr>
                <w:p w:rsidRPr="00450C9C" w:rsidR="003565F4" w:rsidP="003565F4" w:rsidRDefault="003565F4" w14:paraId="6F0D5612" w14:textId="77777777">
                  <w:pPr>
                    <w:rPr>
                      <w:rFonts w:ascii="Verdana" w:hAnsi="Verdana"/>
                      <w:sz w:val="16"/>
                      <w:szCs w:val="16"/>
                    </w:rPr>
                  </w:pPr>
                </w:p>
              </w:tc>
            </w:tr>
            <w:tr w:rsidRPr="00A54314" w:rsidR="003565F4" w:rsidTr="00A54314" w14:paraId="69CDF12E"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790B91A9" w14:textId="77777777">
                  <w:pPr>
                    <w:rPr>
                      <w:rFonts w:ascii="Verdana" w:hAnsi="Verdana"/>
                      <w:sz w:val="16"/>
                      <w:szCs w:val="16"/>
                    </w:rPr>
                  </w:pPr>
                  <w:r w:rsidRPr="00450C9C">
                    <w:rPr>
                      <w:rFonts w:ascii="Verdana" w:hAnsi="Verdana"/>
                      <w:sz w:val="16"/>
                      <w:szCs w:val="16"/>
                      <w:lang w:val="en-US"/>
                    </w:rPr>
                    <w:t>2008</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4BDFF61B" w14:textId="77777777">
                  <w:pPr>
                    <w:rPr>
                      <w:rFonts w:ascii="Verdana" w:hAnsi="Verdana"/>
                      <w:sz w:val="16"/>
                      <w:szCs w:val="16"/>
                    </w:rPr>
                  </w:pPr>
                  <w:r w:rsidRPr="00450C9C">
                    <w:rPr>
                      <w:rFonts w:ascii="Verdana" w:hAnsi="Verdana"/>
                      <w:sz w:val="16"/>
                      <w:szCs w:val="16"/>
                      <w:lang w:val="en-US"/>
                    </w:rPr>
                    <w:t>1,50%</w:t>
                  </w:r>
                </w:p>
              </w:tc>
              <w:tc>
                <w:tcPr>
                  <w:tcW w:w="5562" w:type="dxa"/>
                  <w:tcBorders>
                    <w:top w:val="single" w:color="auto" w:sz="4" w:space="0"/>
                    <w:left w:val="single" w:color="auto" w:sz="4" w:space="0"/>
                    <w:bottom w:val="single" w:color="auto" w:sz="4" w:space="0"/>
                    <w:right w:val="single" w:color="auto" w:sz="4" w:space="0"/>
                  </w:tcBorders>
                </w:tcPr>
                <w:p w:rsidRPr="00450C9C" w:rsidR="003565F4" w:rsidP="003565F4" w:rsidRDefault="003565F4" w14:paraId="69F1516F" w14:textId="77777777">
                  <w:pPr>
                    <w:rPr>
                      <w:rFonts w:ascii="Verdana" w:hAnsi="Verdana"/>
                      <w:sz w:val="16"/>
                      <w:szCs w:val="16"/>
                    </w:rPr>
                  </w:pPr>
                </w:p>
              </w:tc>
            </w:tr>
            <w:tr w:rsidRPr="00A54314" w:rsidR="003565F4" w:rsidTr="00A54314" w14:paraId="49B99478"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1CAA5418" w14:textId="77777777">
                  <w:pPr>
                    <w:rPr>
                      <w:rFonts w:ascii="Verdana" w:hAnsi="Verdana"/>
                      <w:sz w:val="16"/>
                      <w:szCs w:val="16"/>
                    </w:rPr>
                  </w:pPr>
                  <w:r w:rsidRPr="00450C9C">
                    <w:rPr>
                      <w:rFonts w:ascii="Verdana" w:hAnsi="Verdana"/>
                      <w:sz w:val="16"/>
                      <w:szCs w:val="16"/>
                      <w:lang w:val="en-US"/>
                    </w:rPr>
                    <w:t>2009</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4D68E327" w14:textId="77777777">
                  <w:pPr>
                    <w:rPr>
                      <w:rFonts w:ascii="Verdana" w:hAnsi="Verdana"/>
                      <w:sz w:val="16"/>
                      <w:szCs w:val="16"/>
                    </w:rPr>
                  </w:pPr>
                  <w:r w:rsidRPr="00450C9C">
                    <w:rPr>
                      <w:rFonts w:ascii="Verdana" w:hAnsi="Verdana"/>
                      <w:sz w:val="16"/>
                      <w:szCs w:val="16"/>
                      <w:lang w:val="en-US"/>
                    </w:rPr>
                    <w:t>3,71%</w:t>
                  </w:r>
                </w:p>
              </w:tc>
              <w:tc>
                <w:tcPr>
                  <w:tcW w:w="5562" w:type="dxa"/>
                  <w:tcBorders>
                    <w:top w:val="single" w:color="auto" w:sz="4" w:space="0"/>
                    <w:left w:val="single" w:color="auto" w:sz="4" w:space="0"/>
                    <w:bottom w:val="single" w:color="auto" w:sz="4" w:space="0"/>
                    <w:right w:val="single" w:color="auto" w:sz="4" w:space="0"/>
                  </w:tcBorders>
                </w:tcPr>
                <w:p w:rsidRPr="00450C9C" w:rsidR="003565F4" w:rsidP="003565F4" w:rsidRDefault="003565F4" w14:paraId="4BDF1F1E" w14:textId="77777777">
                  <w:pPr>
                    <w:rPr>
                      <w:rFonts w:ascii="Verdana" w:hAnsi="Verdana"/>
                      <w:sz w:val="16"/>
                      <w:szCs w:val="16"/>
                    </w:rPr>
                  </w:pPr>
                </w:p>
              </w:tc>
            </w:tr>
            <w:tr w:rsidRPr="00A54314" w:rsidR="003565F4" w:rsidTr="00A54314" w14:paraId="09B3E436"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6F819FE0" w14:textId="77777777">
                  <w:pPr>
                    <w:rPr>
                      <w:rFonts w:ascii="Verdana" w:hAnsi="Verdana"/>
                      <w:sz w:val="16"/>
                      <w:szCs w:val="16"/>
                    </w:rPr>
                  </w:pPr>
                  <w:r w:rsidRPr="00450C9C">
                    <w:rPr>
                      <w:rFonts w:ascii="Verdana" w:hAnsi="Verdana"/>
                      <w:sz w:val="16"/>
                      <w:szCs w:val="16"/>
                      <w:lang w:val="en-US"/>
                    </w:rPr>
                    <w:t>2010</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5ADF3DDF" w14:textId="77777777">
                  <w:pPr>
                    <w:rPr>
                      <w:rFonts w:ascii="Verdana" w:hAnsi="Verdana"/>
                      <w:sz w:val="16"/>
                      <w:szCs w:val="16"/>
                    </w:rPr>
                  </w:pPr>
                  <w:r w:rsidRPr="00450C9C">
                    <w:rPr>
                      <w:rFonts w:ascii="Verdana" w:hAnsi="Verdana"/>
                      <w:sz w:val="16"/>
                      <w:szCs w:val="16"/>
                      <w:lang w:val="en-US"/>
                    </w:rPr>
                    <w:t>1,30%</w:t>
                  </w:r>
                </w:p>
              </w:tc>
              <w:tc>
                <w:tcPr>
                  <w:tcW w:w="5562" w:type="dxa"/>
                  <w:tcBorders>
                    <w:top w:val="single" w:color="auto" w:sz="4" w:space="0"/>
                    <w:left w:val="single" w:color="auto" w:sz="4" w:space="0"/>
                    <w:bottom w:val="single" w:color="auto" w:sz="4" w:space="0"/>
                    <w:right w:val="single" w:color="auto" w:sz="4" w:space="0"/>
                  </w:tcBorders>
                </w:tcPr>
                <w:p w:rsidRPr="00450C9C" w:rsidR="003565F4" w:rsidP="003565F4" w:rsidRDefault="003565F4" w14:paraId="41558AA0" w14:textId="77777777">
                  <w:pPr>
                    <w:rPr>
                      <w:rFonts w:ascii="Verdana" w:hAnsi="Verdana"/>
                      <w:sz w:val="16"/>
                      <w:szCs w:val="16"/>
                    </w:rPr>
                  </w:pPr>
                </w:p>
              </w:tc>
            </w:tr>
            <w:tr w:rsidRPr="00A54314" w:rsidR="003565F4" w:rsidTr="00A54314" w14:paraId="33AF1BE6"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5546950D" w14:textId="77777777">
                  <w:pPr>
                    <w:rPr>
                      <w:rFonts w:ascii="Verdana" w:hAnsi="Verdana"/>
                      <w:sz w:val="16"/>
                      <w:szCs w:val="16"/>
                    </w:rPr>
                  </w:pPr>
                  <w:r w:rsidRPr="00450C9C">
                    <w:rPr>
                      <w:rFonts w:ascii="Verdana" w:hAnsi="Verdana"/>
                      <w:sz w:val="16"/>
                      <w:szCs w:val="16"/>
                      <w:lang w:val="en-US"/>
                    </w:rPr>
                    <w:t>2011</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0FD0FEB9" w14:textId="77777777">
                  <w:pPr>
                    <w:rPr>
                      <w:rFonts w:ascii="Verdana" w:hAnsi="Verdana"/>
                      <w:sz w:val="16"/>
                      <w:szCs w:val="16"/>
                    </w:rPr>
                  </w:pPr>
                  <w:r w:rsidRPr="00450C9C">
                    <w:rPr>
                      <w:rFonts w:ascii="Verdana" w:hAnsi="Verdana"/>
                      <w:sz w:val="16"/>
                      <w:szCs w:val="16"/>
                      <w:lang w:val="en-US"/>
                    </w:rPr>
                    <w:t>1,50%</w:t>
                  </w:r>
                </w:p>
              </w:tc>
              <w:tc>
                <w:tcPr>
                  <w:tcW w:w="5562" w:type="dxa"/>
                  <w:tcBorders>
                    <w:top w:val="single" w:color="auto" w:sz="4" w:space="0"/>
                    <w:left w:val="single" w:color="auto" w:sz="4" w:space="0"/>
                    <w:bottom w:val="single" w:color="auto" w:sz="4" w:space="0"/>
                    <w:right w:val="single" w:color="auto" w:sz="4" w:space="0"/>
                  </w:tcBorders>
                </w:tcPr>
                <w:p w:rsidRPr="00450C9C" w:rsidR="003565F4" w:rsidP="003565F4" w:rsidRDefault="003565F4" w14:paraId="5FC8C15E" w14:textId="77777777">
                  <w:pPr>
                    <w:rPr>
                      <w:rFonts w:ascii="Verdana" w:hAnsi="Verdana"/>
                      <w:sz w:val="16"/>
                      <w:szCs w:val="16"/>
                    </w:rPr>
                  </w:pPr>
                </w:p>
              </w:tc>
            </w:tr>
            <w:tr w:rsidRPr="00A54314" w:rsidR="003565F4" w:rsidTr="00A54314" w14:paraId="3D9F1EAE"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5FCE1DD8" w14:textId="77777777">
                  <w:pPr>
                    <w:rPr>
                      <w:rFonts w:ascii="Verdana" w:hAnsi="Verdana"/>
                      <w:sz w:val="16"/>
                      <w:szCs w:val="16"/>
                    </w:rPr>
                  </w:pPr>
                  <w:r w:rsidRPr="00450C9C">
                    <w:rPr>
                      <w:rFonts w:ascii="Verdana" w:hAnsi="Verdana"/>
                      <w:sz w:val="16"/>
                      <w:szCs w:val="16"/>
                      <w:lang w:val="en-US"/>
                    </w:rPr>
                    <w:t>2012</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015BD8C4" w14:textId="77777777">
                  <w:pPr>
                    <w:rPr>
                      <w:rFonts w:ascii="Verdana" w:hAnsi="Verdana"/>
                      <w:sz w:val="16"/>
                      <w:szCs w:val="16"/>
                    </w:rPr>
                  </w:pPr>
                  <w:r w:rsidRPr="00450C9C">
                    <w:rPr>
                      <w:rFonts w:ascii="Verdana" w:hAnsi="Verdana"/>
                      <w:sz w:val="16"/>
                      <w:szCs w:val="16"/>
                      <w:lang w:val="en-US"/>
                    </w:rPr>
                    <w:t>2,21%</w:t>
                  </w:r>
                </w:p>
              </w:tc>
              <w:tc>
                <w:tcPr>
                  <w:tcW w:w="5562" w:type="dxa"/>
                  <w:tcBorders>
                    <w:top w:val="single" w:color="auto" w:sz="4" w:space="0"/>
                    <w:left w:val="single" w:color="auto" w:sz="4" w:space="0"/>
                    <w:bottom w:val="single" w:color="auto" w:sz="4" w:space="0"/>
                    <w:right w:val="single" w:color="auto" w:sz="4" w:space="0"/>
                  </w:tcBorders>
                </w:tcPr>
                <w:p w:rsidRPr="00450C9C" w:rsidR="003565F4" w:rsidP="003565F4" w:rsidRDefault="003565F4" w14:paraId="3B977CE5" w14:textId="77777777">
                  <w:pPr>
                    <w:rPr>
                      <w:rFonts w:ascii="Verdana" w:hAnsi="Verdana"/>
                      <w:sz w:val="16"/>
                      <w:szCs w:val="16"/>
                    </w:rPr>
                  </w:pPr>
                </w:p>
              </w:tc>
            </w:tr>
            <w:tr w:rsidRPr="00A54314" w:rsidR="003565F4" w:rsidTr="00A54314" w14:paraId="31DEF854"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1C68D513" w14:textId="77777777">
                  <w:pPr>
                    <w:rPr>
                      <w:rFonts w:ascii="Verdana" w:hAnsi="Verdana"/>
                      <w:sz w:val="16"/>
                      <w:szCs w:val="16"/>
                    </w:rPr>
                  </w:pPr>
                  <w:r w:rsidRPr="00450C9C">
                    <w:rPr>
                      <w:rFonts w:ascii="Verdana" w:hAnsi="Verdana"/>
                      <w:sz w:val="16"/>
                      <w:szCs w:val="16"/>
                      <w:lang w:val="en-US"/>
                    </w:rPr>
                    <w:t>2013</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7CC307E6" w14:textId="77777777">
                  <w:pPr>
                    <w:rPr>
                      <w:rFonts w:ascii="Verdana" w:hAnsi="Verdana"/>
                      <w:sz w:val="16"/>
                      <w:szCs w:val="16"/>
                    </w:rPr>
                  </w:pPr>
                  <w:r w:rsidRPr="00450C9C">
                    <w:rPr>
                      <w:rFonts w:ascii="Verdana" w:hAnsi="Verdana"/>
                      <w:sz w:val="16"/>
                      <w:szCs w:val="16"/>
                      <w:lang w:val="en-US"/>
                    </w:rPr>
                    <w:t>2,40%</w:t>
                  </w:r>
                </w:p>
              </w:tc>
              <w:tc>
                <w:tcPr>
                  <w:tcW w:w="5562" w:type="dxa"/>
                  <w:tcBorders>
                    <w:top w:val="single" w:color="auto" w:sz="4" w:space="0"/>
                    <w:left w:val="single" w:color="auto" w:sz="4" w:space="0"/>
                    <w:bottom w:val="single" w:color="auto" w:sz="4" w:space="0"/>
                    <w:right w:val="single" w:color="auto" w:sz="4" w:space="0"/>
                  </w:tcBorders>
                </w:tcPr>
                <w:p w:rsidRPr="00450C9C" w:rsidR="003565F4" w:rsidP="003565F4" w:rsidRDefault="003565F4" w14:paraId="61130621" w14:textId="77777777">
                  <w:pPr>
                    <w:rPr>
                      <w:rFonts w:ascii="Verdana" w:hAnsi="Verdana"/>
                      <w:sz w:val="16"/>
                      <w:szCs w:val="16"/>
                    </w:rPr>
                  </w:pPr>
                </w:p>
              </w:tc>
            </w:tr>
            <w:tr w:rsidRPr="00A54314" w:rsidR="003565F4" w:rsidTr="00A54314" w14:paraId="0DD1BD66"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51E98E46" w14:textId="77777777">
                  <w:pPr>
                    <w:rPr>
                      <w:rFonts w:ascii="Verdana" w:hAnsi="Verdana"/>
                      <w:sz w:val="16"/>
                      <w:szCs w:val="16"/>
                    </w:rPr>
                  </w:pPr>
                  <w:r w:rsidRPr="00450C9C">
                    <w:rPr>
                      <w:rFonts w:ascii="Verdana" w:hAnsi="Verdana"/>
                      <w:sz w:val="16"/>
                      <w:szCs w:val="16"/>
                      <w:lang w:val="en-US"/>
                    </w:rPr>
                    <w:t>2014</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0803F284" w14:textId="77777777">
                  <w:pPr>
                    <w:rPr>
                      <w:rFonts w:ascii="Verdana" w:hAnsi="Verdana"/>
                      <w:sz w:val="16"/>
                      <w:szCs w:val="16"/>
                    </w:rPr>
                  </w:pPr>
                  <w:r w:rsidRPr="00450C9C">
                    <w:rPr>
                      <w:rFonts w:ascii="Verdana" w:hAnsi="Verdana"/>
                      <w:sz w:val="16"/>
                      <w:szCs w:val="16"/>
                      <w:lang w:val="en-US"/>
                    </w:rPr>
                    <w:t>3,38%</w:t>
                  </w:r>
                </w:p>
              </w:tc>
              <w:tc>
                <w:tcPr>
                  <w:tcW w:w="5562" w:type="dxa"/>
                  <w:tcBorders>
                    <w:top w:val="single" w:color="auto" w:sz="4" w:space="0"/>
                    <w:left w:val="single" w:color="auto" w:sz="4" w:space="0"/>
                    <w:bottom w:val="single" w:color="auto" w:sz="4" w:space="0"/>
                    <w:right w:val="single" w:color="auto" w:sz="4" w:space="0"/>
                  </w:tcBorders>
                </w:tcPr>
                <w:p w:rsidRPr="00450C9C" w:rsidR="003565F4" w:rsidP="003565F4" w:rsidRDefault="003565F4" w14:paraId="1A7B78B0" w14:textId="77777777">
                  <w:pPr>
                    <w:rPr>
                      <w:rFonts w:ascii="Verdana" w:hAnsi="Verdana"/>
                      <w:sz w:val="16"/>
                      <w:szCs w:val="16"/>
                    </w:rPr>
                  </w:pPr>
                </w:p>
              </w:tc>
            </w:tr>
            <w:tr w:rsidRPr="00A54314" w:rsidR="003565F4" w:rsidTr="00A54314" w14:paraId="0D82CECD"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425BB424" w14:textId="77777777">
                  <w:pPr>
                    <w:rPr>
                      <w:rFonts w:ascii="Verdana" w:hAnsi="Verdana"/>
                      <w:sz w:val="16"/>
                      <w:szCs w:val="16"/>
                    </w:rPr>
                  </w:pPr>
                  <w:r w:rsidRPr="00450C9C">
                    <w:rPr>
                      <w:rFonts w:ascii="Verdana" w:hAnsi="Verdana"/>
                      <w:sz w:val="16"/>
                      <w:szCs w:val="16"/>
                      <w:lang w:val="en-US"/>
                    </w:rPr>
                    <w:t>2015</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531AAADC" w14:textId="77777777">
                  <w:pPr>
                    <w:rPr>
                      <w:rFonts w:ascii="Verdana" w:hAnsi="Verdana"/>
                      <w:sz w:val="16"/>
                      <w:szCs w:val="16"/>
                    </w:rPr>
                  </w:pPr>
                  <w:r w:rsidRPr="00450C9C">
                    <w:rPr>
                      <w:rFonts w:ascii="Verdana" w:hAnsi="Verdana"/>
                      <w:sz w:val="16"/>
                      <w:szCs w:val="16"/>
                      <w:lang w:val="en-US"/>
                    </w:rPr>
                    <w:t>1,98%</w:t>
                  </w:r>
                </w:p>
              </w:tc>
              <w:tc>
                <w:tcPr>
                  <w:tcW w:w="5562" w:type="dxa"/>
                  <w:tcBorders>
                    <w:top w:val="single" w:color="auto" w:sz="4" w:space="0"/>
                    <w:left w:val="single" w:color="auto" w:sz="4" w:space="0"/>
                    <w:bottom w:val="single" w:color="auto" w:sz="4" w:space="0"/>
                    <w:right w:val="single" w:color="auto" w:sz="4" w:space="0"/>
                  </w:tcBorders>
                </w:tcPr>
                <w:p w:rsidRPr="00450C9C" w:rsidR="003565F4" w:rsidP="003565F4" w:rsidRDefault="003565F4" w14:paraId="41199556" w14:textId="77777777">
                  <w:pPr>
                    <w:rPr>
                      <w:rFonts w:ascii="Verdana" w:hAnsi="Verdana"/>
                      <w:sz w:val="16"/>
                      <w:szCs w:val="16"/>
                    </w:rPr>
                  </w:pPr>
                </w:p>
              </w:tc>
            </w:tr>
            <w:tr w:rsidRPr="00A54314" w:rsidR="003565F4" w:rsidTr="00A54314" w14:paraId="4C7D5170"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6E4437AE" w14:textId="77777777">
                  <w:pPr>
                    <w:rPr>
                      <w:rFonts w:ascii="Verdana" w:hAnsi="Verdana"/>
                      <w:sz w:val="16"/>
                      <w:szCs w:val="16"/>
                    </w:rPr>
                  </w:pPr>
                  <w:r w:rsidRPr="00450C9C">
                    <w:rPr>
                      <w:rFonts w:ascii="Verdana" w:hAnsi="Verdana"/>
                      <w:sz w:val="16"/>
                      <w:szCs w:val="16"/>
                      <w:lang w:val="en-US"/>
                    </w:rPr>
                    <w:t>2016</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4A190AAB" w14:textId="77777777">
                  <w:pPr>
                    <w:rPr>
                      <w:rFonts w:ascii="Verdana" w:hAnsi="Verdana"/>
                      <w:sz w:val="16"/>
                      <w:szCs w:val="16"/>
                    </w:rPr>
                  </w:pPr>
                  <w:r w:rsidRPr="00450C9C">
                    <w:rPr>
                      <w:rFonts w:ascii="Verdana" w:hAnsi="Verdana"/>
                      <w:sz w:val="16"/>
                      <w:szCs w:val="16"/>
                      <w:lang w:val="en-US"/>
                    </w:rPr>
                    <w:t>2,09%</w:t>
                  </w:r>
                </w:p>
              </w:tc>
              <w:tc>
                <w:tcPr>
                  <w:tcW w:w="5562" w:type="dxa"/>
                  <w:tcBorders>
                    <w:top w:val="single" w:color="auto" w:sz="4" w:space="0"/>
                    <w:left w:val="single" w:color="auto" w:sz="4" w:space="0"/>
                    <w:bottom w:val="single" w:color="auto" w:sz="4" w:space="0"/>
                    <w:right w:val="single" w:color="auto" w:sz="4" w:space="0"/>
                  </w:tcBorders>
                </w:tcPr>
                <w:p w:rsidRPr="00450C9C" w:rsidR="003565F4" w:rsidP="003565F4" w:rsidRDefault="003565F4" w14:paraId="3DBB10B9" w14:textId="77777777">
                  <w:pPr>
                    <w:rPr>
                      <w:rFonts w:ascii="Verdana" w:hAnsi="Verdana"/>
                      <w:sz w:val="16"/>
                      <w:szCs w:val="16"/>
                    </w:rPr>
                  </w:pPr>
                </w:p>
              </w:tc>
            </w:tr>
            <w:tr w:rsidRPr="00A54314" w:rsidR="003565F4" w:rsidTr="00A54314" w14:paraId="776C0B85"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7EAA136B" w14:textId="77777777">
                  <w:pPr>
                    <w:rPr>
                      <w:rFonts w:ascii="Verdana" w:hAnsi="Verdana"/>
                      <w:sz w:val="16"/>
                      <w:szCs w:val="16"/>
                    </w:rPr>
                  </w:pPr>
                  <w:r w:rsidRPr="00450C9C">
                    <w:rPr>
                      <w:rFonts w:ascii="Verdana" w:hAnsi="Verdana"/>
                      <w:sz w:val="16"/>
                      <w:szCs w:val="16"/>
                      <w:lang w:val="en-US"/>
                    </w:rPr>
                    <w:t>2017</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5DB7F8FD" w14:textId="77777777">
                  <w:pPr>
                    <w:rPr>
                      <w:rFonts w:ascii="Verdana" w:hAnsi="Verdana"/>
                      <w:sz w:val="16"/>
                      <w:szCs w:val="16"/>
                    </w:rPr>
                  </w:pPr>
                  <w:r w:rsidRPr="00450C9C">
                    <w:rPr>
                      <w:rFonts w:ascii="Verdana" w:hAnsi="Verdana"/>
                      <w:sz w:val="16"/>
                      <w:szCs w:val="16"/>
                      <w:lang w:val="en-US"/>
                    </w:rPr>
                    <w:t>0,39%</w:t>
                  </w:r>
                </w:p>
              </w:tc>
              <w:tc>
                <w:tcPr>
                  <w:tcW w:w="5562" w:type="dxa"/>
                  <w:tcBorders>
                    <w:top w:val="single" w:color="auto" w:sz="4" w:space="0"/>
                    <w:left w:val="single" w:color="auto" w:sz="4" w:space="0"/>
                    <w:bottom w:val="single" w:color="auto" w:sz="4" w:space="0"/>
                    <w:right w:val="single" w:color="auto" w:sz="4" w:space="0"/>
                  </w:tcBorders>
                </w:tcPr>
                <w:p w:rsidRPr="00450C9C" w:rsidR="003565F4" w:rsidP="003565F4" w:rsidRDefault="003565F4" w14:paraId="75D7EB55" w14:textId="77777777">
                  <w:pPr>
                    <w:rPr>
                      <w:rFonts w:ascii="Verdana" w:hAnsi="Verdana"/>
                      <w:sz w:val="16"/>
                      <w:szCs w:val="16"/>
                    </w:rPr>
                  </w:pPr>
                </w:p>
              </w:tc>
            </w:tr>
            <w:tr w:rsidRPr="00A54314" w:rsidR="003565F4" w:rsidTr="00A54314" w14:paraId="6008CC97"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0702E009" w14:textId="77777777">
                  <w:pPr>
                    <w:rPr>
                      <w:rFonts w:ascii="Verdana" w:hAnsi="Verdana"/>
                      <w:sz w:val="16"/>
                      <w:szCs w:val="16"/>
                    </w:rPr>
                  </w:pPr>
                  <w:r w:rsidRPr="00450C9C">
                    <w:rPr>
                      <w:rFonts w:ascii="Verdana" w:hAnsi="Verdana"/>
                      <w:sz w:val="16"/>
                      <w:szCs w:val="16"/>
                      <w:lang w:val="en-US"/>
                    </w:rPr>
                    <w:t>2018</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14597058" w14:textId="77777777">
                  <w:pPr>
                    <w:rPr>
                      <w:rFonts w:ascii="Verdana" w:hAnsi="Verdana"/>
                      <w:sz w:val="16"/>
                      <w:szCs w:val="16"/>
                    </w:rPr>
                  </w:pPr>
                  <w:r w:rsidRPr="00450C9C">
                    <w:rPr>
                      <w:rFonts w:ascii="Verdana" w:hAnsi="Verdana"/>
                      <w:sz w:val="16"/>
                      <w:szCs w:val="16"/>
                      <w:lang w:val="en-US"/>
                    </w:rPr>
                    <w:t>1,22%</w:t>
                  </w:r>
                </w:p>
              </w:tc>
              <w:tc>
                <w:tcPr>
                  <w:tcW w:w="5562" w:type="dxa"/>
                  <w:tcBorders>
                    <w:top w:val="single" w:color="auto" w:sz="4" w:space="0"/>
                    <w:left w:val="single" w:color="auto" w:sz="4" w:space="0"/>
                    <w:bottom w:val="single" w:color="auto" w:sz="4" w:space="0"/>
                    <w:right w:val="single" w:color="auto" w:sz="4" w:space="0"/>
                  </w:tcBorders>
                </w:tcPr>
                <w:p w:rsidRPr="00450C9C" w:rsidR="003565F4" w:rsidP="003565F4" w:rsidRDefault="003565F4" w14:paraId="4637A6DA" w14:textId="77777777">
                  <w:pPr>
                    <w:rPr>
                      <w:rFonts w:ascii="Verdana" w:hAnsi="Verdana"/>
                      <w:sz w:val="16"/>
                      <w:szCs w:val="16"/>
                    </w:rPr>
                  </w:pPr>
                </w:p>
              </w:tc>
            </w:tr>
            <w:tr w:rsidRPr="00A54314" w:rsidR="003565F4" w:rsidTr="00A54314" w14:paraId="1808DE51"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4C9D9D10" w14:textId="77777777">
                  <w:pPr>
                    <w:rPr>
                      <w:rFonts w:ascii="Verdana" w:hAnsi="Verdana"/>
                      <w:sz w:val="16"/>
                      <w:szCs w:val="16"/>
                    </w:rPr>
                  </w:pPr>
                  <w:r w:rsidRPr="00450C9C">
                    <w:rPr>
                      <w:rFonts w:ascii="Verdana" w:hAnsi="Verdana"/>
                      <w:sz w:val="16"/>
                      <w:szCs w:val="16"/>
                      <w:lang w:val="en-US"/>
                    </w:rPr>
                    <w:t>2019</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559F5158" w14:textId="77777777">
                  <w:pPr>
                    <w:rPr>
                      <w:rFonts w:ascii="Verdana" w:hAnsi="Verdana"/>
                      <w:sz w:val="16"/>
                      <w:szCs w:val="16"/>
                    </w:rPr>
                  </w:pPr>
                  <w:r w:rsidRPr="00450C9C">
                    <w:rPr>
                      <w:rFonts w:ascii="Verdana" w:hAnsi="Verdana"/>
                      <w:sz w:val="16"/>
                      <w:szCs w:val="16"/>
                      <w:lang w:val="en-US"/>
                    </w:rPr>
                    <w:t>4,79%</w:t>
                  </w:r>
                </w:p>
              </w:tc>
              <w:tc>
                <w:tcPr>
                  <w:tcW w:w="5562" w:type="dxa"/>
                  <w:tcBorders>
                    <w:top w:val="single" w:color="auto" w:sz="4" w:space="0"/>
                    <w:left w:val="single" w:color="auto" w:sz="4" w:space="0"/>
                    <w:bottom w:val="single" w:color="auto" w:sz="4" w:space="0"/>
                    <w:right w:val="single" w:color="auto" w:sz="4" w:space="0"/>
                  </w:tcBorders>
                  <w:hideMark/>
                </w:tcPr>
                <w:p w:rsidRPr="00450C9C" w:rsidR="003565F4" w:rsidP="003565F4" w:rsidRDefault="003565F4" w14:paraId="5C007156" w14:textId="77777777">
                  <w:pPr>
                    <w:rPr>
                      <w:rFonts w:ascii="Verdana" w:hAnsi="Verdana"/>
                      <w:sz w:val="16"/>
                      <w:szCs w:val="16"/>
                    </w:rPr>
                  </w:pPr>
                  <w:r w:rsidRPr="00450C9C">
                    <w:rPr>
                      <w:rFonts w:ascii="Verdana" w:hAnsi="Verdana"/>
                      <w:sz w:val="16"/>
                      <w:szCs w:val="16"/>
                    </w:rPr>
                    <w:t>Dit percentage is inclusief de stijging van het lage btw-tarief van 6% naar 9% per 1 januari 2019. Exclusief de stijging van het btw-tarief zou de procentuele tariefstijging 1,91% zijn geweest.</w:t>
                  </w:r>
                </w:p>
              </w:tc>
            </w:tr>
            <w:tr w:rsidRPr="00A54314" w:rsidR="003565F4" w:rsidTr="00A54314" w14:paraId="0B92E27A"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27457662" w14:textId="77777777">
                  <w:pPr>
                    <w:rPr>
                      <w:rFonts w:ascii="Verdana" w:hAnsi="Verdana"/>
                      <w:sz w:val="16"/>
                      <w:szCs w:val="16"/>
                    </w:rPr>
                  </w:pPr>
                  <w:r w:rsidRPr="00450C9C">
                    <w:rPr>
                      <w:rFonts w:ascii="Verdana" w:hAnsi="Verdana"/>
                      <w:sz w:val="16"/>
                      <w:szCs w:val="16"/>
                      <w:lang w:val="en-US"/>
                    </w:rPr>
                    <w:t>2020</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2EDB66D8" w14:textId="77777777">
                  <w:pPr>
                    <w:rPr>
                      <w:rFonts w:ascii="Verdana" w:hAnsi="Verdana"/>
                      <w:sz w:val="16"/>
                      <w:szCs w:val="16"/>
                    </w:rPr>
                  </w:pPr>
                  <w:r w:rsidRPr="00450C9C">
                    <w:rPr>
                      <w:rFonts w:ascii="Verdana" w:hAnsi="Verdana"/>
                      <w:sz w:val="16"/>
                      <w:szCs w:val="16"/>
                      <w:lang w:val="en-US"/>
                    </w:rPr>
                    <w:t>1,50%</w:t>
                  </w:r>
                </w:p>
              </w:tc>
              <w:tc>
                <w:tcPr>
                  <w:tcW w:w="5562" w:type="dxa"/>
                  <w:tcBorders>
                    <w:top w:val="single" w:color="auto" w:sz="4" w:space="0"/>
                    <w:left w:val="single" w:color="auto" w:sz="4" w:space="0"/>
                    <w:bottom w:val="single" w:color="auto" w:sz="4" w:space="0"/>
                    <w:right w:val="single" w:color="auto" w:sz="4" w:space="0"/>
                  </w:tcBorders>
                </w:tcPr>
                <w:p w:rsidRPr="00450C9C" w:rsidR="003565F4" w:rsidP="003565F4" w:rsidRDefault="003565F4" w14:paraId="32052CC2" w14:textId="77777777">
                  <w:pPr>
                    <w:rPr>
                      <w:rFonts w:ascii="Verdana" w:hAnsi="Verdana"/>
                      <w:sz w:val="16"/>
                      <w:szCs w:val="16"/>
                    </w:rPr>
                  </w:pPr>
                </w:p>
              </w:tc>
            </w:tr>
            <w:tr w:rsidRPr="00A54314" w:rsidR="003565F4" w:rsidTr="00A54314" w14:paraId="745AF10B"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1D070730" w14:textId="77777777">
                  <w:pPr>
                    <w:rPr>
                      <w:rFonts w:ascii="Verdana" w:hAnsi="Verdana"/>
                      <w:sz w:val="16"/>
                      <w:szCs w:val="16"/>
                    </w:rPr>
                  </w:pPr>
                  <w:r w:rsidRPr="00450C9C">
                    <w:rPr>
                      <w:rFonts w:ascii="Verdana" w:hAnsi="Verdana"/>
                      <w:sz w:val="16"/>
                      <w:szCs w:val="16"/>
                      <w:lang w:val="en-US"/>
                    </w:rPr>
                    <w:t>2021</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31AB7E00" w14:textId="77777777">
                  <w:pPr>
                    <w:rPr>
                      <w:rFonts w:ascii="Verdana" w:hAnsi="Verdana"/>
                      <w:sz w:val="16"/>
                      <w:szCs w:val="16"/>
                    </w:rPr>
                  </w:pPr>
                  <w:r w:rsidRPr="00450C9C">
                    <w:rPr>
                      <w:rFonts w:ascii="Verdana" w:hAnsi="Verdana"/>
                      <w:sz w:val="16"/>
                      <w:szCs w:val="16"/>
                      <w:lang w:val="en-US"/>
                    </w:rPr>
                    <w:t>1,50%</w:t>
                  </w:r>
                </w:p>
              </w:tc>
              <w:tc>
                <w:tcPr>
                  <w:tcW w:w="5562" w:type="dxa"/>
                  <w:tcBorders>
                    <w:top w:val="single" w:color="auto" w:sz="4" w:space="0"/>
                    <w:left w:val="single" w:color="auto" w:sz="4" w:space="0"/>
                    <w:bottom w:val="single" w:color="auto" w:sz="4" w:space="0"/>
                    <w:right w:val="single" w:color="auto" w:sz="4" w:space="0"/>
                  </w:tcBorders>
                </w:tcPr>
                <w:p w:rsidRPr="00450C9C" w:rsidR="003565F4" w:rsidP="003565F4" w:rsidRDefault="003565F4" w14:paraId="1B0D9D5E" w14:textId="77777777">
                  <w:pPr>
                    <w:rPr>
                      <w:rFonts w:ascii="Verdana" w:hAnsi="Verdana"/>
                      <w:sz w:val="16"/>
                      <w:szCs w:val="16"/>
                    </w:rPr>
                  </w:pPr>
                </w:p>
              </w:tc>
            </w:tr>
            <w:tr w:rsidRPr="00A54314" w:rsidR="003565F4" w:rsidTr="00A54314" w14:paraId="504E3322"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5FDE214A" w14:textId="77777777">
                  <w:pPr>
                    <w:rPr>
                      <w:rFonts w:ascii="Verdana" w:hAnsi="Verdana"/>
                      <w:sz w:val="16"/>
                      <w:szCs w:val="16"/>
                    </w:rPr>
                  </w:pPr>
                  <w:r w:rsidRPr="00450C9C">
                    <w:rPr>
                      <w:rFonts w:ascii="Verdana" w:hAnsi="Verdana"/>
                      <w:sz w:val="16"/>
                      <w:szCs w:val="16"/>
                      <w:lang w:val="en-US"/>
                    </w:rPr>
                    <w:t>2022</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67AFFC1B" w14:textId="77777777">
                  <w:pPr>
                    <w:rPr>
                      <w:rFonts w:ascii="Verdana" w:hAnsi="Verdana"/>
                      <w:sz w:val="16"/>
                      <w:szCs w:val="16"/>
                    </w:rPr>
                  </w:pPr>
                  <w:r w:rsidRPr="00450C9C">
                    <w:rPr>
                      <w:rFonts w:ascii="Verdana" w:hAnsi="Verdana"/>
                      <w:sz w:val="16"/>
                      <w:szCs w:val="16"/>
                      <w:lang w:val="en-US"/>
                    </w:rPr>
                    <w:t>1,80%</w:t>
                  </w:r>
                </w:p>
              </w:tc>
              <w:tc>
                <w:tcPr>
                  <w:tcW w:w="5562" w:type="dxa"/>
                  <w:tcBorders>
                    <w:top w:val="single" w:color="auto" w:sz="4" w:space="0"/>
                    <w:left w:val="single" w:color="auto" w:sz="4" w:space="0"/>
                    <w:bottom w:val="single" w:color="auto" w:sz="4" w:space="0"/>
                    <w:right w:val="single" w:color="auto" w:sz="4" w:space="0"/>
                  </w:tcBorders>
                </w:tcPr>
                <w:p w:rsidRPr="00450C9C" w:rsidR="003565F4" w:rsidP="003565F4" w:rsidRDefault="003565F4" w14:paraId="65678B0C" w14:textId="77777777">
                  <w:pPr>
                    <w:rPr>
                      <w:rFonts w:ascii="Verdana" w:hAnsi="Verdana"/>
                      <w:sz w:val="16"/>
                      <w:szCs w:val="16"/>
                    </w:rPr>
                  </w:pPr>
                </w:p>
              </w:tc>
            </w:tr>
            <w:tr w:rsidRPr="00A54314" w:rsidR="003565F4" w:rsidTr="00A54314" w14:paraId="79D4AD1D"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630C8F25" w14:textId="77777777">
                  <w:pPr>
                    <w:rPr>
                      <w:rFonts w:ascii="Verdana" w:hAnsi="Verdana"/>
                      <w:sz w:val="16"/>
                      <w:szCs w:val="16"/>
                    </w:rPr>
                  </w:pPr>
                  <w:r w:rsidRPr="00450C9C">
                    <w:rPr>
                      <w:rFonts w:ascii="Verdana" w:hAnsi="Verdana"/>
                      <w:sz w:val="16"/>
                      <w:szCs w:val="16"/>
                      <w:lang w:val="en-US"/>
                    </w:rPr>
                    <w:t>2023</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73DC5894" w14:textId="77777777">
                  <w:pPr>
                    <w:rPr>
                      <w:rFonts w:ascii="Verdana" w:hAnsi="Verdana"/>
                      <w:sz w:val="16"/>
                      <w:szCs w:val="16"/>
                    </w:rPr>
                  </w:pPr>
                  <w:r w:rsidRPr="00450C9C">
                    <w:rPr>
                      <w:rFonts w:ascii="Verdana" w:hAnsi="Verdana"/>
                      <w:sz w:val="16"/>
                      <w:szCs w:val="16"/>
                      <w:lang w:val="en-US"/>
                    </w:rPr>
                    <w:t>5,51%</w:t>
                  </w:r>
                </w:p>
              </w:tc>
              <w:tc>
                <w:tcPr>
                  <w:tcW w:w="5562" w:type="dxa"/>
                  <w:tcBorders>
                    <w:top w:val="single" w:color="auto" w:sz="4" w:space="0"/>
                    <w:left w:val="single" w:color="auto" w:sz="4" w:space="0"/>
                    <w:bottom w:val="single" w:color="auto" w:sz="4" w:space="0"/>
                    <w:right w:val="single" w:color="auto" w:sz="4" w:space="0"/>
                  </w:tcBorders>
                  <w:hideMark/>
                </w:tcPr>
                <w:p w:rsidRPr="00450C9C" w:rsidR="003565F4" w:rsidP="003565F4" w:rsidRDefault="003565F4" w14:paraId="673F134F" w14:textId="77777777">
                  <w:pPr>
                    <w:rPr>
                      <w:rFonts w:ascii="Verdana" w:hAnsi="Verdana"/>
                      <w:sz w:val="16"/>
                      <w:szCs w:val="16"/>
                    </w:rPr>
                  </w:pPr>
                  <w:r w:rsidRPr="00450C9C">
                    <w:rPr>
                      <w:rFonts w:ascii="Verdana" w:hAnsi="Verdana"/>
                      <w:sz w:val="16"/>
                      <w:szCs w:val="16"/>
                    </w:rPr>
                    <w:t>De gemiddelde tariefstijging lag in dit jaar met 4,3% lager. Dit komt doordat NS de prijzen voor Altijd Vrij en Traject Vrij dat jaar heeft verlaagd.</w:t>
                  </w:r>
                </w:p>
              </w:tc>
            </w:tr>
            <w:tr w:rsidRPr="00A54314" w:rsidR="003565F4" w:rsidTr="00A54314" w14:paraId="179E8A4A"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6F02358E" w14:textId="77777777">
                  <w:pPr>
                    <w:rPr>
                      <w:rFonts w:ascii="Verdana" w:hAnsi="Verdana"/>
                      <w:sz w:val="16"/>
                      <w:szCs w:val="16"/>
                    </w:rPr>
                  </w:pPr>
                  <w:r w:rsidRPr="00450C9C">
                    <w:rPr>
                      <w:rFonts w:ascii="Verdana" w:hAnsi="Verdana"/>
                      <w:sz w:val="16"/>
                      <w:szCs w:val="16"/>
                      <w:lang w:val="en-US"/>
                    </w:rPr>
                    <w:t>2024</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42CD8AE3" w14:textId="77777777">
                  <w:pPr>
                    <w:rPr>
                      <w:rFonts w:ascii="Verdana" w:hAnsi="Verdana"/>
                      <w:sz w:val="16"/>
                      <w:szCs w:val="16"/>
                    </w:rPr>
                  </w:pPr>
                  <w:r w:rsidRPr="00450C9C">
                    <w:rPr>
                      <w:rFonts w:ascii="Verdana" w:hAnsi="Verdana"/>
                      <w:sz w:val="16"/>
                      <w:szCs w:val="16"/>
                      <w:lang w:val="en-US"/>
                    </w:rPr>
                    <w:t>0%</w:t>
                  </w:r>
                </w:p>
              </w:tc>
              <w:tc>
                <w:tcPr>
                  <w:tcW w:w="5562" w:type="dxa"/>
                  <w:tcBorders>
                    <w:top w:val="single" w:color="auto" w:sz="4" w:space="0"/>
                    <w:left w:val="single" w:color="auto" w:sz="4" w:space="0"/>
                    <w:bottom w:val="single" w:color="auto" w:sz="4" w:space="0"/>
                    <w:right w:val="single" w:color="auto" w:sz="4" w:space="0"/>
                  </w:tcBorders>
                  <w:hideMark/>
                </w:tcPr>
                <w:p w:rsidRPr="00450C9C" w:rsidR="003565F4" w:rsidP="003565F4" w:rsidRDefault="003565F4" w14:paraId="6255FB82" w14:textId="77777777">
                  <w:pPr>
                    <w:rPr>
                      <w:rFonts w:ascii="Verdana" w:hAnsi="Verdana"/>
                      <w:sz w:val="16"/>
                      <w:szCs w:val="16"/>
                    </w:rPr>
                  </w:pPr>
                  <w:r w:rsidRPr="00450C9C">
                    <w:rPr>
                      <w:rFonts w:ascii="Verdana" w:hAnsi="Verdana"/>
                      <w:sz w:val="16"/>
                      <w:szCs w:val="16"/>
                    </w:rPr>
                    <w:t>In 2024 zijn de tarieven in het ov niet gestegen als gevolg van de motie-Bikker c.s. (Kamerstuk 36 410, nr. 29). Voor de NS-tarieven kwamen met deze motie incidentele middelen beschikbaar. Hiermee kon de toen voorziene stijging van de NS-tarieven van 8,7% voor één jaar worden afgewend.</w:t>
                  </w:r>
                </w:p>
              </w:tc>
            </w:tr>
            <w:tr w:rsidRPr="00A54314" w:rsidR="003565F4" w:rsidTr="00A54314" w14:paraId="78A6CB33"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382BE71D" w14:textId="77777777">
                  <w:pPr>
                    <w:rPr>
                      <w:rFonts w:ascii="Verdana" w:hAnsi="Verdana"/>
                      <w:sz w:val="16"/>
                      <w:szCs w:val="16"/>
                    </w:rPr>
                  </w:pPr>
                  <w:r w:rsidRPr="00450C9C">
                    <w:rPr>
                      <w:rFonts w:ascii="Verdana" w:hAnsi="Verdana"/>
                      <w:sz w:val="16"/>
                      <w:szCs w:val="16"/>
                      <w:lang w:val="en-US"/>
                    </w:rPr>
                    <w:t>2025</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074E2026" w14:textId="77777777">
                  <w:pPr>
                    <w:rPr>
                      <w:rFonts w:ascii="Verdana" w:hAnsi="Verdana"/>
                      <w:sz w:val="16"/>
                      <w:szCs w:val="16"/>
                    </w:rPr>
                  </w:pPr>
                  <w:r w:rsidRPr="00450C9C">
                    <w:rPr>
                      <w:rFonts w:ascii="Verdana" w:hAnsi="Verdana"/>
                      <w:sz w:val="16"/>
                      <w:szCs w:val="16"/>
                      <w:lang w:val="en-US"/>
                    </w:rPr>
                    <w:t>6,18%</w:t>
                  </w:r>
                </w:p>
              </w:tc>
              <w:tc>
                <w:tcPr>
                  <w:tcW w:w="5562" w:type="dxa"/>
                  <w:tcBorders>
                    <w:top w:val="single" w:color="auto" w:sz="4" w:space="0"/>
                    <w:left w:val="single" w:color="auto" w:sz="4" w:space="0"/>
                    <w:bottom w:val="single" w:color="auto" w:sz="4" w:space="0"/>
                    <w:right w:val="single" w:color="auto" w:sz="4" w:space="0"/>
                  </w:tcBorders>
                  <w:hideMark/>
                </w:tcPr>
                <w:p w:rsidRPr="00450C9C" w:rsidR="003565F4" w:rsidP="003565F4" w:rsidRDefault="003565F4" w14:paraId="5B3418C3" w14:textId="77777777">
                  <w:pPr>
                    <w:rPr>
                      <w:rFonts w:ascii="Verdana" w:hAnsi="Verdana"/>
                      <w:sz w:val="16"/>
                      <w:szCs w:val="16"/>
                    </w:rPr>
                  </w:pPr>
                  <w:r w:rsidRPr="00450C9C">
                    <w:rPr>
                      <w:rFonts w:ascii="Verdana" w:hAnsi="Verdana"/>
                      <w:sz w:val="16"/>
                      <w:szCs w:val="16"/>
                    </w:rPr>
                    <w:t>In deze tariefstijging zit een deel van de tariefstijging van 8,7% uit 2024, die naar latere jaren is doorgeschoven.</w:t>
                  </w:r>
                </w:p>
              </w:tc>
            </w:tr>
            <w:tr w:rsidRPr="00A54314" w:rsidR="003565F4" w:rsidTr="00A54314" w14:paraId="5578163A" w14:textId="77777777">
              <w:tc>
                <w:tcPr>
                  <w:tcW w:w="1271"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31CE65FB" w14:textId="77777777">
                  <w:pPr>
                    <w:rPr>
                      <w:rFonts w:ascii="Verdana" w:hAnsi="Verdana"/>
                      <w:sz w:val="16"/>
                      <w:szCs w:val="16"/>
                    </w:rPr>
                  </w:pPr>
                  <w:r w:rsidRPr="00450C9C">
                    <w:rPr>
                      <w:rFonts w:ascii="Verdana" w:hAnsi="Verdana"/>
                      <w:sz w:val="16"/>
                      <w:szCs w:val="16"/>
                      <w:lang w:val="en-US"/>
                    </w:rPr>
                    <w:t>2026</w:t>
                  </w:r>
                </w:p>
              </w:tc>
              <w:tc>
                <w:tcPr>
                  <w:tcW w:w="1559" w:type="dxa"/>
                  <w:tcBorders>
                    <w:top w:val="single" w:color="auto" w:sz="4" w:space="0"/>
                    <w:left w:val="single" w:color="auto" w:sz="4" w:space="0"/>
                    <w:bottom w:val="single" w:color="auto" w:sz="4" w:space="0"/>
                    <w:right w:val="single" w:color="auto" w:sz="4" w:space="0"/>
                  </w:tcBorders>
                  <w:vAlign w:val="bottom"/>
                  <w:hideMark/>
                </w:tcPr>
                <w:p w:rsidRPr="00450C9C" w:rsidR="003565F4" w:rsidP="003565F4" w:rsidRDefault="003565F4" w14:paraId="562B0ACD" w14:textId="77777777">
                  <w:pPr>
                    <w:rPr>
                      <w:rFonts w:ascii="Verdana" w:hAnsi="Verdana"/>
                      <w:sz w:val="16"/>
                      <w:szCs w:val="16"/>
                    </w:rPr>
                  </w:pPr>
                  <w:r w:rsidRPr="00450C9C">
                    <w:rPr>
                      <w:rFonts w:ascii="Verdana" w:hAnsi="Verdana"/>
                      <w:sz w:val="16"/>
                      <w:szCs w:val="16"/>
                      <w:lang w:val="en-US"/>
                    </w:rPr>
                    <w:t>6,52%</w:t>
                  </w:r>
                </w:p>
              </w:tc>
              <w:tc>
                <w:tcPr>
                  <w:tcW w:w="5562" w:type="dxa"/>
                  <w:tcBorders>
                    <w:top w:val="single" w:color="auto" w:sz="4" w:space="0"/>
                    <w:left w:val="single" w:color="auto" w:sz="4" w:space="0"/>
                    <w:bottom w:val="single" w:color="auto" w:sz="4" w:space="0"/>
                    <w:right w:val="single" w:color="auto" w:sz="4" w:space="0"/>
                  </w:tcBorders>
                  <w:hideMark/>
                </w:tcPr>
                <w:p w:rsidRPr="00450C9C" w:rsidR="003565F4" w:rsidP="003565F4" w:rsidRDefault="003565F4" w14:paraId="4C4A324A" w14:textId="77777777">
                  <w:pPr>
                    <w:rPr>
                      <w:rFonts w:ascii="Verdana" w:hAnsi="Verdana"/>
                      <w:sz w:val="16"/>
                      <w:szCs w:val="16"/>
                    </w:rPr>
                  </w:pPr>
                  <w:r w:rsidRPr="00450C9C">
                    <w:rPr>
                      <w:rFonts w:ascii="Verdana" w:hAnsi="Verdana"/>
                      <w:sz w:val="16"/>
                      <w:szCs w:val="16"/>
                    </w:rPr>
                    <w:t>In deze tariefstijging zit een deel van de tariefstijging van 8,7% uit 2024, die naar latere jaren is doorgeschoven.</w:t>
                  </w:r>
                </w:p>
              </w:tc>
            </w:tr>
          </w:tbl>
          <w:p w:rsidR="003565F4" w:rsidP="003565F4" w:rsidRDefault="003565F4" w14:paraId="7AF984A3" w14:textId="77777777">
            <w:pPr>
              <w:rPr>
                <w:rFonts w:ascii="Verdana" w:hAnsi="Verdana"/>
                <w:sz w:val="18"/>
                <w:szCs w:val="18"/>
              </w:rPr>
            </w:pPr>
          </w:p>
          <w:p w:rsidRPr="00A54314" w:rsidR="00A54314" w:rsidRDefault="00A54314" w14:paraId="07BE29A7" w14:textId="51624BB0">
            <w:pPr>
              <w:rPr>
                <w:rFonts w:ascii="Verdana" w:hAnsi="Verdana"/>
                <w:sz w:val="18"/>
                <w:szCs w:val="18"/>
              </w:rPr>
            </w:pPr>
          </w:p>
        </w:tc>
      </w:tr>
      <w:tr w:rsidRPr="00A54314" w:rsidR="009B2E0D" w:rsidTr="00D23270" w14:paraId="3066E238" w14:textId="77777777">
        <w:tc>
          <w:tcPr>
            <w:tcW w:w="567" w:type="dxa"/>
          </w:tcPr>
          <w:p w:rsidRPr="00A54314" w:rsidR="009B2E0D" w:rsidRDefault="00603C2F" w14:paraId="23C79FA8" w14:textId="77777777">
            <w:pPr>
              <w:rPr>
                <w:rFonts w:ascii="Verdana" w:hAnsi="Verdana"/>
                <w:sz w:val="18"/>
                <w:szCs w:val="18"/>
              </w:rPr>
            </w:pPr>
            <w:r w:rsidRPr="00A54314">
              <w:rPr>
                <w:rFonts w:ascii="Verdana" w:hAnsi="Verdana"/>
                <w:sz w:val="18"/>
                <w:szCs w:val="18"/>
              </w:rPr>
              <w:t>3</w:t>
            </w:r>
          </w:p>
        </w:tc>
        <w:tc>
          <w:tcPr>
            <w:tcW w:w="8505" w:type="dxa"/>
          </w:tcPr>
          <w:p w:rsidRPr="00A54314" w:rsidR="009B2E0D" w:rsidRDefault="00603C2F" w14:paraId="3C44A47B" w14:textId="1D3BA9D6">
            <w:pPr>
              <w:rPr>
                <w:rFonts w:ascii="Verdana" w:hAnsi="Verdana"/>
                <w:sz w:val="18"/>
                <w:szCs w:val="18"/>
              </w:rPr>
            </w:pPr>
            <w:r w:rsidRPr="00A54314">
              <w:rPr>
                <w:rFonts w:ascii="Verdana" w:hAnsi="Verdana"/>
                <w:sz w:val="18"/>
                <w:szCs w:val="18"/>
              </w:rPr>
              <w:t>Wat is de kostenontwikkeling van treinkaartjes bij Arriva, Keolis en Qbuzz in de afgelopen jaren?</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Antwoord:</w:t>
            </w:r>
            <w:r w:rsidRPr="00A54314">
              <w:rPr>
                <w:rFonts w:ascii="Verdana" w:hAnsi="Verdana"/>
                <w:sz w:val="18"/>
                <w:szCs w:val="18"/>
              </w:rPr>
              <w:br/>
            </w:r>
            <w:r w:rsidRPr="00A54314">
              <w:rPr>
                <w:rFonts w:ascii="Verdana" w:hAnsi="Verdana"/>
                <w:iCs/>
                <w:sz w:val="18"/>
                <w:szCs w:val="18"/>
              </w:rPr>
              <w:t>De prijzen in</w:t>
            </w:r>
            <w:r w:rsidRPr="00A54314">
              <w:rPr>
                <w:rFonts w:ascii="Verdana" w:hAnsi="Verdana"/>
                <w:iCs/>
                <w:sz w:val="18"/>
                <w:szCs w:val="18"/>
              </w:rPr>
              <w:t xml:space="preserve"> het regionaal openbaar vervoer stijgen op basis van de Landelijke Tarievenindex (LTI):</w:t>
            </w:r>
            <w:r w:rsidRPr="00A54314">
              <w:rPr>
                <w:rFonts w:ascii="Verdana" w:hAnsi="Verdana"/>
                <w:iCs/>
                <w:sz w:val="18"/>
                <w:szCs w:val="18"/>
              </w:rPr>
              <w:br/>
              <w:t>LTI 2020: 2,2%</w:t>
            </w:r>
            <w:r w:rsidRPr="00A54314">
              <w:rPr>
                <w:rFonts w:ascii="Verdana" w:hAnsi="Verdana"/>
                <w:iCs/>
                <w:sz w:val="18"/>
                <w:szCs w:val="18"/>
              </w:rPr>
              <w:br/>
              <w:t>LTI 2021: 0,91%</w:t>
            </w:r>
            <w:r w:rsidRPr="00A54314">
              <w:rPr>
                <w:rFonts w:ascii="Verdana" w:hAnsi="Verdana"/>
                <w:iCs/>
                <w:sz w:val="18"/>
                <w:szCs w:val="18"/>
              </w:rPr>
              <w:br/>
              <w:t>LTI 2022: 2,12%</w:t>
            </w:r>
            <w:r w:rsidRPr="00A54314">
              <w:rPr>
                <w:rFonts w:ascii="Verdana" w:hAnsi="Verdana"/>
                <w:iCs/>
                <w:sz w:val="18"/>
                <w:szCs w:val="18"/>
              </w:rPr>
              <w:br/>
              <w:t>LTI 2023: 7,24%</w:t>
            </w:r>
            <w:r w:rsidRPr="00A54314">
              <w:rPr>
                <w:rFonts w:ascii="Verdana" w:hAnsi="Verdana"/>
                <w:iCs/>
                <w:sz w:val="18"/>
                <w:szCs w:val="18"/>
              </w:rPr>
              <w:br/>
              <w:t>LTI 2024: 0% (stijging van 11,72% structureel voorkomen met de Bikkermiddelen)</w:t>
            </w:r>
            <w:r w:rsidRPr="00A54314">
              <w:rPr>
                <w:rFonts w:ascii="Verdana" w:hAnsi="Verdana"/>
                <w:iCs/>
                <w:sz w:val="18"/>
                <w:szCs w:val="18"/>
              </w:rPr>
              <w:br/>
              <w:t>LTI 2025: 3,34%</w:t>
            </w:r>
            <w:r w:rsidRPr="00A54314">
              <w:rPr>
                <w:rFonts w:ascii="Verdana" w:hAnsi="Verdana"/>
                <w:sz w:val="18"/>
                <w:szCs w:val="18"/>
              </w:rPr>
              <w:br/>
            </w:r>
          </w:p>
        </w:tc>
      </w:tr>
      <w:tr w:rsidRPr="00A54314" w:rsidR="009B2E0D" w:rsidTr="00D23270" w14:paraId="299209B4" w14:textId="77777777">
        <w:tc>
          <w:tcPr>
            <w:tcW w:w="567" w:type="dxa"/>
          </w:tcPr>
          <w:p w:rsidRPr="00A54314" w:rsidR="009B2E0D" w:rsidRDefault="00603C2F" w14:paraId="76014885" w14:textId="77777777">
            <w:pPr>
              <w:rPr>
                <w:rFonts w:ascii="Verdana" w:hAnsi="Verdana"/>
                <w:sz w:val="18"/>
                <w:szCs w:val="18"/>
              </w:rPr>
            </w:pPr>
            <w:r w:rsidRPr="00A54314">
              <w:rPr>
                <w:rFonts w:ascii="Verdana" w:hAnsi="Verdana"/>
                <w:sz w:val="18"/>
                <w:szCs w:val="18"/>
              </w:rPr>
              <w:t>4</w:t>
            </w:r>
          </w:p>
        </w:tc>
        <w:tc>
          <w:tcPr>
            <w:tcW w:w="8505" w:type="dxa"/>
          </w:tcPr>
          <w:p w:rsidRPr="00A54314" w:rsidR="009B2E0D" w:rsidRDefault="00603C2F" w14:paraId="2A480FC7" w14:textId="49F94742">
            <w:pPr>
              <w:rPr>
                <w:rFonts w:ascii="Verdana" w:hAnsi="Verdana"/>
                <w:sz w:val="18"/>
                <w:szCs w:val="18"/>
              </w:rPr>
            </w:pPr>
            <w:r w:rsidRPr="00A54314">
              <w:rPr>
                <w:rFonts w:ascii="Verdana" w:hAnsi="Verdana"/>
                <w:sz w:val="18"/>
                <w:szCs w:val="18"/>
              </w:rPr>
              <w:t xml:space="preserve">Welke </w:t>
            </w:r>
            <w:r w:rsidRPr="00A54314">
              <w:rPr>
                <w:rFonts w:ascii="Verdana" w:hAnsi="Verdana"/>
                <w:sz w:val="18"/>
                <w:szCs w:val="18"/>
              </w:rPr>
              <w:t>taken kunnen bij het KNMI niet meer uitgevoerd gaan worden en/of zullen minder aandacht krijgen door de taakstellingen van het kabinet-Jetten en de forse bezuinig op het KNMI vanaf 2029?</w:t>
            </w:r>
            <w:r w:rsidRPr="00A54314">
              <w:rPr>
                <w:rFonts w:ascii="Verdana" w:hAnsi="Verdana"/>
                <w:sz w:val="18"/>
                <w:szCs w:val="18"/>
              </w:rPr>
              <w:br/>
            </w:r>
            <w:r w:rsidRPr="00A54314">
              <w:rPr>
                <w:rFonts w:ascii="Verdana" w:hAnsi="Verdana"/>
                <w:sz w:val="18"/>
                <w:szCs w:val="18"/>
              </w:rPr>
              <w:lastRenderedPageBreak/>
              <w:br/>
            </w:r>
            <w:r w:rsidRPr="00A54314">
              <w:rPr>
                <w:rFonts w:ascii="Verdana" w:hAnsi="Verdana"/>
                <w:b/>
                <w:sz w:val="18"/>
                <w:szCs w:val="18"/>
              </w:rPr>
              <w:t>Antwoord:</w:t>
            </w:r>
            <w:r w:rsidRPr="00A54314">
              <w:rPr>
                <w:rFonts w:ascii="Verdana" w:hAnsi="Verdana"/>
                <w:sz w:val="18"/>
                <w:szCs w:val="18"/>
              </w:rPr>
              <w:br/>
              <w:t>Het KNMI werkt momenteel aan een nieuw meerjarig activitei</w:t>
            </w:r>
            <w:r w:rsidRPr="00A54314">
              <w:rPr>
                <w:rFonts w:ascii="Verdana" w:hAnsi="Verdana"/>
                <w:sz w:val="18"/>
                <w:szCs w:val="18"/>
              </w:rPr>
              <w:t>tenprogramma voor 2027 – 2030. Hierin zal rekening moeten worden gehouden met de taakstellingen van het kabinet-Jetten. In afstemming met IenW en andere partners, gaat het KNMI kijken of en hoe de wettelijke taken ingevuld kunnen worden met de verlaagde bu</w:t>
            </w:r>
            <w:r w:rsidRPr="00A54314">
              <w:rPr>
                <w:rFonts w:ascii="Verdana" w:hAnsi="Verdana"/>
                <w:sz w:val="18"/>
                <w:szCs w:val="18"/>
              </w:rPr>
              <w:t>dgetten en welke keuzes daarbij gemaakt zullen moeten worden.</w:t>
            </w:r>
            <w:r w:rsidRPr="00A54314">
              <w:rPr>
                <w:rFonts w:ascii="Verdana" w:hAnsi="Verdana"/>
                <w:sz w:val="18"/>
                <w:szCs w:val="18"/>
              </w:rPr>
              <w:br/>
            </w:r>
          </w:p>
        </w:tc>
      </w:tr>
      <w:tr w:rsidRPr="00A54314" w:rsidR="009B2E0D" w:rsidTr="00D23270" w14:paraId="601ECD45" w14:textId="77777777">
        <w:tc>
          <w:tcPr>
            <w:tcW w:w="567" w:type="dxa"/>
          </w:tcPr>
          <w:p w:rsidRPr="00A54314" w:rsidR="009B2E0D" w:rsidRDefault="00603C2F" w14:paraId="628B1202" w14:textId="77777777">
            <w:pPr>
              <w:rPr>
                <w:rFonts w:ascii="Verdana" w:hAnsi="Verdana"/>
                <w:sz w:val="18"/>
                <w:szCs w:val="18"/>
              </w:rPr>
            </w:pPr>
            <w:r w:rsidRPr="00A54314">
              <w:rPr>
                <w:rFonts w:ascii="Verdana" w:hAnsi="Verdana"/>
                <w:sz w:val="18"/>
                <w:szCs w:val="18"/>
              </w:rPr>
              <w:lastRenderedPageBreak/>
              <w:t>5</w:t>
            </w:r>
          </w:p>
        </w:tc>
        <w:tc>
          <w:tcPr>
            <w:tcW w:w="8505" w:type="dxa"/>
          </w:tcPr>
          <w:p w:rsidRPr="00A54314" w:rsidR="009B2E0D" w:rsidRDefault="00603C2F" w14:paraId="0C3ECBD8" w14:textId="4527A22E">
            <w:pPr>
              <w:rPr>
                <w:rFonts w:ascii="Verdana" w:hAnsi="Verdana"/>
                <w:sz w:val="18"/>
                <w:szCs w:val="18"/>
              </w:rPr>
            </w:pPr>
            <w:r w:rsidRPr="00A54314">
              <w:rPr>
                <w:rFonts w:ascii="Verdana" w:hAnsi="Verdana"/>
                <w:sz w:val="18"/>
                <w:szCs w:val="18"/>
              </w:rPr>
              <w:t xml:space="preserve">Welke van de 500 regels die het kabinet wil schrappen bevinden zich op het terrein van het ministerie van IenW? En zijn er ook specifiek regels rondom milieu, circulaire economie, </w:t>
            </w:r>
            <w:r w:rsidRPr="00A54314">
              <w:rPr>
                <w:rFonts w:ascii="Verdana" w:hAnsi="Verdana"/>
                <w:sz w:val="18"/>
                <w:szCs w:val="18"/>
              </w:rPr>
              <w:t>vergunningverlening, toezicht en handhaving (VTH) en circulaire economie die mogelijk geschrapt gaan worden?</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Antwoord:</w:t>
            </w:r>
            <w:r w:rsidRPr="00A54314">
              <w:rPr>
                <w:rFonts w:ascii="Verdana" w:hAnsi="Verdana"/>
                <w:sz w:val="18"/>
                <w:szCs w:val="18"/>
              </w:rPr>
              <w:br/>
              <w:t>Het kabinet werkt aan het verminderen van onnodige regels. In totaal worden 500 regels die voor veel regeldruk zorgen, aangepast of vere</w:t>
            </w:r>
            <w:r w:rsidRPr="00A54314">
              <w:rPr>
                <w:rFonts w:ascii="Verdana" w:hAnsi="Verdana"/>
                <w:sz w:val="18"/>
                <w:szCs w:val="18"/>
              </w:rPr>
              <w:t xml:space="preserve">envoudigd. Op regeldrukmonitor.nl wordt een teller bijgehouden die laat zien hoeveel van de 500 regels inmiddels zijn aangepast of waarvoor een wijziging in gang is gezet. Op de teller staat ook vermeld welke regels onder het ministerie van IenW vallen en </w:t>
            </w:r>
            <w:r w:rsidRPr="00A54314">
              <w:rPr>
                <w:rFonts w:ascii="Verdana" w:hAnsi="Verdana"/>
                <w:sz w:val="18"/>
                <w:szCs w:val="18"/>
              </w:rPr>
              <w:t>wat er voor de betreffende regels verandert. De teller wordt bij aanpassingen direct bijgewerkt en staat nu op in totaal 315 regels, waarvan 69 op het terrein van het ministerie van IenW. Daaronder valt ook een aantal regels op het terrein van milieu, verg</w:t>
            </w:r>
            <w:r w:rsidRPr="00A54314">
              <w:rPr>
                <w:rFonts w:ascii="Verdana" w:hAnsi="Verdana"/>
                <w:sz w:val="18"/>
                <w:szCs w:val="18"/>
              </w:rPr>
              <w:t>unningverlening, toezicht en handhaving en circulaire economie.</w:t>
            </w:r>
            <w:r w:rsidRPr="00A54314">
              <w:rPr>
                <w:rFonts w:ascii="Verdana" w:hAnsi="Verdana"/>
                <w:sz w:val="18"/>
                <w:szCs w:val="18"/>
              </w:rPr>
              <w:br/>
            </w:r>
          </w:p>
        </w:tc>
      </w:tr>
      <w:tr w:rsidRPr="00A54314" w:rsidR="009B2E0D" w:rsidTr="00D23270" w14:paraId="37DF0664" w14:textId="77777777">
        <w:tc>
          <w:tcPr>
            <w:tcW w:w="567" w:type="dxa"/>
          </w:tcPr>
          <w:p w:rsidRPr="00A54314" w:rsidR="009B2E0D" w:rsidRDefault="00603C2F" w14:paraId="18B5CBED" w14:textId="77777777">
            <w:pPr>
              <w:rPr>
                <w:rFonts w:ascii="Verdana" w:hAnsi="Verdana"/>
                <w:sz w:val="18"/>
                <w:szCs w:val="18"/>
              </w:rPr>
            </w:pPr>
            <w:r w:rsidRPr="00A54314">
              <w:rPr>
                <w:rFonts w:ascii="Verdana" w:hAnsi="Verdana"/>
                <w:sz w:val="18"/>
                <w:szCs w:val="18"/>
              </w:rPr>
              <w:t>6</w:t>
            </w:r>
          </w:p>
        </w:tc>
        <w:tc>
          <w:tcPr>
            <w:tcW w:w="8505" w:type="dxa"/>
          </w:tcPr>
          <w:p w:rsidRPr="00A54314" w:rsidR="00A54314" w:rsidP="00450C9C" w:rsidRDefault="00603C2F" w14:paraId="115D003E" w14:textId="03ED4611">
            <w:pPr>
              <w:rPr>
                <w:rFonts w:ascii="Verdana" w:hAnsi="Verdana"/>
                <w:sz w:val="18"/>
                <w:szCs w:val="18"/>
              </w:rPr>
            </w:pPr>
            <w:r w:rsidRPr="00A54314">
              <w:rPr>
                <w:rFonts w:ascii="Verdana" w:hAnsi="Verdana"/>
                <w:sz w:val="18"/>
                <w:szCs w:val="18"/>
              </w:rPr>
              <w:t>Wordt er ook budget beschikbaar gesteld om internationale ov-verbindingen een aantrekkelijker alternatief te maken dan luchtvaart?</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Antwoord:</w:t>
            </w:r>
            <w:r w:rsidRPr="00A54314">
              <w:rPr>
                <w:rFonts w:ascii="Verdana" w:hAnsi="Verdana"/>
                <w:sz w:val="18"/>
                <w:szCs w:val="18"/>
              </w:rPr>
              <w:br/>
              <w:t>Internationaal personenvervoer per spoor wordt</w:t>
            </w:r>
            <w:r w:rsidRPr="00A54314">
              <w:rPr>
                <w:rFonts w:ascii="Verdana" w:hAnsi="Verdana"/>
                <w:sz w:val="18"/>
                <w:szCs w:val="18"/>
              </w:rPr>
              <w:t xml:space="preserve"> uitgevoerd onder condities van open toegang tot de markt en infrastructuur. Dat wil zeggen dat spoorvervoerders geen openbaar dienstcontract met concessieverlenende overheden hebben en daarmee ook niet financieel gecompenseerd worden voor het uitvoeren va</w:t>
            </w:r>
            <w:r w:rsidRPr="00A54314">
              <w:rPr>
                <w:rFonts w:ascii="Verdana" w:hAnsi="Verdana"/>
                <w:sz w:val="18"/>
                <w:szCs w:val="18"/>
              </w:rPr>
              <w:t xml:space="preserve">n die diensten. Uitzonderingen hierop zijn enkele regionale grensoverschrijdende verbindingen die een contract hebben met de concessieverlenende overheid (veelal </w:t>
            </w:r>
            <w:r w:rsidRPr="00A54314" w:rsidR="003565F4">
              <w:rPr>
                <w:rFonts w:ascii="Verdana" w:hAnsi="Verdana"/>
                <w:sz w:val="18"/>
                <w:szCs w:val="18"/>
              </w:rPr>
              <w:t xml:space="preserve">de </w:t>
            </w:r>
            <w:r w:rsidRPr="00A54314">
              <w:rPr>
                <w:rFonts w:ascii="Verdana" w:hAnsi="Verdana"/>
                <w:sz w:val="18"/>
                <w:szCs w:val="18"/>
              </w:rPr>
              <w:t>provincie). Daarnaast is de IC Amsterdam – Brussel opgenomen in de concessie voor het hoofd</w:t>
            </w:r>
            <w:r w:rsidRPr="00A54314">
              <w:rPr>
                <w:rFonts w:ascii="Verdana" w:hAnsi="Verdana"/>
                <w:sz w:val="18"/>
                <w:szCs w:val="18"/>
              </w:rPr>
              <w:t>railnet, omdat deze verbinding ook van belang is voor reizigers binnen Nederland. Voor de gehele dienstverlening op het hoofdrailnet ontvangt de NS een concessiesubsidie. </w:t>
            </w:r>
            <w:r w:rsidRPr="00A54314">
              <w:rPr>
                <w:rFonts w:ascii="Verdana" w:hAnsi="Verdana"/>
                <w:sz w:val="18"/>
                <w:szCs w:val="18"/>
              </w:rPr>
              <w:br/>
              <w:t> </w:t>
            </w:r>
            <w:r w:rsidRPr="00A54314">
              <w:rPr>
                <w:rFonts w:ascii="Verdana" w:hAnsi="Verdana"/>
                <w:sz w:val="18"/>
                <w:szCs w:val="18"/>
              </w:rPr>
              <w:br/>
              <w:t>Bij open toegang treinen is er daarmee geen sprake van financiële compensatie door</w:t>
            </w:r>
            <w:r w:rsidRPr="00A54314">
              <w:rPr>
                <w:rFonts w:ascii="Verdana" w:hAnsi="Verdana"/>
                <w:sz w:val="18"/>
                <w:szCs w:val="18"/>
              </w:rPr>
              <w:t xml:space="preserve"> de overheid. Vervoerders betalen allemaal de gebruiksvergoeding voor het gebruik van de infrastructuur. Deze gebruiksvergoeding betreft een beperkt deel van de totale instandhoudingskosten voor de spoorweginfrastructuur. De resterende kosten voor de insta</w:t>
            </w:r>
            <w:r w:rsidRPr="00A54314">
              <w:rPr>
                <w:rFonts w:ascii="Verdana" w:hAnsi="Verdana"/>
                <w:sz w:val="18"/>
                <w:szCs w:val="18"/>
              </w:rPr>
              <w:t>ndhouding van de infrastructuur worden gedragen door de infrastructuurbeheerder ProRail, die daarvoor vanuit het ministerie van IenW jaarlijks subsidie ontvangt. </w:t>
            </w:r>
            <w:r w:rsidRPr="00A54314">
              <w:rPr>
                <w:rFonts w:ascii="Verdana" w:hAnsi="Verdana"/>
                <w:sz w:val="18"/>
                <w:szCs w:val="18"/>
              </w:rPr>
              <w:br/>
              <w:t> </w:t>
            </w:r>
            <w:r w:rsidRPr="00A54314">
              <w:rPr>
                <w:rFonts w:ascii="Verdana" w:hAnsi="Verdana"/>
                <w:sz w:val="18"/>
                <w:szCs w:val="18"/>
              </w:rPr>
              <w:br/>
              <w:t xml:space="preserve">In het regeerakkoord is aangegeven dat het kabinet ruimte wil geven aan innovatieve nieuwe </w:t>
            </w:r>
            <w:r w:rsidRPr="00A54314">
              <w:rPr>
                <w:rFonts w:ascii="Verdana" w:hAnsi="Verdana"/>
                <w:sz w:val="18"/>
                <w:szCs w:val="18"/>
              </w:rPr>
              <w:t>aanbieders op het spoor, specifiek voor nachttreinen en internationale spoorverbindingen. Hier zullen we komende jaren invulling aan geven. Met de recente wijziging van het Besluit Capaciteitsverdeling is bijvoorbeeld al meer ruimte geboden aan internation</w:t>
            </w:r>
            <w:r w:rsidRPr="00A54314">
              <w:rPr>
                <w:rFonts w:ascii="Verdana" w:hAnsi="Verdana"/>
                <w:sz w:val="18"/>
                <w:szCs w:val="18"/>
              </w:rPr>
              <w:t xml:space="preserve">aal reizigersvervoer per spoor. De Kamer wordt over de ambities uit het coalitieakkoord via de reguliere brieven aangaande internationaal reizigersvervoer per spoor geïnformeerd. Daar wordt ook ingegaan op de inzet van het kabinet voor het ontwikkelen van </w:t>
            </w:r>
            <w:r w:rsidRPr="00A54314">
              <w:rPr>
                <w:rFonts w:ascii="Verdana" w:hAnsi="Verdana"/>
                <w:sz w:val="18"/>
                <w:szCs w:val="18"/>
              </w:rPr>
              <w:t>de markt voor internationaal personenvervoer en hoe internationaal spoorvervoer op deelmarkten een aantrekkelijk alternatief kan zijn voor de luchtvaart.</w:t>
            </w:r>
            <w:r w:rsidRPr="00A54314">
              <w:rPr>
                <w:rFonts w:ascii="Verdana" w:hAnsi="Verdana"/>
                <w:sz w:val="18"/>
                <w:szCs w:val="18"/>
              </w:rPr>
              <w:br/>
            </w:r>
          </w:p>
        </w:tc>
      </w:tr>
      <w:tr w:rsidRPr="00A54314" w:rsidR="009B2E0D" w:rsidTr="00D23270" w14:paraId="6F5B484F" w14:textId="77777777">
        <w:tc>
          <w:tcPr>
            <w:tcW w:w="567" w:type="dxa"/>
          </w:tcPr>
          <w:p w:rsidRPr="00A54314" w:rsidR="009B2E0D" w:rsidRDefault="00603C2F" w14:paraId="02050931" w14:textId="77777777">
            <w:pPr>
              <w:rPr>
                <w:rFonts w:ascii="Verdana" w:hAnsi="Verdana"/>
                <w:sz w:val="18"/>
                <w:szCs w:val="18"/>
              </w:rPr>
            </w:pPr>
            <w:r w:rsidRPr="00A54314">
              <w:rPr>
                <w:rFonts w:ascii="Verdana" w:hAnsi="Verdana"/>
                <w:sz w:val="18"/>
                <w:szCs w:val="18"/>
              </w:rPr>
              <w:t>7</w:t>
            </w:r>
          </w:p>
        </w:tc>
        <w:tc>
          <w:tcPr>
            <w:tcW w:w="8505" w:type="dxa"/>
          </w:tcPr>
          <w:p w:rsidRPr="00A54314" w:rsidR="009B2E0D" w:rsidRDefault="00603C2F" w14:paraId="163E4EA2" w14:textId="5D289BE1">
            <w:pPr>
              <w:rPr>
                <w:rFonts w:ascii="Verdana" w:hAnsi="Verdana"/>
                <w:sz w:val="18"/>
                <w:szCs w:val="18"/>
              </w:rPr>
            </w:pPr>
            <w:r w:rsidRPr="00A54314">
              <w:rPr>
                <w:rFonts w:ascii="Verdana" w:hAnsi="Verdana"/>
                <w:sz w:val="18"/>
                <w:szCs w:val="18"/>
              </w:rPr>
              <w:t>Uit welke middelen zou het het meest logisch zijn om de eventuele reparatiebonus die nu onderzocht</w:t>
            </w:r>
            <w:r w:rsidRPr="00A54314">
              <w:rPr>
                <w:rFonts w:ascii="Verdana" w:hAnsi="Verdana"/>
                <w:sz w:val="18"/>
                <w:szCs w:val="18"/>
              </w:rPr>
              <w:t xml:space="preserve"> wordt door het ministerie te betalen?</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Antwoord:</w:t>
            </w:r>
            <w:r w:rsidRPr="00A54314">
              <w:rPr>
                <w:rFonts w:ascii="Verdana" w:hAnsi="Verdana"/>
                <w:sz w:val="18"/>
                <w:szCs w:val="18"/>
              </w:rPr>
              <w:br/>
              <w:t>Het onderzoek naar een reparatiebonus wordt binnenkort met de Kamer gedeeld in een verzamelbrief circulaire economie. Uit het onderzoek komt naar voren dat een reparatiebonussysteem wel tot extra reparaties</w:t>
            </w:r>
            <w:r w:rsidRPr="00A54314">
              <w:rPr>
                <w:rFonts w:ascii="Verdana" w:hAnsi="Verdana"/>
                <w:sz w:val="18"/>
                <w:szCs w:val="18"/>
              </w:rPr>
              <w:t xml:space="preserve"> leidt, maar tegen hele hoge kosten. Hier is geen budget voor binnen de begroting van Artikel 21 Circulaire Economie. Naast een reparatie bonussysteem kijkt het kabinet ook naar alternatieve manieren om reparatie te stimuleren.</w:t>
            </w:r>
            <w:r w:rsidRPr="00A54314">
              <w:rPr>
                <w:rFonts w:ascii="Verdana" w:hAnsi="Verdana"/>
                <w:sz w:val="18"/>
                <w:szCs w:val="18"/>
              </w:rPr>
              <w:br/>
            </w:r>
          </w:p>
        </w:tc>
      </w:tr>
      <w:tr w:rsidRPr="00A54314" w:rsidR="009B2E0D" w:rsidTr="00D23270" w14:paraId="5C84A3B8" w14:textId="77777777">
        <w:tc>
          <w:tcPr>
            <w:tcW w:w="567" w:type="dxa"/>
          </w:tcPr>
          <w:p w:rsidRPr="00A54314" w:rsidR="009B2E0D" w:rsidRDefault="00603C2F" w14:paraId="1BF1FD08" w14:textId="77777777">
            <w:pPr>
              <w:rPr>
                <w:rFonts w:ascii="Verdana" w:hAnsi="Verdana"/>
                <w:sz w:val="18"/>
                <w:szCs w:val="18"/>
              </w:rPr>
            </w:pPr>
            <w:r w:rsidRPr="00A54314">
              <w:rPr>
                <w:rFonts w:ascii="Verdana" w:hAnsi="Verdana"/>
                <w:sz w:val="18"/>
                <w:szCs w:val="18"/>
              </w:rPr>
              <w:t>8</w:t>
            </w:r>
          </w:p>
        </w:tc>
        <w:tc>
          <w:tcPr>
            <w:tcW w:w="8505" w:type="dxa"/>
          </w:tcPr>
          <w:p w:rsidRPr="00A54314" w:rsidR="009B2E0D" w:rsidRDefault="00603C2F" w14:paraId="2D84D8F9" w14:textId="2C5117FF">
            <w:pPr>
              <w:rPr>
                <w:rFonts w:ascii="Verdana" w:hAnsi="Verdana"/>
                <w:sz w:val="18"/>
                <w:szCs w:val="18"/>
              </w:rPr>
            </w:pPr>
            <w:r w:rsidRPr="00A54314">
              <w:rPr>
                <w:rFonts w:ascii="Verdana" w:hAnsi="Verdana"/>
                <w:sz w:val="18"/>
                <w:szCs w:val="18"/>
              </w:rPr>
              <w:t>Op welke wijze is de kas</w:t>
            </w:r>
            <w:r w:rsidRPr="00A54314">
              <w:rPr>
                <w:rFonts w:ascii="Verdana" w:hAnsi="Verdana"/>
                <w:sz w:val="18"/>
                <w:szCs w:val="18"/>
              </w:rPr>
              <w:t>schuif van € 267,1 miljoen voor Hoofdstuk XII (nummer 10) voor 2026 opgebouwd?</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Antwoord:</w:t>
            </w:r>
            <w:r w:rsidRPr="00A54314">
              <w:rPr>
                <w:rFonts w:ascii="Verdana" w:hAnsi="Verdana"/>
                <w:sz w:val="18"/>
                <w:szCs w:val="18"/>
              </w:rPr>
              <w:br/>
              <w:t>De kasschuif op begrotingshoofdstuk XII van in totaal € 267,1 miljoen is als volgt opgebouwd:</w:t>
            </w:r>
            <w:r w:rsidRPr="00A54314">
              <w:rPr>
                <w:rFonts w:ascii="Verdana" w:hAnsi="Verdana"/>
                <w:sz w:val="18"/>
                <w:szCs w:val="18"/>
              </w:rPr>
              <w:br/>
              <w:t>-    € 95,1 miljoen op de Vrachtwagenheffing </w:t>
            </w:r>
            <w:r w:rsidRPr="00A54314">
              <w:rPr>
                <w:rFonts w:ascii="Verdana" w:hAnsi="Verdana"/>
                <w:sz w:val="18"/>
                <w:szCs w:val="18"/>
              </w:rPr>
              <w:br/>
              <w:t>-    € 42,2 miljoen op het</w:t>
            </w:r>
            <w:r w:rsidRPr="00A54314">
              <w:rPr>
                <w:rFonts w:ascii="Verdana" w:hAnsi="Verdana"/>
                <w:sz w:val="18"/>
                <w:szCs w:val="18"/>
              </w:rPr>
              <w:t xml:space="preserve"> NGF-project Luchtvaart in Transitie</w:t>
            </w:r>
            <w:r w:rsidRPr="00A54314">
              <w:rPr>
                <w:rFonts w:ascii="Verdana" w:hAnsi="Verdana"/>
                <w:sz w:val="18"/>
                <w:szCs w:val="18"/>
              </w:rPr>
              <w:br/>
              <w:t>-    € 21,6 miljoen op het NGF-project Dutch Metropolitan Innovations</w:t>
            </w:r>
            <w:r w:rsidRPr="00A54314">
              <w:rPr>
                <w:rFonts w:ascii="Verdana" w:hAnsi="Verdana"/>
                <w:sz w:val="18"/>
                <w:szCs w:val="18"/>
              </w:rPr>
              <w:br/>
              <w:t>-    € 12,8 miljoen op het NGF-project Maritiem Masterplan</w:t>
            </w:r>
            <w:r w:rsidRPr="00A54314">
              <w:rPr>
                <w:rFonts w:ascii="Verdana" w:hAnsi="Verdana"/>
                <w:sz w:val="18"/>
                <w:szCs w:val="18"/>
              </w:rPr>
              <w:br/>
              <w:t>-    € 60,6 miljoen op het klimaatfondsbudget, met name voor duurzame mobiliteit</w:t>
            </w:r>
            <w:r w:rsidRPr="00A54314">
              <w:rPr>
                <w:rFonts w:ascii="Verdana" w:hAnsi="Verdana"/>
                <w:sz w:val="18"/>
                <w:szCs w:val="18"/>
              </w:rPr>
              <w:br/>
              <w:t>-    € 34</w:t>
            </w:r>
            <w:r w:rsidRPr="00A54314">
              <w:rPr>
                <w:rFonts w:ascii="Verdana" w:hAnsi="Verdana"/>
                <w:sz w:val="18"/>
                <w:szCs w:val="18"/>
              </w:rPr>
              <w:t>,8 miljoen op diverse overige posten. </w:t>
            </w:r>
            <w:r w:rsidRPr="00A54314">
              <w:rPr>
                <w:rFonts w:ascii="Verdana" w:hAnsi="Verdana"/>
                <w:sz w:val="18"/>
                <w:szCs w:val="18"/>
              </w:rPr>
              <w:br/>
            </w:r>
          </w:p>
        </w:tc>
      </w:tr>
      <w:tr w:rsidRPr="00A54314" w:rsidR="009B2E0D" w:rsidTr="00D23270" w14:paraId="56DDBAF0" w14:textId="77777777">
        <w:tc>
          <w:tcPr>
            <w:tcW w:w="567" w:type="dxa"/>
          </w:tcPr>
          <w:p w:rsidRPr="00A54314" w:rsidR="009B2E0D" w:rsidRDefault="00603C2F" w14:paraId="6789ACD2" w14:textId="77777777">
            <w:pPr>
              <w:rPr>
                <w:rFonts w:ascii="Verdana" w:hAnsi="Verdana"/>
                <w:sz w:val="18"/>
                <w:szCs w:val="18"/>
              </w:rPr>
            </w:pPr>
            <w:r w:rsidRPr="00A54314">
              <w:rPr>
                <w:rFonts w:ascii="Verdana" w:hAnsi="Verdana"/>
                <w:sz w:val="18"/>
                <w:szCs w:val="18"/>
              </w:rPr>
              <w:t>9</w:t>
            </w:r>
          </w:p>
        </w:tc>
        <w:tc>
          <w:tcPr>
            <w:tcW w:w="8505" w:type="dxa"/>
          </w:tcPr>
          <w:p w:rsidRPr="00A54314" w:rsidR="003565F4" w:rsidRDefault="00603C2F" w14:paraId="32CFED9C" w14:textId="50F1CA7E">
            <w:pPr>
              <w:rPr>
                <w:rFonts w:ascii="Verdana" w:hAnsi="Verdana"/>
                <w:color w:val="FF0000"/>
                <w:sz w:val="18"/>
                <w:szCs w:val="18"/>
              </w:rPr>
            </w:pPr>
            <w:r w:rsidRPr="00A54314">
              <w:rPr>
                <w:rFonts w:ascii="Verdana" w:hAnsi="Verdana"/>
                <w:sz w:val="18"/>
                <w:szCs w:val="18"/>
              </w:rPr>
              <w:t>Kunt u toelichten hoe deze kasschuif van € 267,1 miljoen aansluit op de individuele begrotingsartikelen?</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Antwoord:</w:t>
            </w:r>
            <w:r w:rsidRPr="00A54314">
              <w:rPr>
                <w:rFonts w:ascii="Verdana" w:hAnsi="Verdana"/>
                <w:sz w:val="18"/>
                <w:szCs w:val="18"/>
              </w:rPr>
              <w:br/>
              <w:t xml:space="preserve">In </w:t>
            </w:r>
            <w:r w:rsidRPr="00A54314" w:rsidR="00D23270">
              <w:rPr>
                <w:rFonts w:ascii="Verdana" w:hAnsi="Verdana"/>
                <w:sz w:val="18"/>
                <w:szCs w:val="18"/>
              </w:rPr>
              <w:t>onderstaande</w:t>
            </w:r>
            <w:r w:rsidRPr="00A54314">
              <w:rPr>
                <w:rFonts w:ascii="Verdana" w:hAnsi="Verdana"/>
                <w:sz w:val="18"/>
                <w:szCs w:val="18"/>
              </w:rPr>
              <w:t xml:space="preserve"> tabel is de opbouw van de kasschuif per beleidsartikel weergeven (bedragen x € 1.000).</w:t>
            </w:r>
            <w:r w:rsidRPr="00A54314">
              <w:rPr>
                <w:rFonts w:ascii="Verdana" w:hAnsi="Verdana"/>
                <w:sz w:val="18"/>
                <w:szCs w:val="18"/>
              </w:rPr>
              <w:br/>
            </w:r>
          </w:p>
          <w:tbl>
            <w:tblPr>
              <w:tblStyle w:val="TableGrid"/>
              <w:tblW w:w="8392" w:type="dxa"/>
              <w:tblLayout w:type="fixed"/>
              <w:tblLook w:val="04A0" w:firstRow="1" w:lastRow="0" w:firstColumn="1" w:lastColumn="0" w:noHBand="0" w:noVBand="1"/>
            </w:tblPr>
            <w:tblGrid>
              <w:gridCol w:w="2017"/>
              <w:gridCol w:w="1134"/>
              <w:gridCol w:w="1134"/>
              <w:gridCol w:w="989"/>
              <w:gridCol w:w="995"/>
              <w:gridCol w:w="1131"/>
              <w:gridCol w:w="992"/>
            </w:tblGrid>
            <w:tr w:rsidRPr="00A54314" w:rsidR="00D23270" w:rsidTr="00450C9C" w14:paraId="5A1F6E06" w14:textId="77777777">
              <w:trPr>
                <w:trHeight w:val="288"/>
              </w:trPr>
              <w:tc>
                <w:tcPr>
                  <w:tcW w:w="8392" w:type="dxa"/>
                  <w:gridSpan w:val="7"/>
                  <w:noWrap/>
                </w:tcPr>
                <w:p w:rsidRPr="00450C9C" w:rsidR="00D23270" w:rsidP="00D23270" w:rsidRDefault="00D23270" w14:paraId="2CF1FA63" w14:textId="15243296">
                  <w:pPr>
                    <w:rPr>
                      <w:rFonts w:ascii="Verdana" w:hAnsi="Verdana"/>
                      <w:b/>
                      <w:bCs/>
                      <w:sz w:val="16"/>
                      <w:szCs w:val="16"/>
                    </w:rPr>
                  </w:pPr>
                  <w:r w:rsidRPr="00450C9C">
                    <w:rPr>
                      <w:rFonts w:ascii="Verdana" w:hAnsi="Verdana"/>
                      <w:b/>
                      <w:bCs/>
                      <w:sz w:val="16"/>
                      <w:szCs w:val="16"/>
                    </w:rPr>
                    <w:t>Overzicht kasschuif HXII per artikel (bedragen x € 1.000)</w:t>
                  </w:r>
                </w:p>
              </w:tc>
            </w:tr>
            <w:tr w:rsidRPr="00A54314" w:rsidR="00D23270" w:rsidTr="00450C9C" w14:paraId="1BBC206A" w14:textId="77777777">
              <w:trPr>
                <w:trHeight w:val="288"/>
              </w:trPr>
              <w:tc>
                <w:tcPr>
                  <w:tcW w:w="2017" w:type="dxa"/>
                  <w:noWrap/>
                  <w:hideMark/>
                </w:tcPr>
                <w:p w:rsidRPr="00450C9C" w:rsidR="003565F4" w:rsidP="003565F4" w:rsidRDefault="003565F4" w14:paraId="6DDB4BCA" w14:textId="77777777">
                  <w:pPr>
                    <w:rPr>
                      <w:rFonts w:ascii="Verdana" w:hAnsi="Verdana"/>
                      <w:b/>
                      <w:bCs/>
                      <w:sz w:val="16"/>
                      <w:szCs w:val="16"/>
                    </w:rPr>
                  </w:pPr>
                  <w:r w:rsidRPr="00450C9C">
                    <w:rPr>
                      <w:rFonts w:ascii="Verdana" w:hAnsi="Verdana"/>
                      <w:b/>
                      <w:bCs/>
                      <w:sz w:val="16"/>
                      <w:szCs w:val="16"/>
                    </w:rPr>
                    <w:t>Artikel</w:t>
                  </w:r>
                </w:p>
              </w:tc>
              <w:tc>
                <w:tcPr>
                  <w:tcW w:w="1134" w:type="dxa"/>
                  <w:noWrap/>
                  <w:hideMark/>
                </w:tcPr>
                <w:p w:rsidRPr="00450C9C" w:rsidR="003565F4" w:rsidP="003565F4" w:rsidRDefault="003565F4" w14:paraId="10F78796" w14:textId="77777777">
                  <w:pPr>
                    <w:jc w:val="right"/>
                    <w:rPr>
                      <w:rFonts w:ascii="Verdana" w:hAnsi="Verdana"/>
                      <w:b/>
                      <w:bCs/>
                      <w:sz w:val="16"/>
                      <w:szCs w:val="16"/>
                    </w:rPr>
                  </w:pPr>
                  <w:r w:rsidRPr="00450C9C">
                    <w:rPr>
                      <w:rFonts w:ascii="Verdana" w:hAnsi="Verdana"/>
                      <w:b/>
                      <w:bCs/>
                      <w:sz w:val="16"/>
                      <w:szCs w:val="16"/>
                    </w:rPr>
                    <w:t>2026</w:t>
                  </w:r>
                </w:p>
              </w:tc>
              <w:tc>
                <w:tcPr>
                  <w:tcW w:w="1134" w:type="dxa"/>
                  <w:noWrap/>
                  <w:hideMark/>
                </w:tcPr>
                <w:p w:rsidRPr="00450C9C" w:rsidR="003565F4" w:rsidP="003565F4" w:rsidRDefault="003565F4" w14:paraId="03193B12" w14:textId="77777777">
                  <w:pPr>
                    <w:jc w:val="right"/>
                    <w:rPr>
                      <w:rFonts w:ascii="Verdana" w:hAnsi="Verdana"/>
                      <w:b/>
                      <w:bCs/>
                      <w:sz w:val="16"/>
                      <w:szCs w:val="16"/>
                    </w:rPr>
                  </w:pPr>
                  <w:r w:rsidRPr="00450C9C">
                    <w:rPr>
                      <w:rFonts w:ascii="Verdana" w:hAnsi="Verdana"/>
                      <w:b/>
                      <w:bCs/>
                      <w:sz w:val="16"/>
                      <w:szCs w:val="16"/>
                    </w:rPr>
                    <w:t>2027</w:t>
                  </w:r>
                </w:p>
              </w:tc>
              <w:tc>
                <w:tcPr>
                  <w:tcW w:w="989" w:type="dxa"/>
                  <w:noWrap/>
                  <w:hideMark/>
                </w:tcPr>
                <w:p w:rsidRPr="00450C9C" w:rsidR="003565F4" w:rsidP="003565F4" w:rsidRDefault="003565F4" w14:paraId="79FBD024" w14:textId="77777777">
                  <w:pPr>
                    <w:jc w:val="right"/>
                    <w:rPr>
                      <w:rFonts w:ascii="Verdana" w:hAnsi="Verdana"/>
                      <w:b/>
                      <w:bCs/>
                      <w:sz w:val="16"/>
                      <w:szCs w:val="16"/>
                    </w:rPr>
                  </w:pPr>
                  <w:r w:rsidRPr="00450C9C">
                    <w:rPr>
                      <w:rFonts w:ascii="Verdana" w:hAnsi="Verdana"/>
                      <w:b/>
                      <w:bCs/>
                      <w:sz w:val="16"/>
                      <w:szCs w:val="16"/>
                    </w:rPr>
                    <w:t>2028</w:t>
                  </w:r>
                </w:p>
              </w:tc>
              <w:tc>
                <w:tcPr>
                  <w:tcW w:w="995" w:type="dxa"/>
                  <w:noWrap/>
                  <w:hideMark/>
                </w:tcPr>
                <w:p w:rsidRPr="00450C9C" w:rsidR="003565F4" w:rsidP="003565F4" w:rsidRDefault="003565F4" w14:paraId="4C6CF488" w14:textId="77777777">
                  <w:pPr>
                    <w:jc w:val="right"/>
                    <w:rPr>
                      <w:rFonts w:ascii="Verdana" w:hAnsi="Verdana"/>
                      <w:b/>
                      <w:bCs/>
                      <w:sz w:val="16"/>
                      <w:szCs w:val="16"/>
                    </w:rPr>
                  </w:pPr>
                  <w:r w:rsidRPr="00450C9C">
                    <w:rPr>
                      <w:rFonts w:ascii="Verdana" w:hAnsi="Verdana"/>
                      <w:b/>
                      <w:bCs/>
                      <w:sz w:val="16"/>
                      <w:szCs w:val="16"/>
                    </w:rPr>
                    <w:t>2029</w:t>
                  </w:r>
                </w:p>
              </w:tc>
              <w:tc>
                <w:tcPr>
                  <w:tcW w:w="1131" w:type="dxa"/>
                  <w:noWrap/>
                  <w:hideMark/>
                </w:tcPr>
                <w:p w:rsidRPr="00450C9C" w:rsidR="003565F4" w:rsidP="003565F4" w:rsidRDefault="003565F4" w14:paraId="0AEDF521" w14:textId="77777777">
                  <w:pPr>
                    <w:jc w:val="right"/>
                    <w:rPr>
                      <w:rFonts w:ascii="Verdana" w:hAnsi="Verdana"/>
                      <w:b/>
                      <w:bCs/>
                      <w:sz w:val="16"/>
                      <w:szCs w:val="16"/>
                    </w:rPr>
                  </w:pPr>
                  <w:r w:rsidRPr="00450C9C">
                    <w:rPr>
                      <w:rFonts w:ascii="Verdana" w:hAnsi="Verdana"/>
                      <w:b/>
                      <w:bCs/>
                      <w:sz w:val="16"/>
                      <w:szCs w:val="16"/>
                    </w:rPr>
                    <w:t>2030</w:t>
                  </w:r>
                </w:p>
              </w:tc>
              <w:tc>
                <w:tcPr>
                  <w:tcW w:w="992" w:type="dxa"/>
                  <w:noWrap/>
                  <w:hideMark/>
                </w:tcPr>
                <w:p w:rsidRPr="00450C9C" w:rsidR="003565F4" w:rsidP="003565F4" w:rsidRDefault="003565F4" w14:paraId="65E19FCB" w14:textId="77777777">
                  <w:pPr>
                    <w:jc w:val="right"/>
                    <w:rPr>
                      <w:rFonts w:ascii="Verdana" w:hAnsi="Verdana"/>
                      <w:b/>
                      <w:bCs/>
                      <w:sz w:val="16"/>
                      <w:szCs w:val="16"/>
                    </w:rPr>
                  </w:pPr>
                  <w:r w:rsidRPr="00450C9C">
                    <w:rPr>
                      <w:rFonts w:ascii="Verdana" w:hAnsi="Verdana"/>
                      <w:b/>
                      <w:bCs/>
                      <w:sz w:val="16"/>
                      <w:szCs w:val="16"/>
                    </w:rPr>
                    <w:t>2031</w:t>
                  </w:r>
                </w:p>
              </w:tc>
            </w:tr>
            <w:tr w:rsidRPr="00A54314" w:rsidR="00D23270" w:rsidTr="00450C9C" w14:paraId="73627EAB" w14:textId="77777777">
              <w:trPr>
                <w:trHeight w:val="288"/>
              </w:trPr>
              <w:tc>
                <w:tcPr>
                  <w:tcW w:w="2017" w:type="dxa"/>
                  <w:noWrap/>
                  <w:hideMark/>
                </w:tcPr>
                <w:p w:rsidRPr="00450C9C" w:rsidR="003565F4" w:rsidP="003565F4" w:rsidRDefault="003565F4" w14:paraId="1B344B0A" w14:textId="31D556DA">
                  <w:pPr>
                    <w:rPr>
                      <w:rFonts w:ascii="Verdana" w:hAnsi="Verdana"/>
                      <w:sz w:val="16"/>
                      <w:szCs w:val="16"/>
                    </w:rPr>
                  </w:pPr>
                  <w:r w:rsidRPr="00450C9C">
                    <w:rPr>
                      <w:rFonts w:ascii="Verdana" w:hAnsi="Verdana"/>
                      <w:sz w:val="16"/>
                      <w:szCs w:val="16"/>
                    </w:rPr>
                    <w:t>11</w:t>
                  </w:r>
                  <w:r w:rsidRPr="00450C9C" w:rsidR="00D23270">
                    <w:rPr>
                      <w:rFonts w:ascii="Verdana" w:hAnsi="Verdana"/>
                      <w:sz w:val="16"/>
                      <w:szCs w:val="16"/>
                    </w:rPr>
                    <w:t xml:space="preserve"> Integraal Waterbeleid</w:t>
                  </w:r>
                </w:p>
              </w:tc>
              <w:tc>
                <w:tcPr>
                  <w:tcW w:w="1134" w:type="dxa"/>
                  <w:noWrap/>
                  <w:hideMark/>
                </w:tcPr>
                <w:p w:rsidRPr="00450C9C" w:rsidR="003565F4" w:rsidP="003565F4" w:rsidRDefault="003565F4" w14:paraId="402F91E1" w14:textId="77777777">
                  <w:pPr>
                    <w:jc w:val="right"/>
                    <w:rPr>
                      <w:rFonts w:ascii="Verdana" w:hAnsi="Verdana"/>
                      <w:sz w:val="16"/>
                      <w:szCs w:val="16"/>
                    </w:rPr>
                  </w:pPr>
                  <w:r w:rsidRPr="00450C9C">
                    <w:rPr>
                      <w:rFonts w:ascii="Verdana" w:hAnsi="Verdana"/>
                      <w:sz w:val="16"/>
                      <w:szCs w:val="16"/>
                    </w:rPr>
                    <w:t>642</w:t>
                  </w:r>
                </w:p>
              </w:tc>
              <w:tc>
                <w:tcPr>
                  <w:tcW w:w="1134" w:type="dxa"/>
                  <w:noWrap/>
                  <w:hideMark/>
                </w:tcPr>
                <w:p w:rsidRPr="00450C9C" w:rsidR="003565F4" w:rsidP="003565F4" w:rsidRDefault="003565F4" w14:paraId="7BFC3702" w14:textId="77777777">
                  <w:pPr>
                    <w:jc w:val="right"/>
                    <w:rPr>
                      <w:rFonts w:ascii="Verdana" w:hAnsi="Verdana"/>
                      <w:sz w:val="16"/>
                      <w:szCs w:val="16"/>
                    </w:rPr>
                  </w:pPr>
                  <w:r w:rsidRPr="00450C9C">
                    <w:rPr>
                      <w:rFonts w:ascii="Verdana" w:hAnsi="Verdana"/>
                      <w:sz w:val="16"/>
                      <w:szCs w:val="16"/>
                    </w:rPr>
                    <w:t>-552</w:t>
                  </w:r>
                </w:p>
              </w:tc>
              <w:tc>
                <w:tcPr>
                  <w:tcW w:w="989" w:type="dxa"/>
                  <w:noWrap/>
                  <w:hideMark/>
                </w:tcPr>
                <w:p w:rsidRPr="00450C9C" w:rsidR="003565F4" w:rsidP="003565F4" w:rsidRDefault="003565F4" w14:paraId="15D73281" w14:textId="77777777">
                  <w:pPr>
                    <w:jc w:val="right"/>
                    <w:rPr>
                      <w:rFonts w:ascii="Verdana" w:hAnsi="Verdana"/>
                      <w:sz w:val="16"/>
                      <w:szCs w:val="16"/>
                    </w:rPr>
                  </w:pPr>
                  <w:r w:rsidRPr="00450C9C">
                    <w:rPr>
                      <w:rFonts w:ascii="Verdana" w:hAnsi="Verdana"/>
                      <w:sz w:val="16"/>
                      <w:szCs w:val="16"/>
                    </w:rPr>
                    <w:t>-90</w:t>
                  </w:r>
                </w:p>
              </w:tc>
              <w:tc>
                <w:tcPr>
                  <w:tcW w:w="995" w:type="dxa"/>
                  <w:noWrap/>
                  <w:hideMark/>
                </w:tcPr>
                <w:p w:rsidRPr="00450C9C" w:rsidR="003565F4" w:rsidP="003565F4" w:rsidRDefault="003565F4" w14:paraId="7BB92C31" w14:textId="77777777">
                  <w:pPr>
                    <w:jc w:val="right"/>
                    <w:rPr>
                      <w:rFonts w:ascii="Verdana" w:hAnsi="Verdana"/>
                      <w:sz w:val="16"/>
                      <w:szCs w:val="16"/>
                    </w:rPr>
                  </w:pPr>
                  <w:r w:rsidRPr="00450C9C">
                    <w:rPr>
                      <w:rFonts w:ascii="Verdana" w:hAnsi="Verdana"/>
                      <w:sz w:val="16"/>
                      <w:szCs w:val="16"/>
                    </w:rPr>
                    <w:t>0</w:t>
                  </w:r>
                </w:p>
              </w:tc>
              <w:tc>
                <w:tcPr>
                  <w:tcW w:w="1131" w:type="dxa"/>
                  <w:noWrap/>
                  <w:hideMark/>
                </w:tcPr>
                <w:p w:rsidRPr="00450C9C" w:rsidR="003565F4" w:rsidP="003565F4" w:rsidRDefault="003565F4" w14:paraId="09E14FE3" w14:textId="77777777">
                  <w:pPr>
                    <w:jc w:val="right"/>
                    <w:rPr>
                      <w:rFonts w:ascii="Verdana" w:hAnsi="Verdana"/>
                      <w:sz w:val="16"/>
                      <w:szCs w:val="16"/>
                    </w:rPr>
                  </w:pPr>
                  <w:r w:rsidRPr="00450C9C">
                    <w:rPr>
                      <w:rFonts w:ascii="Verdana" w:hAnsi="Verdana"/>
                      <w:sz w:val="16"/>
                      <w:szCs w:val="16"/>
                    </w:rPr>
                    <w:t>0</w:t>
                  </w:r>
                </w:p>
              </w:tc>
              <w:tc>
                <w:tcPr>
                  <w:tcW w:w="992" w:type="dxa"/>
                  <w:noWrap/>
                  <w:hideMark/>
                </w:tcPr>
                <w:p w:rsidRPr="00450C9C" w:rsidR="003565F4" w:rsidP="003565F4" w:rsidRDefault="003565F4" w14:paraId="23C26326" w14:textId="77777777">
                  <w:pPr>
                    <w:jc w:val="right"/>
                    <w:rPr>
                      <w:rFonts w:ascii="Verdana" w:hAnsi="Verdana"/>
                      <w:sz w:val="16"/>
                      <w:szCs w:val="16"/>
                    </w:rPr>
                  </w:pPr>
                  <w:r w:rsidRPr="00450C9C">
                    <w:rPr>
                      <w:rFonts w:ascii="Verdana" w:hAnsi="Verdana"/>
                      <w:sz w:val="16"/>
                      <w:szCs w:val="16"/>
                    </w:rPr>
                    <w:t>0</w:t>
                  </w:r>
                </w:p>
              </w:tc>
            </w:tr>
            <w:tr w:rsidRPr="00A54314" w:rsidR="00D23270" w:rsidTr="00450C9C" w14:paraId="7370530F" w14:textId="77777777">
              <w:trPr>
                <w:trHeight w:val="288"/>
              </w:trPr>
              <w:tc>
                <w:tcPr>
                  <w:tcW w:w="2017" w:type="dxa"/>
                  <w:noWrap/>
                  <w:hideMark/>
                </w:tcPr>
                <w:p w:rsidRPr="00450C9C" w:rsidR="003565F4" w:rsidP="003565F4" w:rsidRDefault="003565F4" w14:paraId="24A26C78" w14:textId="39AA241A">
                  <w:pPr>
                    <w:rPr>
                      <w:rFonts w:ascii="Verdana" w:hAnsi="Verdana"/>
                      <w:sz w:val="16"/>
                      <w:szCs w:val="16"/>
                    </w:rPr>
                  </w:pPr>
                  <w:r w:rsidRPr="00450C9C">
                    <w:rPr>
                      <w:rFonts w:ascii="Verdana" w:hAnsi="Verdana"/>
                      <w:sz w:val="16"/>
                      <w:szCs w:val="16"/>
                    </w:rPr>
                    <w:t>14</w:t>
                  </w:r>
                  <w:r w:rsidRPr="00450C9C" w:rsidR="00D23270">
                    <w:rPr>
                      <w:rFonts w:ascii="Verdana" w:hAnsi="Verdana"/>
                      <w:sz w:val="16"/>
                      <w:szCs w:val="16"/>
                    </w:rPr>
                    <w:t xml:space="preserve"> Wegen en Verkeersveiligheid</w:t>
                  </w:r>
                </w:p>
              </w:tc>
              <w:tc>
                <w:tcPr>
                  <w:tcW w:w="1134" w:type="dxa"/>
                  <w:noWrap/>
                  <w:hideMark/>
                </w:tcPr>
                <w:p w:rsidRPr="00450C9C" w:rsidR="003565F4" w:rsidP="003565F4" w:rsidRDefault="003565F4" w14:paraId="0628054C" w14:textId="77777777">
                  <w:pPr>
                    <w:jc w:val="right"/>
                    <w:rPr>
                      <w:rFonts w:ascii="Verdana" w:hAnsi="Verdana"/>
                      <w:sz w:val="16"/>
                      <w:szCs w:val="16"/>
                    </w:rPr>
                  </w:pPr>
                  <w:r w:rsidRPr="00450C9C">
                    <w:rPr>
                      <w:rFonts w:ascii="Verdana" w:hAnsi="Verdana"/>
                      <w:sz w:val="16"/>
                      <w:szCs w:val="16"/>
                    </w:rPr>
                    <w:t>-108.466</w:t>
                  </w:r>
                </w:p>
              </w:tc>
              <w:tc>
                <w:tcPr>
                  <w:tcW w:w="1134" w:type="dxa"/>
                  <w:noWrap/>
                  <w:hideMark/>
                </w:tcPr>
                <w:p w:rsidRPr="00450C9C" w:rsidR="003565F4" w:rsidP="003565F4" w:rsidRDefault="003565F4" w14:paraId="485FF5F2" w14:textId="77777777">
                  <w:pPr>
                    <w:jc w:val="right"/>
                    <w:rPr>
                      <w:rFonts w:ascii="Verdana" w:hAnsi="Verdana"/>
                      <w:sz w:val="16"/>
                      <w:szCs w:val="16"/>
                    </w:rPr>
                  </w:pPr>
                  <w:r w:rsidRPr="00450C9C">
                    <w:rPr>
                      <w:rFonts w:ascii="Verdana" w:hAnsi="Verdana"/>
                      <w:sz w:val="16"/>
                      <w:szCs w:val="16"/>
                    </w:rPr>
                    <w:t>-15.736</w:t>
                  </w:r>
                </w:p>
              </w:tc>
              <w:tc>
                <w:tcPr>
                  <w:tcW w:w="989" w:type="dxa"/>
                  <w:noWrap/>
                  <w:hideMark/>
                </w:tcPr>
                <w:p w:rsidRPr="00450C9C" w:rsidR="003565F4" w:rsidP="003565F4" w:rsidRDefault="003565F4" w14:paraId="246B2DBE" w14:textId="77777777">
                  <w:pPr>
                    <w:jc w:val="right"/>
                    <w:rPr>
                      <w:rFonts w:ascii="Verdana" w:hAnsi="Verdana"/>
                      <w:sz w:val="16"/>
                      <w:szCs w:val="16"/>
                    </w:rPr>
                  </w:pPr>
                  <w:r w:rsidRPr="00450C9C">
                    <w:rPr>
                      <w:rFonts w:ascii="Verdana" w:hAnsi="Verdana"/>
                      <w:sz w:val="16"/>
                      <w:szCs w:val="16"/>
                    </w:rPr>
                    <w:t>41.888</w:t>
                  </w:r>
                </w:p>
              </w:tc>
              <w:tc>
                <w:tcPr>
                  <w:tcW w:w="995" w:type="dxa"/>
                  <w:noWrap/>
                  <w:hideMark/>
                </w:tcPr>
                <w:p w:rsidRPr="00450C9C" w:rsidR="003565F4" w:rsidP="003565F4" w:rsidRDefault="003565F4" w14:paraId="3EC689EC" w14:textId="77777777">
                  <w:pPr>
                    <w:jc w:val="right"/>
                    <w:rPr>
                      <w:rFonts w:ascii="Verdana" w:hAnsi="Verdana"/>
                      <w:sz w:val="16"/>
                      <w:szCs w:val="16"/>
                    </w:rPr>
                  </w:pPr>
                  <w:r w:rsidRPr="00450C9C">
                    <w:rPr>
                      <w:rFonts w:ascii="Verdana" w:hAnsi="Verdana"/>
                      <w:sz w:val="16"/>
                      <w:szCs w:val="16"/>
                    </w:rPr>
                    <w:t>35.564</w:t>
                  </w:r>
                </w:p>
              </w:tc>
              <w:tc>
                <w:tcPr>
                  <w:tcW w:w="1131" w:type="dxa"/>
                  <w:noWrap/>
                  <w:hideMark/>
                </w:tcPr>
                <w:p w:rsidRPr="00450C9C" w:rsidR="003565F4" w:rsidP="003565F4" w:rsidRDefault="003565F4" w14:paraId="61A5E98A" w14:textId="77777777">
                  <w:pPr>
                    <w:jc w:val="right"/>
                    <w:rPr>
                      <w:rFonts w:ascii="Verdana" w:hAnsi="Verdana"/>
                      <w:sz w:val="16"/>
                      <w:szCs w:val="16"/>
                    </w:rPr>
                  </w:pPr>
                  <w:r w:rsidRPr="00450C9C">
                    <w:rPr>
                      <w:rFonts w:ascii="Verdana" w:hAnsi="Verdana"/>
                      <w:sz w:val="16"/>
                      <w:szCs w:val="16"/>
                    </w:rPr>
                    <w:t>23.800</w:t>
                  </w:r>
                </w:p>
              </w:tc>
              <w:tc>
                <w:tcPr>
                  <w:tcW w:w="992" w:type="dxa"/>
                  <w:noWrap/>
                  <w:hideMark/>
                </w:tcPr>
                <w:p w:rsidRPr="00450C9C" w:rsidR="003565F4" w:rsidP="003565F4" w:rsidRDefault="003565F4" w14:paraId="34FD45ED" w14:textId="77777777">
                  <w:pPr>
                    <w:jc w:val="right"/>
                    <w:rPr>
                      <w:rFonts w:ascii="Verdana" w:hAnsi="Verdana"/>
                      <w:sz w:val="16"/>
                      <w:szCs w:val="16"/>
                    </w:rPr>
                  </w:pPr>
                  <w:r w:rsidRPr="00450C9C">
                    <w:rPr>
                      <w:rFonts w:ascii="Verdana" w:hAnsi="Verdana"/>
                      <w:sz w:val="16"/>
                      <w:szCs w:val="16"/>
                    </w:rPr>
                    <w:t>22.950</w:t>
                  </w:r>
                </w:p>
              </w:tc>
            </w:tr>
            <w:tr w:rsidRPr="00A54314" w:rsidR="00D23270" w:rsidTr="00450C9C" w14:paraId="15F97CC1" w14:textId="77777777">
              <w:trPr>
                <w:trHeight w:val="288"/>
              </w:trPr>
              <w:tc>
                <w:tcPr>
                  <w:tcW w:w="2017" w:type="dxa"/>
                  <w:noWrap/>
                  <w:hideMark/>
                </w:tcPr>
                <w:p w:rsidRPr="00450C9C" w:rsidR="003565F4" w:rsidP="003565F4" w:rsidRDefault="003565F4" w14:paraId="372F6EF8" w14:textId="7EDA15A2">
                  <w:pPr>
                    <w:rPr>
                      <w:rFonts w:ascii="Verdana" w:hAnsi="Verdana"/>
                      <w:sz w:val="16"/>
                      <w:szCs w:val="16"/>
                    </w:rPr>
                  </w:pPr>
                  <w:r w:rsidRPr="00450C9C">
                    <w:rPr>
                      <w:rFonts w:ascii="Verdana" w:hAnsi="Verdana"/>
                      <w:sz w:val="16"/>
                      <w:szCs w:val="16"/>
                    </w:rPr>
                    <w:t>15</w:t>
                  </w:r>
                  <w:r w:rsidRPr="00450C9C" w:rsidR="00D23270">
                    <w:rPr>
                      <w:rFonts w:ascii="Verdana" w:hAnsi="Verdana"/>
                      <w:sz w:val="16"/>
                      <w:szCs w:val="16"/>
                    </w:rPr>
                    <w:t xml:space="preserve"> Vrachtwagenheffing</w:t>
                  </w:r>
                </w:p>
              </w:tc>
              <w:tc>
                <w:tcPr>
                  <w:tcW w:w="1134" w:type="dxa"/>
                  <w:noWrap/>
                  <w:hideMark/>
                </w:tcPr>
                <w:p w:rsidRPr="00450C9C" w:rsidR="003565F4" w:rsidP="003565F4" w:rsidRDefault="003565F4" w14:paraId="31C0F823" w14:textId="77777777">
                  <w:pPr>
                    <w:jc w:val="right"/>
                    <w:rPr>
                      <w:rFonts w:ascii="Verdana" w:hAnsi="Verdana"/>
                      <w:sz w:val="16"/>
                      <w:szCs w:val="16"/>
                    </w:rPr>
                  </w:pPr>
                  <w:r w:rsidRPr="00450C9C">
                    <w:rPr>
                      <w:rFonts w:ascii="Verdana" w:hAnsi="Verdana"/>
                      <w:sz w:val="16"/>
                      <w:szCs w:val="16"/>
                    </w:rPr>
                    <w:t>-95.074</w:t>
                  </w:r>
                </w:p>
              </w:tc>
              <w:tc>
                <w:tcPr>
                  <w:tcW w:w="1134" w:type="dxa"/>
                  <w:noWrap/>
                  <w:hideMark/>
                </w:tcPr>
                <w:p w:rsidRPr="00450C9C" w:rsidR="003565F4" w:rsidP="003565F4" w:rsidRDefault="003565F4" w14:paraId="52FC1A99" w14:textId="77777777">
                  <w:pPr>
                    <w:jc w:val="right"/>
                    <w:rPr>
                      <w:rFonts w:ascii="Verdana" w:hAnsi="Verdana"/>
                      <w:sz w:val="16"/>
                      <w:szCs w:val="16"/>
                    </w:rPr>
                  </w:pPr>
                  <w:r w:rsidRPr="00450C9C">
                    <w:rPr>
                      <w:rFonts w:ascii="Verdana" w:hAnsi="Verdana"/>
                      <w:sz w:val="16"/>
                      <w:szCs w:val="16"/>
                    </w:rPr>
                    <w:t>-63.577</w:t>
                  </w:r>
                </w:p>
              </w:tc>
              <w:tc>
                <w:tcPr>
                  <w:tcW w:w="989" w:type="dxa"/>
                  <w:noWrap/>
                  <w:hideMark/>
                </w:tcPr>
                <w:p w:rsidRPr="00450C9C" w:rsidR="003565F4" w:rsidP="003565F4" w:rsidRDefault="003565F4" w14:paraId="2C954F27" w14:textId="77777777">
                  <w:pPr>
                    <w:jc w:val="right"/>
                    <w:rPr>
                      <w:rFonts w:ascii="Verdana" w:hAnsi="Verdana"/>
                      <w:sz w:val="16"/>
                      <w:szCs w:val="16"/>
                    </w:rPr>
                  </w:pPr>
                  <w:r w:rsidRPr="00450C9C">
                    <w:rPr>
                      <w:rFonts w:ascii="Verdana" w:hAnsi="Verdana"/>
                      <w:sz w:val="16"/>
                      <w:szCs w:val="16"/>
                    </w:rPr>
                    <w:t>-13.109</w:t>
                  </w:r>
                </w:p>
              </w:tc>
              <w:tc>
                <w:tcPr>
                  <w:tcW w:w="995" w:type="dxa"/>
                  <w:noWrap/>
                  <w:hideMark/>
                </w:tcPr>
                <w:p w:rsidRPr="00450C9C" w:rsidR="003565F4" w:rsidP="003565F4" w:rsidRDefault="003565F4" w14:paraId="770A5066" w14:textId="77777777">
                  <w:pPr>
                    <w:jc w:val="right"/>
                    <w:rPr>
                      <w:rFonts w:ascii="Verdana" w:hAnsi="Verdana"/>
                      <w:sz w:val="16"/>
                      <w:szCs w:val="16"/>
                    </w:rPr>
                  </w:pPr>
                  <w:r w:rsidRPr="00450C9C">
                    <w:rPr>
                      <w:rFonts w:ascii="Verdana" w:hAnsi="Verdana"/>
                      <w:sz w:val="16"/>
                      <w:szCs w:val="16"/>
                    </w:rPr>
                    <w:t>-1.877</w:t>
                  </w:r>
                </w:p>
              </w:tc>
              <w:tc>
                <w:tcPr>
                  <w:tcW w:w="1131" w:type="dxa"/>
                  <w:noWrap/>
                  <w:hideMark/>
                </w:tcPr>
                <w:p w:rsidRPr="00450C9C" w:rsidR="003565F4" w:rsidP="003565F4" w:rsidRDefault="003565F4" w14:paraId="61BB52F6" w14:textId="77777777">
                  <w:pPr>
                    <w:jc w:val="right"/>
                    <w:rPr>
                      <w:rFonts w:ascii="Verdana" w:hAnsi="Verdana"/>
                      <w:sz w:val="16"/>
                      <w:szCs w:val="16"/>
                    </w:rPr>
                  </w:pPr>
                  <w:r w:rsidRPr="00450C9C">
                    <w:rPr>
                      <w:rFonts w:ascii="Verdana" w:hAnsi="Verdana"/>
                      <w:sz w:val="16"/>
                      <w:szCs w:val="16"/>
                    </w:rPr>
                    <w:t>-22.223</w:t>
                  </w:r>
                </w:p>
              </w:tc>
              <w:tc>
                <w:tcPr>
                  <w:tcW w:w="992" w:type="dxa"/>
                  <w:noWrap/>
                  <w:hideMark/>
                </w:tcPr>
                <w:p w:rsidRPr="00450C9C" w:rsidR="003565F4" w:rsidP="003565F4" w:rsidRDefault="003565F4" w14:paraId="6A6A9596" w14:textId="77777777">
                  <w:pPr>
                    <w:jc w:val="right"/>
                    <w:rPr>
                      <w:rFonts w:ascii="Verdana" w:hAnsi="Verdana"/>
                      <w:sz w:val="16"/>
                      <w:szCs w:val="16"/>
                    </w:rPr>
                  </w:pPr>
                  <w:r w:rsidRPr="00450C9C">
                    <w:rPr>
                      <w:rFonts w:ascii="Verdana" w:hAnsi="Verdana"/>
                      <w:sz w:val="16"/>
                      <w:szCs w:val="16"/>
                    </w:rPr>
                    <w:t>195.860</w:t>
                  </w:r>
                </w:p>
              </w:tc>
            </w:tr>
            <w:tr w:rsidRPr="00A54314" w:rsidR="00D23270" w:rsidTr="00450C9C" w14:paraId="7047B0B4" w14:textId="77777777">
              <w:trPr>
                <w:trHeight w:val="288"/>
              </w:trPr>
              <w:tc>
                <w:tcPr>
                  <w:tcW w:w="2017" w:type="dxa"/>
                  <w:noWrap/>
                  <w:hideMark/>
                </w:tcPr>
                <w:p w:rsidRPr="00450C9C" w:rsidR="003565F4" w:rsidP="003565F4" w:rsidRDefault="003565F4" w14:paraId="5BFE2A65" w14:textId="55D08AB7">
                  <w:pPr>
                    <w:rPr>
                      <w:rFonts w:ascii="Verdana" w:hAnsi="Verdana"/>
                      <w:sz w:val="16"/>
                      <w:szCs w:val="16"/>
                    </w:rPr>
                  </w:pPr>
                  <w:r w:rsidRPr="00450C9C">
                    <w:rPr>
                      <w:rFonts w:ascii="Verdana" w:hAnsi="Verdana"/>
                      <w:sz w:val="16"/>
                      <w:szCs w:val="16"/>
                    </w:rPr>
                    <w:t>17</w:t>
                  </w:r>
                  <w:r w:rsidRPr="00450C9C" w:rsidR="00D23270">
                    <w:rPr>
                      <w:rFonts w:ascii="Verdana" w:hAnsi="Verdana"/>
                      <w:sz w:val="16"/>
                      <w:szCs w:val="16"/>
                    </w:rPr>
                    <w:t xml:space="preserve"> Luchtvaart</w:t>
                  </w:r>
                </w:p>
              </w:tc>
              <w:tc>
                <w:tcPr>
                  <w:tcW w:w="1134" w:type="dxa"/>
                  <w:noWrap/>
                  <w:hideMark/>
                </w:tcPr>
                <w:p w:rsidRPr="00450C9C" w:rsidR="003565F4" w:rsidP="003565F4" w:rsidRDefault="003565F4" w14:paraId="40AD450D" w14:textId="77777777">
                  <w:pPr>
                    <w:jc w:val="right"/>
                    <w:rPr>
                      <w:rFonts w:ascii="Verdana" w:hAnsi="Verdana"/>
                      <w:sz w:val="16"/>
                      <w:szCs w:val="16"/>
                    </w:rPr>
                  </w:pPr>
                  <w:r w:rsidRPr="00450C9C">
                    <w:rPr>
                      <w:rFonts w:ascii="Verdana" w:hAnsi="Verdana"/>
                      <w:sz w:val="16"/>
                      <w:szCs w:val="16"/>
                    </w:rPr>
                    <w:t>-47.457</w:t>
                  </w:r>
                </w:p>
              </w:tc>
              <w:tc>
                <w:tcPr>
                  <w:tcW w:w="1134" w:type="dxa"/>
                  <w:noWrap/>
                  <w:hideMark/>
                </w:tcPr>
                <w:p w:rsidRPr="00450C9C" w:rsidR="003565F4" w:rsidP="003565F4" w:rsidRDefault="003565F4" w14:paraId="523ECDD3" w14:textId="77777777">
                  <w:pPr>
                    <w:jc w:val="right"/>
                    <w:rPr>
                      <w:rFonts w:ascii="Verdana" w:hAnsi="Verdana"/>
                      <w:sz w:val="16"/>
                      <w:szCs w:val="16"/>
                    </w:rPr>
                  </w:pPr>
                  <w:r w:rsidRPr="00450C9C">
                    <w:rPr>
                      <w:rFonts w:ascii="Verdana" w:hAnsi="Verdana"/>
                      <w:sz w:val="16"/>
                      <w:szCs w:val="16"/>
                    </w:rPr>
                    <w:t>9.534</w:t>
                  </w:r>
                </w:p>
              </w:tc>
              <w:tc>
                <w:tcPr>
                  <w:tcW w:w="989" w:type="dxa"/>
                  <w:noWrap/>
                  <w:hideMark/>
                </w:tcPr>
                <w:p w:rsidRPr="00450C9C" w:rsidR="003565F4" w:rsidP="003565F4" w:rsidRDefault="003565F4" w14:paraId="4E6B0A24" w14:textId="77777777">
                  <w:pPr>
                    <w:jc w:val="right"/>
                    <w:rPr>
                      <w:rFonts w:ascii="Verdana" w:hAnsi="Verdana"/>
                      <w:sz w:val="16"/>
                      <w:szCs w:val="16"/>
                    </w:rPr>
                  </w:pPr>
                  <w:r w:rsidRPr="00450C9C">
                    <w:rPr>
                      <w:rFonts w:ascii="Verdana" w:hAnsi="Verdana"/>
                      <w:sz w:val="16"/>
                      <w:szCs w:val="16"/>
                    </w:rPr>
                    <w:t>5.817</w:t>
                  </w:r>
                </w:p>
              </w:tc>
              <w:tc>
                <w:tcPr>
                  <w:tcW w:w="995" w:type="dxa"/>
                  <w:noWrap/>
                  <w:hideMark/>
                </w:tcPr>
                <w:p w:rsidRPr="00450C9C" w:rsidR="003565F4" w:rsidP="003565F4" w:rsidRDefault="003565F4" w14:paraId="7B70F5E5" w14:textId="77777777">
                  <w:pPr>
                    <w:jc w:val="right"/>
                    <w:rPr>
                      <w:rFonts w:ascii="Verdana" w:hAnsi="Verdana"/>
                      <w:sz w:val="16"/>
                      <w:szCs w:val="16"/>
                    </w:rPr>
                  </w:pPr>
                  <w:r w:rsidRPr="00450C9C">
                    <w:rPr>
                      <w:rFonts w:ascii="Verdana" w:hAnsi="Verdana"/>
                      <w:sz w:val="16"/>
                      <w:szCs w:val="16"/>
                    </w:rPr>
                    <w:t>30.389</w:t>
                  </w:r>
                </w:p>
              </w:tc>
              <w:tc>
                <w:tcPr>
                  <w:tcW w:w="1131" w:type="dxa"/>
                  <w:noWrap/>
                  <w:hideMark/>
                </w:tcPr>
                <w:p w:rsidRPr="00450C9C" w:rsidR="003565F4" w:rsidP="003565F4" w:rsidRDefault="003565F4" w14:paraId="379644D5" w14:textId="77777777">
                  <w:pPr>
                    <w:jc w:val="right"/>
                    <w:rPr>
                      <w:rFonts w:ascii="Verdana" w:hAnsi="Verdana"/>
                      <w:sz w:val="16"/>
                      <w:szCs w:val="16"/>
                    </w:rPr>
                  </w:pPr>
                  <w:r w:rsidRPr="00450C9C">
                    <w:rPr>
                      <w:rFonts w:ascii="Verdana" w:hAnsi="Verdana"/>
                      <w:sz w:val="16"/>
                      <w:szCs w:val="16"/>
                    </w:rPr>
                    <w:t>-14.701</w:t>
                  </w:r>
                </w:p>
              </w:tc>
              <w:tc>
                <w:tcPr>
                  <w:tcW w:w="992" w:type="dxa"/>
                  <w:noWrap/>
                  <w:hideMark/>
                </w:tcPr>
                <w:p w:rsidRPr="00450C9C" w:rsidR="003565F4" w:rsidP="003565F4" w:rsidRDefault="003565F4" w14:paraId="1ADB75EC" w14:textId="77777777">
                  <w:pPr>
                    <w:jc w:val="right"/>
                    <w:rPr>
                      <w:rFonts w:ascii="Verdana" w:hAnsi="Verdana"/>
                      <w:sz w:val="16"/>
                      <w:szCs w:val="16"/>
                    </w:rPr>
                  </w:pPr>
                  <w:r w:rsidRPr="00450C9C">
                    <w:rPr>
                      <w:rFonts w:ascii="Verdana" w:hAnsi="Verdana"/>
                      <w:sz w:val="16"/>
                      <w:szCs w:val="16"/>
                    </w:rPr>
                    <w:t>16.418</w:t>
                  </w:r>
                </w:p>
              </w:tc>
            </w:tr>
            <w:tr w:rsidRPr="00A54314" w:rsidR="00D23270" w:rsidTr="00450C9C" w14:paraId="061E8F8E" w14:textId="77777777">
              <w:trPr>
                <w:trHeight w:val="288"/>
              </w:trPr>
              <w:tc>
                <w:tcPr>
                  <w:tcW w:w="2017" w:type="dxa"/>
                  <w:noWrap/>
                  <w:hideMark/>
                </w:tcPr>
                <w:p w:rsidRPr="00450C9C" w:rsidR="003565F4" w:rsidP="003565F4" w:rsidRDefault="003565F4" w14:paraId="0952DEA8" w14:textId="7B496309">
                  <w:pPr>
                    <w:rPr>
                      <w:rFonts w:ascii="Verdana" w:hAnsi="Verdana"/>
                      <w:sz w:val="16"/>
                      <w:szCs w:val="16"/>
                    </w:rPr>
                  </w:pPr>
                  <w:r w:rsidRPr="00450C9C">
                    <w:rPr>
                      <w:rFonts w:ascii="Verdana" w:hAnsi="Verdana"/>
                      <w:sz w:val="16"/>
                      <w:szCs w:val="16"/>
                    </w:rPr>
                    <w:t>18</w:t>
                  </w:r>
                  <w:r w:rsidRPr="00450C9C" w:rsidR="00D23270">
                    <w:rPr>
                      <w:rFonts w:ascii="Verdana" w:hAnsi="Verdana"/>
                      <w:sz w:val="16"/>
                      <w:szCs w:val="16"/>
                    </w:rPr>
                    <w:t xml:space="preserve"> Scheepvaart en Havens</w:t>
                  </w:r>
                </w:p>
              </w:tc>
              <w:tc>
                <w:tcPr>
                  <w:tcW w:w="1134" w:type="dxa"/>
                  <w:noWrap/>
                  <w:hideMark/>
                </w:tcPr>
                <w:p w:rsidRPr="00450C9C" w:rsidR="003565F4" w:rsidP="003565F4" w:rsidRDefault="003565F4" w14:paraId="4B3490D9" w14:textId="77777777">
                  <w:pPr>
                    <w:jc w:val="right"/>
                    <w:rPr>
                      <w:rFonts w:ascii="Verdana" w:hAnsi="Verdana"/>
                      <w:sz w:val="16"/>
                      <w:szCs w:val="16"/>
                    </w:rPr>
                  </w:pPr>
                  <w:r w:rsidRPr="00450C9C">
                    <w:rPr>
                      <w:rFonts w:ascii="Verdana" w:hAnsi="Verdana"/>
                      <w:sz w:val="16"/>
                      <w:szCs w:val="16"/>
                    </w:rPr>
                    <w:t>-11.494</w:t>
                  </w:r>
                </w:p>
              </w:tc>
              <w:tc>
                <w:tcPr>
                  <w:tcW w:w="1134" w:type="dxa"/>
                  <w:noWrap/>
                  <w:hideMark/>
                </w:tcPr>
                <w:p w:rsidRPr="00450C9C" w:rsidR="003565F4" w:rsidP="003565F4" w:rsidRDefault="003565F4" w14:paraId="3AA5A90D" w14:textId="77777777">
                  <w:pPr>
                    <w:jc w:val="right"/>
                    <w:rPr>
                      <w:rFonts w:ascii="Verdana" w:hAnsi="Verdana"/>
                      <w:sz w:val="16"/>
                      <w:szCs w:val="16"/>
                    </w:rPr>
                  </w:pPr>
                  <w:r w:rsidRPr="00450C9C">
                    <w:rPr>
                      <w:rFonts w:ascii="Verdana" w:hAnsi="Verdana"/>
                      <w:sz w:val="16"/>
                      <w:szCs w:val="16"/>
                    </w:rPr>
                    <w:t>18.343</w:t>
                  </w:r>
                </w:p>
              </w:tc>
              <w:tc>
                <w:tcPr>
                  <w:tcW w:w="989" w:type="dxa"/>
                  <w:noWrap/>
                  <w:hideMark/>
                </w:tcPr>
                <w:p w:rsidRPr="00450C9C" w:rsidR="003565F4" w:rsidP="003565F4" w:rsidRDefault="003565F4" w14:paraId="005337DC" w14:textId="77777777">
                  <w:pPr>
                    <w:jc w:val="right"/>
                    <w:rPr>
                      <w:rFonts w:ascii="Verdana" w:hAnsi="Verdana"/>
                      <w:sz w:val="16"/>
                      <w:szCs w:val="16"/>
                    </w:rPr>
                  </w:pPr>
                  <w:r w:rsidRPr="00450C9C">
                    <w:rPr>
                      <w:rFonts w:ascii="Verdana" w:hAnsi="Verdana"/>
                      <w:sz w:val="16"/>
                      <w:szCs w:val="16"/>
                    </w:rPr>
                    <w:t>-19.810</w:t>
                  </w:r>
                </w:p>
              </w:tc>
              <w:tc>
                <w:tcPr>
                  <w:tcW w:w="995" w:type="dxa"/>
                  <w:noWrap/>
                  <w:hideMark/>
                </w:tcPr>
                <w:p w:rsidRPr="00450C9C" w:rsidR="003565F4" w:rsidP="003565F4" w:rsidRDefault="003565F4" w14:paraId="1392A820" w14:textId="77777777">
                  <w:pPr>
                    <w:jc w:val="right"/>
                    <w:rPr>
                      <w:rFonts w:ascii="Verdana" w:hAnsi="Verdana"/>
                      <w:sz w:val="16"/>
                      <w:szCs w:val="16"/>
                    </w:rPr>
                  </w:pPr>
                  <w:r w:rsidRPr="00450C9C">
                    <w:rPr>
                      <w:rFonts w:ascii="Verdana" w:hAnsi="Verdana"/>
                      <w:sz w:val="16"/>
                      <w:szCs w:val="16"/>
                    </w:rPr>
                    <w:t>4.144</w:t>
                  </w:r>
                </w:p>
              </w:tc>
              <w:tc>
                <w:tcPr>
                  <w:tcW w:w="1131" w:type="dxa"/>
                  <w:noWrap/>
                  <w:hideMark/>
                </w:tcPr>
                <w:p w:rsidRPr="00450C9C" w:rsidR="003565F4" w:rsidP="003565F4" w:rsidRDefault="003565F4" w14:paraId="7C4885C0" w14:textId="77777777">
                  <w:pPr>
                    <w:jc w:val="right"/>
                    <w:rPr>
                      <w:rFonts w:ascii="Verdana" w:hAnsi="Verdana"/>
                      <w:sz w:val="16"/>
                      <w:szCs w:val="16"/>
                    </w:rPr>
                  </w:pPr>
                  <w:r w:rsidRPr="00450C9C">
                    <w:rPr>
                      <w:rFonts w:ascii="Verdana" w:hAnsi="Verdana"/>
                      <w:sz w:val="16"/>
                      <w:szCs w:val="16"/>
                    </w:rPr>
                    <w:t>-93.626</w:t>
                  </w:r>
                </w:p>
              </w:tc>
              <w:tc>
                <w:tcPr>
                  <w:tcW w:w="992" w:type="dxa"/>
                  <w:noWrap/>
                  <w:hideMark/>
                </w:tcPr>
                <w:p w:rsidRPr="00450C9C" w:rsidR="003565F4" w:rsidP="003565F4" w:rsidRDefault="003565F4" w14:paraId="054012D1" w14:textId="77777777">
                  <w:pPr>
                    <w:jc w:val="right"/>
                    <w:rPr>
                      <w:rFonts w:ascii="Verdana" w:hAnsi="Verdana"/>
                      <w:sz w:val="16"/>
                      <w:szCs w:val="16"/>
                    </w:rPr>
                  </w:pPr>
                  <w:r w:rsidRPr="00450C9C">
                    <w:rPr>
                      <w:rFonts w:ascii="Verdana" w:hAnsi="Verdana"/>
                      <w:sz w:val="16"/>
                      <w:szCs w:val="16"/>
                    </w:rPr>
                    <w:t>102.443</w:t>
                  </w:r>
                </w:p>
              </w:tc>
            </w:tr>
            <w:tr w:rsidRPr="00A54314" w:rsidR="00D23270" w:rsidTr="00450C9C" w14:paraId="14CAA7CD" w14:textId="77777777">
              <w:trPr>
                <w:trHeight w:val="288"/>
              </w:trPr>
              <w:tc>
                <w:tcPr>
                  <w:tcW w:w="2017" w:type="dxa"/>
                  <w:noWrap/>
                  <w:hideMark/>
                </w:tcPr>
                <w:p w:rsidRPr="00450C9C" w:rsidR="003565F4" w:rsidP="003565F4" w:rsidRDefault="003565F4" w14:paraId="5D75F3D4" w14:textId="322B46F2">
                  <w:pPr>
                    <w:rPr>
                      <w:rFonts w:ascii="Verdana" w:hAnsi="Verdana"/>
                      <w:sz w:val="16"/>
                      <w:szCs w:val="16"/>
                    </w:rPr>
                  </w:pPr>
                  <w:r w:rsidRPr="00450C9C">
                    <w:rPr>
                      <w:rFonts w:ascii="Verdana" w:hAnsi="Verdana"/>
                      <w:sz w:val="16"/>
                      <w:szCs w:val="16"/>
                    </w:rPr>
                    <w:t>21</w:t>
                  </w:r>
                  <w:r w:rsidRPr="00450C9C" w:rsidR="00D23270">
                    <w:rPr>
                      <w:rFonts w:ascii="Verdana" w:hAnsi="Verdana"/>
                      <w:sz w:val="16"/>
                      <w:szCs w:val="16"/>
                    </w:rPr>
                    <w:t xml:space="preserve"> Circulaire Economie</w:t>
                  </w:r>
                </w:p>
              </w:tc>
              <w:tc>
                <w:tcPr>
                  <w:tcW w:w="1134" w:type="dxa"/>
                  <w:noWrap/>
                  <w:hideMark/>
                </w:tcPr>
                <w:p w:rsidRPr="00450C9C" w:rsidR="003565F4" w:rsidP="003565F4" w:rsidRDefault="003565F4" w14:paraId="11180388" w14:textId="77777777">
                  <w:pPr>
                    <w:jc w:val="right"/>
                    <w:rPr>
                      <w:rFonts w:ascii="Verdana" w:hAnsi="Verdana"/>
                      <w:sz w:val="16"/>
                      <w:szCs w:val="16"/>
                    </w:rPr>
                  </w:pPr>
                  <w:r w:rsidRPr="00450C9C">
                    <w:rPr>
                      <w:rFonts w:ascii="Verdana" w:hAnsi="Verdana"/>
                      <w:sz w:val="16"/>
                      <w:szCs w:val="16"/>
                    </w:rPr>
                    <w:t>2.936</w:t>
                  </w:r>
                </w:p>
              </w:tc>
              <w:tc>
                <w:tcPr>
                  <w:tcW w:w="1134" w:type="dxa"/>
                  <w:noWrap/>
                  <w:hideMark/>
                </w:tcPr>
                <w:p w:rsidRPr="00450C9C" w:rsidR="003565F4" w:rsidP="003565F4" w:rsidRDefault="003565F4" w14:paraId="614C2104" w14:textId="77777777">
                  <w:pPr>
                    <w:jc w:val="right"/>
                    <w:rPr>
                      <w:rFonts w:ascii="Verdana" w:hAnsi="Verdana"/>
                      <w:sz w:val="16"/>
                      <w:szCs w:val="16"/>
                    </w:rPr>
                  </w:pPr>
                  <w:r w:rsidRPr="00450C9C">
                    <w:rPr>
                      <w:rFonts w:ascii="Verdana" w:hAnsi="Verdana"/>
                      <w:sz w:val="16"/>
                      <w:szCs w:val="16"/>
                    </w:rPr>
                    <w:t>-3.242</w:t>
                  </w:r>
                </w:p>
              </w:tc>
              <w:tc>
                <w:tcPr>
                  <w:tcW w:w="989" w:type="dxa"/>
                  <w:noWrap/>
                  <w:hideMark/>
                </w:tcPr>
                <w:p w:rsidRPr="00450C9C" w:rsidR="003565F4" w:rsidP="003565F4" w:rsidRDefault="003565F4" w14:paraId="409B8187" w14:textId="77777777">
                  <w:pPr>
                    <w:jc w:val="right"/>
                    <w:rPr>
                      <w:rFonts w:ascii="Verdana" w:hAnsi="Verdana"/>
                      <w:sz w:val="16"/>
                      <w:szCs w:val="16"/>
                    </w:rPr>
                  </w:pPr>
                  <w:r w:rsidRPr="00450C9C">
                    <w:rPr>
                      <w:rFonts w:ascii="Verdana" w:hAnsi="Verdana"/>
                      <w:sz w:val="16"/>
                      <w:szCs w:val="16"/>
                    </w:rPr>
                    <w:t>-465</w:t>
                  </w:r>
                </w:p>
              </w:tc>
              <w:tc>
                <w:tcPr>
                  <w:tcW w:w="995" w:type="dxa"/>
                  <w:noWrap/>
                  <w:hideMark/>
                </w:tcPr>
                <w:p w:rsidRPr="00450C9C" w:rsidR="003565F4" w:rsidP="003565F4" w:rsidRDefault="003565F4" w14:paraId="28C4E12D" w14:textId="77777777">
                  <w:pPr>
                    <w:jc w:val="right"/>
                    <w:rPr>
                      <w:rFonts w:ascii="Verdana" w:hAnsi="Verdana"/>
                      <w:sz w:val="16"/>
                      <w:szCs w:val="16"/>
                    </w:rPr>
                  </w:pPr>
                  <w:r w:rsidRPr="00450C9C">
                    <w:rPr>
                      <w:rFonts w:ascii="Verdana" w:hAnsi="Verdana"/>
                      <w:sz w:val="16"/>
                      <w:szCs w:val="16"/>
                    </w:rPr>
                    <w:t>1.317</w:t>
                  </w:r>
                </w:p>
              </w:tc>
              <w:tc>
                <w:tcPr>
                  <w:tcW w:w="1131" w:type="dxa"/>
                  <w:noWrap/>
                  <w:hideMark/>
                </w:tcPr>
                <w:p w:rsidRPr="00450C9C" w:rsidR="003565F4" w:rsidP="003565F4" w:rsidRDefault="003565F4" w14:paraId="23FF399D" w14:textId="77777777">
                  <w:pPr>
                    <w:jc w:val="right"/>
                    <w:rPr>
                      <w:rFonts w:ascii="Verdana" w:hAnsi="Verdana"/>
                      <w:sz w:val="16"/>
                      <w:szCs w:val="16"/>
                    </w:rPr>
                  </w:pPr>
                  <w:r w:rsidRPr="00450C9C">
                    <w:rPr>
                      <w:rFonts w:ascii="Verdana" w:hAnsi="Verdana"/>
                      <w:sz w:val="16"/>
                      <w:szCs w:val="16"/>
                    </w:rPr>
                    <w:t>-546</w:t>
                  </w:r>
                </w:p>
              </w:tc>
              <w:tc>
                <w:tcPr>
                  <w:tcW w:w="992" w:type="dxa"/>
                  <w:noWrap/>
                  <w:hideMark/>
                </w:tcPr>
                <w:p w:rsidRPr="00450C9C" w:rsidR="003565F4" w:rsidP="003565F4" w:rsidRDefault="003565F4" w14:paraId="115213B4" w14:textId="77777777">
                  <w:pPr>
                    <w:jc w:val="right"/>
                    <w:rPr>
                      <w:rFonts w:ascii="Verdana" w:hAnsi="Verdana"/>
                      <w:sz w:val="16"/>
                      <w:szCs w:val="16"/>
                    </w:rPr>
                  </w:pPr>
                  <w:r w:rsidRPr="00450C9C">
                    <w:rPr>
                      <w:rFonts w:ascii="Verdana" w:hAnsi="Verdana"/>
                      <w:sz w:val="16"/>
                      <w:szCs w:val="16"/>
                    </w:rPr>
                    <w:t>0</w:t>
                  </w:r>
                </w:p>
              </w:tc>
            </w:tr>
            <w:tr w:rsidRPr="00A54314" w:rsidR="00D23270" w:rsidTr="00450C9C" w14:paraId="162E67E0" w14:textId="77777777">
              <w:trPr>
                <w:trHeight w:val="288"/>
              </w:trPr>
              <w:tc>
                <w:tcPr>
                  <w:tcW w:w="2017" w:type="dxa"/>
                  <w:noWrap/>
                  <w:hideMark/>
                </w:tcPr>
                <w:p w:rsidRPr="00450C9C" w:rsidR="003565F4" w:rsidP="003565F4" w:rsidRDefault="003565F4" w14:paraId="3D941AEC" w14:textId="28A816F1">
                  <w:pPr>
                    <w:rPr>
                      <w:rFonts w:ascii="Verdana" w:hAnsi="Verdana"/>
                      <w:sz w:val="16"/>
                      <w:szCs w:val="16"/>
                    </w:rPr>
                  </w:pPr>
                  <w:r w:rsidRPr="00450C9C">
                    <w:rPr>
                      <w:rFonts w:ascii="Verdana" w:hAnsi="Verdana"/>
                      <w:sz w:val="16"/>
                      <w:szCs w:val="16"/>
                    </w:rPr>
                    <w:t>24</w:t>
                  </w:r>
                  <w:r w:rsidRPr="00450C9C" w:rsidR="00D23270">
                    <w:rPr>
                      <w:rFonts w:ascii="Verdana" w:hAnsi="Verdana"/>
                      <w:sz w:val="16"/>
                      <w:szCs w:val="16"/>
                    </w:rPr>
                    <w:t xml:space="preserve"> Inspectie leefomgeving en Transport</w:t>
                  </w:r>
                </w:p>
              </w:tc>
              <w:tc>
                <w:tcPr>
                  <w:tcW w:w="1134" w:type="dxa"/>
                  <w:noWrap/>
                  <w:hideMark/>
                </w:tcPr>
                <w:p w:rsidRPr="00450C9C" w:rsidR="003565F4" w:rsidP="003565F4" w:rsidRDefault="003565F4" w14:paraId="75D99318" w14:textId="77777777">
                  <w:pPr>
                    <w:jc w:val="right"/>
                    <w:rPr>
                      <w:rFonts w:ascii="Verdana" w:hAnsi="Verdana"/>
                      <w:sz w:val="16"/>
                      <w:szCs w:val="16"/>
                    </w:rPr>
                  </w:pPr>
                  <w:r w:rsidRPr="00450C9C">
                    <w:rPr>
                      <w:rFonts w:ascii="Verdana" w:hAnsi="Verdana"/>
                      <w:sz w:val="16"/>
                      <w:szCs w:val="16"/>
                    </w:rPr>
                    <w:t>-250</w:t>
                  </w:r>
                </w:p>
              </w:tc>
              <w:tc>
                <w:tcPr>
                  <w:tcW w:w="1134" w:type="dxa"/>
                  <w:noWrap/>
                  <w:hideMark/>
                </w:tcPr>
                <w:p w:rsidRPr="00450C9C" w:rsidR="003565F4" w:rsidP="003565F4" w:rsidRDefault="003565F4" w14:paraId="36ECE4DF" w14:textId="77777777">
                  <w:pPr>
                    <w:jc w:val="right"/>
                    <w:rPr>
                      <w:rFonts w:ascii="Verdana" w:hAnsi="Verdana"/>
                      <w:sz w:val="16"/>
                      <w:szCs w:val="16"/>
                    </w:rPr>
                  </w:pPr>
                  <w:r w:rsidRPr="00450C9C">
                    <w:rPr>
                      <w:rFonts w:ascii="Verdana" w:hAnsi="Verdana"/>
                      <w:sz w:val="16"/>
                      <w:szCs w:val="16"/>
                    </w:rPr>
                    <w:t>-200</w:t>
                  </w:r>
                </w:p>
              </w:tc>
              <w:tc>
                <w:tcPr>
                  <w:tcW w:w="989" w:type="dxa"/>
                  <w:noWrap/>
                  <w:hideMark/>
                </w:tcPr>
                <w:p w:rsidRPr="00450C9C" w:rsidR="003565F4" w:rsidP="003565F4" w:rsidRDefault="003565F4" w14:paraId="3915213E" w14:textId="77777777">
                  <w:pPr>
                    <w:jc w:val="right"/>
                    <w:rPr>
                      <w:rFonts w:ascii="Verdana" w:hAnsi="Verdana"/>
                      <w:sz w:val="16"/>
                      <w:szCs w:val="16"/>
                    </w:rPr>
                  </w:pPr>
                  <w:r w:rsidRPr="00450C9C">
                    <w:rPr>
                      <w:rFonts w:ascii="Verdana" w:hAnsi="Verdana"/>
                      <w:sz w:val="16"/>
                      <w:szCs w:val="16"/>
                    </w:rPr>
                    <w:t>590</w:t>
                  </w:r>
                </w:p>
              </w:tc>
              <w:tc>
                <w:tcPr>
                  <w:tcW w:w="995" w:type="dxa"/>
                  <w:noWrap/>
                  <w:hideMark/>
                </w:tcPr>
                <w:p w:rsidRPr="00450C9C" w:rsidR="003565F4" w:rsidP="003565F4" w:rsidRDefault="003565F4" w14:paraId="7AA92661" w14:textId="77777777">
                  <w:pPr>
                    <w:jc w:val="right"/>
                    <w:rPr>
                      <w:rFonts w:ascii="Verdana" w:hAnsi="Verdana"/>
                      <w:sz w:val="16"/>
                      <w:szCs w:val="16"/>
                    </w:rPr>
                  </w:pPr>
                  <w:r w:rsidRPr="00450C9C">
                    <w:rPr>
                      <w:rFonts w:ascii="Verdana" w:hAnsi="Verdana"/>
                      <w:sz w:val="16"/>
                      <w:szCs w:val="16"/>
                    </w:rPr>
                    <w:t>590</w:t>
                  </w:r>
                </w:p>
              </w:tc>
              <w:tc>
                <w:tcPr>
                  <w:tcW w:w="1131" w:type="dxa"/>
                  <w:noWrap/>
                  <w:hideMark/>
                </w:tcPr>
                <w:p w:rsidRPr="00450C9C" w:rsidR="003565F4" w:rsidP="003565F4" w:rsidRDefault="003565F4" w14:paraId="463255CB" w14:textId="77777777">
                  <w:pPr>
                    <w:jc w:val="right"/>
                    <w:rPr>
                      <w:rFonts w:ascii="Verdana" w:hAnsi="Verdana"/>
                      <w:sz w:val="16"/>
                      <w:szCs w:val="16"/>
                    </w:rPr>
                  </w:pPr>
                  <w:r w:rsidRPr="00450C9C">
                    <w:rPr>
                      <w:rFonts w:ascii="Verdana" w:hAnsi="Verdana"/>
                      <w:sz w:val="16"/>
                      <w:szCs w:val="16"/>
                    </w:rPr>
                    <w:t>150</w:t>
                  </w:r>
                </w:p>
              </w:tc>
              <w:tc>
                <w:tcPr>
                  <w:tcW w:w="992" w:type="dxa"/>
                  <w:noWrap/>
                  <w:hideMark/>
                </w:tcPr>
                <w:p w:rsidRPr="00450C9C" w:rsidR="003565F4" w:rsidP="003565F4" w:rsidRDefault="003565F4" w14:paraId="14121EA5" w14:textId="77777777">
                  <w:pPr>
                    <w:jc w:val="right"/>
                    <w:rPr>
                      <w:rFonts w:ascii="Verdana" w:hAnsi="Verdana"/>
                      <w:sz w:val="16"/>
                      <w:szCs w:val="16"/>
                    </w:rPr>
                  </w:pPr>
                  <w:r w:rsidRPr="00450C9C">
                    <w:rPr>
                      <w:rFonts w:ascii="Verdana" w:hAnsi="Verdana"/>
                      <w:sz w:val="16"/>
                      <w:szCs w:val="16"/>
                    </w:rPr>
                    <w:t>-880</w:t>
                  </w:r>
                </w:p>
              </w:tc>
            </w:tr>
            <w:tr w:rsidRPr="00A54314" w:rsidR="00D23270" w:rsidTr="00450C9C" w14:paraId="32C9114A" w14:textId="77777777">
              <w:trPr>
                <w:trHeight w:val="288"/>
              </w:trPr>
              <w:tc>
                <w:tcPr>
                  <w:tcW w:w="2017" w:type="dxa"/>
                  <w:noWrap/>
                  <w:hideMark/>
                </w:tcPr>
                <w:p w:rsidRPr="00450C9C" w:rsidR="003565F4" w:rsidP="003565F4" w:rsidRDefault="003565F4" w14:paraId="170F797E" w14:textId="6B3C04B9">
                  <w:pPr>
                    <w:rPr>
                      <w:rFonts w:ascii="Verdana" w:hAnsi="Verdana"/>
                      <w:sz w:val="16"/>
                      <w:szCs w:val="16"/>
                    </w:rPr>
                  </w:pPr>
                  <w:r w:rsidRPr="00450C9C">
                    <w:rPr>
                      <w:rFonts w:ascii="Verdana" w:hAnsi="Verdana"/>
                      <w:sz w:val="16"/>
                      <w:szCs w:val="16"/>
                    </w:rPr>
                    <w:t>98</w:t>
                  </w:r>
                  <w:r w:rsidRPr="00450C9C" w:rsidR="00D23270">
                    <w:rPr>
                      <w:rFonts w:ascii="Verdana" w:hAnsi="Verdana"/>
                      <w:sz w:val="16"/>
                      <w:szCs w:val="16"/>
                    </w:rPr>
                    <w:t xml:space="preserve"> Apparaatsuitgaven Kerndepartement</w:t>
                  </w:r>
                </w:p>
              </w:tc>
              <w:tc>
                <w:tcPr>
                  <w:tcW w:w="1134" w:type="dxa"/>
                  <w:noWrap/>
                  <w:hideMark/>
                </w:tcPr>
                <w:p w:rsidRPr="00450C9C" w:rsidR="003565F4" w:rsidP="003565F4" w:rsidRDefault="003565F4" w14:paraId="47B49DCE" w14:textId="77777777">
                  <w:pPr>
                    <w:jc w:val="right"/>
                    <w:rPr>
                      <w:rFonts w:ascii="Verdana" w:hAnsi="Verdana"/>
                      <w:sz w:val="16"/>
                      <w:szCs w:val="16"/>
                    </w:rPr>
                  </w:pPr>
                  <w:r w:rsidRPr="00450C9C">
                    <w:rPr>
                      <w:rFonts w:ascii="Verdana" w:hAnsi="Verdana"/>
                      <w:sz w:val="16"/>
                      <w:szCs w:val="16"/>
                    </w:rPr>
                    <w:t>-3.879</w:t>
                  </w:r>
                </w:p>
              </w:tc>
              <w:tc>
                <w:tcPr>
                  <w:tcW w:w="1134" w:type="dxa"/>
                  <w:noWrap/>
                  <w:hideMark/>
                </w:tcPr>
                <w:p w:rsidRPr="00450C9C" w:rsidR="003565F4" w:rsidP="003565F4" w:rsidRDefault="003565F4" w14:paraId="7716C92A" w14:textId="77777777">
                  <w:pPr>
                    <w:jc w:val="right"/>
                    <w:rPr>
                      <w:rFonts w:ascii="Verdana" w:hAnsi="Verdana"/>
                      <w:sz w:val="16"/>
                      <w:szCs w:val="16"/>
                    </w:rPr>
                  </w:pPr>
                  <w:r w:rsidRPr="00450C9C">
                    <w:rPr>
                      <w:rFonts w:ascii="Verdana" w:hAnsi="Verdana"/>
                      <w:sz w:val="16"/>
                      <w:szCs w:val="16"/>
                    </w:rPr>
                    <w:t>-6.346</w:t>
                  </w:r>
                </w:p>
              </w:tc>
              <w:tc>
                <w:tcPr>
                  <w:tcW w:w="989" w:type="dxa"/>
                  <w:noWrap/>
                  <w:hideMark/>
                </w:tcPr>
                <w:p w:rsidRPr="00450C9C" w:rsidR="003565F4" w:rsidP="003565F4" w:rsidRDefault="003565F4" w14:paraId="40304E96" w14:textId="77777777">
                  <w:pPr>
                    <w:jc w:val="right"/>
                    <w:rPr>
                      <w:rFonts w:ascii="Verdana" w:hAnsi="Verdana"/>
                      <w:sz w:val="16"/>
                      <w:szCs w:val="16"/>
                    </w:rPr>
                  </w:pPr>
                  <w:r w:rsidRPr="00450C9C">
                    <w:rPr>
                      <w:rFonts w:ascii="Verdana" w:hAnsi="Verdana"/>
                      <w:sz w:val="16"/>
                      <w:szCs w:val="16"/>
                    </w:rPr>
                    <w:t>-2.616</w:t>
                  </w:r>
                </w:p>
              </w:tc>
              <w:tc>
                <w:tcPr>
                  <w:tcW w:w="995" w:type="dxa"/>
                  <w:noWrap/>
                  <w:hideMark/>
                </w:tcPr>
                <w:p w:rsidRPr="00450C9C" w:rsidR="003565F4" w:rsidP="003565F4" w:rsidRDefault="003565F4" w14:paraId="1843B3ED" w14:textId="77777777">
                  <w:pPr>
                    <w:jc w:val="right"/>
                    <w:rPr>
                      <w:rFonts w:ascii="Verdana" w:hAnsi="Verdana"/>
                      <w:sz w:val="16"/>
                      <w:szCs w:val="16"/>
                    </w:rPr>
                  </w:pPr>
                  <w:r w:rsidRPr="00450C9C">
                    <w:rPr>
                      <w:rFonts w:ascii="Verdana" w:hAnsi="Verdana"/>
                      <w:sz w:val="16"/>
                      <w:szCs w:val="16"/>
                    </w:rPr>
                    <w:t>4.135</w:t>
                  </w:r>
                </w:p>
              </w:tc>
              <w:tc>
                <w:tcPr>
                  <w:tcW w:w="1131" w:type="dxa"/>
                  <w:noWrap/>
                  <w:hideMark/>
                </w:tcPr>
                <w:p w:rsidRPr="00450C9C" w:rsidR="003565F4" w:rsidP="003565F4" w:rsidRDefault="003565F4" w14:paraId="785A3FFE" w14:textId="77777777">
                  <w:pPr>
                    <w:jc w:val="right"/>
                    <w:rPr>
                      <w:rFonts w:ascii="Verdana" w:hAnsi="Verdana"/>
                      <w:sz w:val="16"/>
                      <w:szCs w:val="16"/>
                    </w:rPr>
                  </w:pPr>
                  <w:r w:rsidRPr="00450C9C">
                    <w:rPr>
                      <w:rFonts w:ascii="Verdana" w:hAnsi="Verdana"/>
                      <w:sz w:val="16"/>
                      <w:szCs w:val="16"/>
                    </w:rPr>
                    <w:t>3.698</w:t>
                  </w:r>
                </w:p>
              </w:tc>
              <w:tc>
                <w:tcPr>
                  <w:tcW w:w="992" w:type="dxa"/>
                  <w:noWrap/>
                  <w:hideMark/>
                </w:tcPr>
                <w:p w:rsidRPr="00450C9C" w:rsidR="003565F4" w:rsidP="003565F4" w:rsidRDefault="003565F4" w14:paraId="3955FC9E" w14:textId="77777777">
                  <w:pPr>
                    <w:jc w:val="right"/>
                    <w:rPr>
                      <w:rFonts w:ascii="Verdana" w:hAnsi="Verdana"/>
                      <w:sz w:val="16"/>
                      <w:szCs w:val="16"/>
                    </w:rPr>
                  </w:pPr>
                  <w:r w:rsidRPr="00450C9C">
                    <w:rPr>
                      <w:rFonts w:ascii="Verdana" w:hAnsi="Verdana"/>
                      <w:sz w:val="16"/>
                      <w:szCs w:val="16"/>
                    </w:rPr>
                    <w:t>5.008</w:t>
                  </w:r>
                </w:p>
              </w:tc>
            </w:tr>
            <w:tr w:rsidRPr="00A54314" w:rsidR="00D23270" w:rsidTr="00450C9C" w14:paraId="191CEE12" w14:textId="77777777">
              <w:trPr>
                <w:trHeight w:val="300"/>
              </w:trPr>
              <w:tc>
                <w:tcPr>
                  <w:tcW w:w="2017" w:type="dxa"/>
                  <w:noWrap/>
                  <w:hideMark/>
                </w:tcPr>
                <w:p w:rsidRPr="00450C9C" w:rsidR="003565F4" w:rsidP="003565F4" w:rsidRDefault="003565F4" w14:paraId="66A92031" w14:textId="724D9F7B">
                  <w:pPr>
                    <w:rPr>
                      <w:rFonts w:ascii="Verdana" w:hAnsi="Verdana"/>
                      <w:sz w:val="16"/>
                      <w:szCs w:val="16"/>
                    </w:rPr>
                  </w:pPr>
                  <w:r w:rsidRPr="00450C9C">
                    <w:rPr>
                      <w:rFonts w:ascii="Verdana" w:hAnsi="Verdana"/>
                      <w:sz w:val="16"/>
                      <w:szCs w:val="16"/>
                    </w:rPr>
                    <w:t>99</w:t>
                  </w:r>
                  <w:r w:rsidRPr="00450C9C" w:rsidR="00D23270">
                    <w:rPr>
                      <w:rFonts w:ascii="Verdana" w:hAnsi="Verdana"/>
                      <w:sz w:val="16"/>
                      <w:szCs w:val="16"/>
                    </w:rPr>
                    <w:t xml:space="preserve"> Nog Onverdeeld</w:t>
                  </w:r>
                </w:p>
              </w:tc>
              <w:tc>
                <w:tcPr>
                  <w:tcW w:w="1134" w:type="dxa"/>
                  <w:noWrap/>
                  <w:hideMark/>
                </w:tcPr>
                <w:p w:rsidRPr="00450C9C" w:rsidR="003565F4" w:rsidP="003565F4" w:rsidRDefault="003565F4" w14:paraId="0144EF9E" w14:textId="77777777">
                  <w:pPr>
                    <w:jc w:val="right"/>
                    <w:rPr>
                      <w:rFonts w:ascii="Verdana" w:hAnsi="Verdana"/>
                      <w:sz w:val="16"/>
                      <w:szCs w:val="16"/>
                    </w:rPr>
                  </w:pPr>
                  <w:r w:rsidRPr="00450C9C">
                    <w:rPr>
                      <w:rFonts w:ascii="Verdana" w:hAnsi="Verdana"/>
                      <w:sz w:val="16"/>
                      <w:szCs w:val="16"/>
                    </w:rPr>
                    <w:t>-4.086</w:t>
                  </w:r>
                </w:p>
              </w:tc>
              <w:tc>
                <w:tcPr>
                  <w:tcW w:w="1134" w:type="dxa"/>
                  <w:noWrap/>
                  <w:hideMark/>
                </w:tcPr>
                <w:p w:rsidRPr="00450C9C" w:rsidR="003565F4" w:rsidP="003565F4" w:rsidRDefault="003565F4" w14:paraId="4CA91E85" w14:textId="77777777">
                  <w:pPr>
                    <w:jc w:val="right"/>
                    <w:rPr>
                      <w:rFonts w:ascii="Verdana" w:hAnsi="Verdana"/>
                      <w:sz w:val="16"/>
                      <w:szCs w:val="16"/>
                    </w:rPr>
                  </w:pPr>
                  <w:r w:rsidRPr="00450C9C">
                    <w:rPr>
                      <w:rFonts w:ascii="Verdana" w:hAnsi="Verdana"/>
                      <w:sz w:val="16"/>
                      <w:szCs w:val="16"/>
                    </w:rPr>
                    <w:t>6.664</w:t>
                  </w:r>
                </w:p>
              </w:tc>
              <w:tc>
                <w:tcPr>
                  <w:tcW w:w="989" w:type="dxa"/>
                  <w:noWrap/>
                  <w:hideMark/>
                </w:tcPr>
                <w:p w:rsidRPr="00450C9C" w:rsidR="003565F4" w:rsidP="003565F4" w:rsidRDefault="003565F4" w14:paraId="0F04AEE9" w14:textId="77777777">
                  <w:pPr>
                    <w:jc w:val="right"/>
                    <w:rPr>
                      <w:rFonts w:ascii="Verdana" w:hAnsi="Verdana"/>
                      <w:sz w:val="16"/>
                      <w:szCs w:val="16"/>
                    </w:rPr>
                  </w:pPr>
                  <w:r w:rsidRPr="00450C9C">
                    <w:rPr>
                      <w:rFonts w:ascii="Verdana" w:hAnsi="Verdana"/>
                      <w:sz w:val="16"/>
                      <w:szCs w:val="16"/>
                    </w:rPr>
                    <w:t>9.195</w:t>
                  </w:r>
                </w:p>
              </w:tc>
              <w:tc>
                <w:tcPr>
                  <w:tcW w:w="995" w:type="dxa"/>
                  <w:noWrap/>
                  <w:hideMark/>
                </w:tcPr>
                <w:p w:rsidRPr="00450C9C" w:rsidR="003565F4" w:rsidP="003565F4" w:rsidRDefault="003565F4" w14:paraId="41B6D060" w14:textId="77777777">
                  <w:pPr>
                    <w:jc w:val="right"/>
                    <w:rPr>
                      <w:rFonts w:ascii="Verdana" w:hAnsi="Verdana"/>
                      <w:sz w:val="16"/>
                      <w:szCs w:val="16"/>
                    </w:rPr>
                  </w:pPr>
                  <w:r w:rsidRPr="00450C9C">
                    <w:rPr>
                      <w:rFonts w:ascii="Verdana" w:hAnsi="Verdana"/>
                      <w:sz w:val="16"/>
                      <w:szCs w:val="16"/>
                    </w:rPr>
                    <w:t>-3.318</w:t>
                  </w:r>
                </w:p>
              </w:tc>
              <w:tc>
                <w:tcPr>
                  <w:tcW w:w="1131" w:type="dxa"/>
                  <w:noWrap/>
                  <w:hideMark/>
                </w:tcPr>
                <w:p w:rsidRPr="00450C9C" w:rsidR="003565F4" w:rsidP="003565F4" w:rsidRDefault="003565F4" w14:paraId="1D64C167" w14:textId="77777777">
                  <w:pPr>
                    <w:jc w:val="right"/>
                    <w:rPr>
                      <w:rFonts w:ascii="Verdana" w:hAnsi="Verdana"/>
                      <w:sz w:val="16"/>
                      <w:szCs w:val="16"/>
                    </w:rPr>
                  </w:pPr>
                  <w:r w:rsidRPr="00450C9C">
                    <w:rPr>
                      <w:rFonts w:ascii="Verdana" w:hAnsi="Verdana"/>
                      <w:sz w:val="16"/>
                      <w:szCs w:val="16"/>
                    </w:rPr>
                    <w:t>-8.455</w:t>
                  </w:r>
                </w:p>
              </w:tc>
              <w:tc>
                <w:tcPr>
                  <w:tcW w:w="992" w:type="dxa"/>
                  <w:noWrap/>
                  <w:hideMark/>
                </w:tcPr>
                <w:p w:rsidRPr="00450C9C" w:rsidR="003565F4" w:rsidP="003565F4" w:rsidRDefault="003565F4" w14:paraId="3D5C4DAE" w14:textId="77777777">
                  <w:pPr>
                    <w:jc w:val="right"/>
                    <w:rPr>
                      <w:rFonts w:ascii="Verdana" w:hAnsi="Verdana"/>
                      <w:sz w:val="16"/>
                      <w:szCs w:val="16"/>
                    </w:rPr>
                  </w:pPr>
                  <w:r w:rsidRPr="00450C9C">
                    <w:rPr>
                      <w:rFonts w:ascii="Verdana" w:hAnsi="Verdana"/>
                      <w:sz w:val="16"/>
                      <w:szCs w:val="16"/>
                    </w:rPr>
                    <w:t>0</w:t>
                  </w:r>
                </w:p>
              </w:tc>
            </w:tr>
            <w:tr w:rsidRPr="00A54314" w:rsidR="00D23270" w:rsidTr="00450C9C" w14:paraId="76E28565" w14:textId="77777777">
              <w:trPr>
                <w:trHeight w:val="300"/>
              </w:trPr>
              <w:tc>
                <w:tcPr>
                  <w:tcW w:w="2017" w:type="dxa"/>
                  <w:noWrap/>
                  <w:hideMark/>
                </w:tcPr>
                <w:p w:rsidRPr="00450C9C" w:rsidR="003565F4" w:rsidP="003565F4" w:rsidRDefault="003565F4" w14:paraId="05E5E48F" w14:textId="77777777">
                  <w:pPr>
                    <w:rPr>
                      <w:rFonts w:ascii="Verdana" w:hAnsi="Verdana"/>
                      <w:b/>
                      <w:bCs/>
                      <w:sz w:val="16"/>
                      <w:szCs w:val="16"/>
                    </w:rPr>
                  </w:pPr>
                  <w:r w:rsidRPr="00450C9C">
                    <w:rPr>
                      <w:rFonts w:ascii="Verdana" w:hAnsi="Verdana"/>
                      <w:b/>
                      <w:bCs/>
                      <w:sz w:val="16"/>
                      <w:szCs w:val="16"/>
                    </w:rPr>
                    <w:t>Eindtotaal</w:t>
                  </w:r>
                </w:p>
              </w:tc>
              <w:tc>
                <w:tcPr>
                  <w:tcW w:w="1134" w:type="dxa"/>
                  <w:noWrap/>
                  <w:hideMark/>
                </w:tcPr>
                <w:p w:rsidRPr="00450C9C" w:rsidR="003565F4" w:rsidP="003565F4" w:rsidRDefault="003565F4" w14:paraId="5F7E0861" w14:textId="77777777">
                  <w:pPr>
                    <w:jc w:val="right"/>
                    <w:rPr>
                      <w:rFonts w:ascii="Verdana" w:hAnsi="Verdana"/>
                      <w:b/>
                      <w:bCs/>
                      <w:sz w:val="16"/>
                      <w:szCs w:val="16"/>
                    </w:rPr>
                  </w:pPr>
                  <w:r w:rsidRPr="00450C9C">
                    <w:rPr>
                      <w:rFonts w:ascii="Verdana" w:hAnsi="Verdana"/>
                      <w:b/>
                      <w:bCs/>
                      <w:sz w:val="16"/>
                      <w:szCs w:val="16"/>
                    </w:rPr>
                    <w:t>-267.128</w:t>
                  </w:r>
                </w:p>
              </w:tc>
              <w:tc>
                <w:tcPr>
                  <w:tcW w:w="1134" w:type="dxa"/>
                  <w:noWrap/>
                  <w:hideMark/>
                </w:tcPr>
                <w:p w:rsidRPr="00450C9C" w:rsidR="003565F4" w:rsidP="003565F4" w:rsidRDefault="003565F4" w14:paraId="0114678E" w14:textId="77777777">
                  <w:pPr>
                    <w:jc w:val="right"/>
                    <w:rPr>
                      <w:rFonts w:ascii="Verdana" w:hAnsi="Verdana"/>
                      <w:b/>
                      <w:bCs/>
                      <w:sz w:val="16"/>
                      <w:szCs w:val="16"/>
                    </w:rPr>
                  </w:pPr>
                  <w:r w:rsidRPr="00450C9C">
                    <w:rPr>
                      <w:rFonts w:ascii="Verdana" w:hAnsi="Verdana"/>
                      <w:b/>
                      <w:bCs/>
                      <w:sz w:val="16"/>
                      <w:szCs w:val="16"/>
                    </w:rPr>
                    <w:t>-55.112</w:t>
                  </w:r>
                </w:p>
              </w:tc>
              <w:tc>
                <w:tcPr>
                  <w:tcW w:w="989" w:type="dxa"/>
                  <w:noWrap/>
                  <w:hideMark/>
                </w:tcPr>
                <w:p w:rsidRPr="00450C9C" w:rsidR="003565F4" w:rsidP="003565F4" w:rsidRDefault="003565F4" w14:paraId="06D55ECC" w14:textId="77777777">
                  <w:pPr>
                    <w:jc w:val="right"/>
                    <w:rPr>
                      <w:rFonts w:ascii="Verdana" w:hAnsi="Verdana"/>
                      <w:b/>
                      <w:bCs/>
                      <w:sz w:val="16"/>
                      <w:szCs w:val="16"/>
                    </w:rPr>
                  </w:pPr>
                  <w:r w:rsidRPr="00450C9C">
                    <w:rPr>
                      <w:rFonts w:ascii="Verdana" w:hAnsi="Verdana"/>
                      <w:b/>
                      <w:bCs/>
                      <w:sz w:val="16"/>
                      <w:szCs w:val="16"/>
                    </w:rPr>
                    <w:t>21.400</w:t>
                  </w:r>
                </w:p>
              </w:tc>
              <w:tc>
                <w:tcPr>
                  <w:tcW w:w="995" w:type="dxa"/>
                  <w:noWrap/>
                  <w:hideMark/>
                </w:tcPr>
                <w:p w:rsidRPr="00450C9C" w:rsidR="003565F4" w:rsidP="003565F4" w:rsidRDefault="003565F4" w14:paraId="42A27208" w14:textId="77777777">
                  <w:pPr>
                    <w:jc w:val="right"/>
                    <w:rPr>
                      <w:rFonts w:ascii="Verdana" w:hAnsi="Verdana"/>
                      <w:b/>
                      <w:bCs/>
                      <w:sz w:val="16"/>
                      <w:szCs w:val="16"/>
                    </w:rPr>
                  </w:pPr>
                  <w:r w:rsidRPr="00450C9C">
                    <w:rPr>
                      <w:rFonts w:ascii="Verdana" w:hAnsi="Verdana"/>
                      <w:b/>
                      <w:bCs/>
                      <w:sz w:val="16"/>
                      <w:szCs w:val="16"/>
                    </w:rPr>
                    <w:t>70.944</w:t>
                  </w:r>
                </w:p>
              </w:tc>
              <w:tc>
                <w:tcPr>
                  <w:tcW w:w="1131" w:type="dxa"/>
                  <w:noWrap/>
                  <w:hideMark/>
                </w:tcPr>
                <w:p w:rsidRPr="00450C9C" w:rsidR="003565F4" w:rsidP="003565F4" w:rsidRDefault="003565F4" w14:paraId="6CFD6B8B" w14:textId="77777777">
                  <w:pPr>
                    <w:jc w:val="right"/>
                    <w:rPr>
                      <w:rFonts w:ascii="Verdana" w:hAnsi="Verdana"/>
                      <w:b/>
                      <w:bCs/>
                      <w:sz w:val="16"/>
                      <w:szCs w:val="16"/>
                    </w:rPr>
                  </w:pPr>
                  <w:r w:rsidRPr="00450C9C">
                    <w:rPr>
                      <w:rFonts w:ascii="Verdana" w:hAnsi="Verdana"/>
                      <w:b/>
                      <w:bCs/>
                      <w:sz w:val="16"/>
                      <w:szCs w:val="16"/>
                    </w:rPr>
                    <w:t>-111.903</w:t>
                  </w:r>
                </w:p>
              </w:tc>
              <w:tc>
                <w:tcPr>
                  <w:tcW w:w="992" w:type="dxa"/>
                  <w:noWrap/>
                  <w:hideMark/>
                </w:tcPr>
                <w:p w:rsidRPr="00450C9C" w:rsidR="003565F4" w:rsidP="003565F4" w:rsidRDefault="003565F4" w14:paraId="5113925B" w14:textId="77777777">
                  <w:pPr>
                    <w:jc w:val="right"/>
                    <w:rPr>
                      <w:rFonts w:ascii="Verdana" w:hAnsi="Verdana"/>
                      <w:b/>
                      <w:bCs/>
                      <w:sz w:val="16"/>
                      <w:szCs w:val="16"/>
                    </w:rPr>
                  </w:pPr>
                  <w:r w:rsidRPr="00450C9C">
                    <w:rPr>
                      <w:rFonts w:ascii="Verdana" w:hAnsi="Verdana"/>
                      <w:b/>
                      <w:bCs/>
                      <w:sz w:val="16"/>
                      <w:szCs w:val="16"/>
                    </w:rPr>
                    <w:t>341.799</w:t>
                  </w:r>
                </w:p>
              </w:tc>
            </w:tr>
          </w:tbl>
          <w:p w:rsidRPr="00A54314" w:rsidR="009B2E0D" w:rsidRDefault="009B2E0D" w14:paraId="7824D3F0" w14:textId="37E3A223">
            <w:pPr>
              <w:rPr>
                <w:rFonts w:ascii="Verdana" w:hAnsi="Verdana"/>
                <w:color w:val="FF0000"/>
                <w:sz w:val="18"/>
                <w:szCs w:val="18"/>
              </w:rPr>
            </w:pPr>
          </w:p>
          <w:p w:rsidRPr="00A54314" w:rsidR="003565F4" w:rsidRDefault="003565F4" w14:paraId="27B7F278" w14:textId="2FE78AB8">
            <w:pPr>
              <w:rPr>
                <w:rFonts w:ascii="Verdana" w:hAnsi="Verdana"/>
                <w:sz w:val="18"/>
                <w:szCs w:val="18"/>
              </w:rPr>
            </w:pPr>
          </w:p>
        </w:tc>
      </w:tr>
      <w:tr w:rsidRPr="00A54314" w:rsidR="009B2E0D" w:rsidTr="00D23270" w14:paraId="7CAAE499" w14:textId="77777777">
        <w:tc>
          <w:tcPr>
            <w:tcW w:w="567" w:type="dxa"/>
          </w:tcPr>
          <w:p w:rsidRPr="00A54314" w:rsidR="009B2E0D" w:rsidRDefault="00603C2F" w14:paraId="13595EC2" w14:textId="77777777">
            <w:pPr>
              <w:rPr>
                <w:rFonts w:ascii="Verdana" w:hAnsi="Verdana"/>
                <w:sz w:val="18"/>
                <w:szCs w:val="18"/>
              </w:rPr>
            </w:pPr>
            <w:r w:rsidRPr="00A54314">
              <w:rPr>
                <w:rFonts w:ascii="Verdana" w:hAnsi="Verdana"/>
                <w:sz w:val="18"/>
                <w:szCs w:val="18"/>
              </w:rPr>
              <w:t>10</w:t>
            </w:r>
          </w:p>
        </w:tc>
        <w:tc>
          <w:tcPr>
            <w:tcW w:w="8505" w:type="dxa"/>
          </w:tcPr>
          <w:p w:rsidRPr="00A54314" w:rsidR="009B2E0D" w:rsidRDefault="00603C2F" w14:paraId="6694FC96" w14:textId="28F5C1DC">
            <w:pPr>
              <w:rPr>
                <w:rFonts w:ascii="Verdana" w:hAnsi="Verdana"/>
                <w:sz w:val="18"/>
                <w:szCs w:val="18"/>
              </w:rPr>
            </w:pPr>
            <w:r w:rsidRPr="00A54314">
              <w:rPr>
                <w:rFonts w:ascii="Verdana" w:hAnsi="Verdana"/>
                <w:sz w:val="18"/>
                <w:szCs w:val="18"/>
              </w:rPr>
              <w:t xml:space="preserve">Waarom wordt in de jaren 2026-2028 een additionele korting op de prijsbijstelling toegepast, terwijl de toelichting vermeldt dat de onderuitputting lager is dan </w:t>
            </w:r>
            <w:r w:rsidRPr="00A54314">
              <w:rPr>
                <w:rFonts w:ascii="Verdana" w:hAnsi="Verdana"/>
                <w:sz w:val="18"/>
                <w:szCs w:val="18"/>
              </w:rPr>
              <w:t>geanticipeerd?</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Antwoord:</w:t>
            </w:r>
            <w:r w:rsidRPr="00A54314">
              <w:rPr>
                <w:rFonts w:ascii="Verdana" w:hAnsi="Verdana"/>
                <w:sz w:val="18"/>
                <w:szCs w:val="18"/>
              </w:rPr>
              <w:br/>
              <w:t>Er is geen sprake van een additionele korting op de prijsbijstelling. De betreffende toelichting in de 1e suppletoire begroting is per abuis opgenomen. </w:t>
            </w:r>
            <w:r w:rsidRPr="00A54314">
              <w:rPr>
                <w:rFonts w:ascii="Verdana" w:hAnsi="Verdana"/>
                <w:sz w:val="18"/>
                <w:szCs w:val="18"/>
              </w:rPr>
              <w:br/>
            </w:r>
          </w:p>
        </w:tc>
      </w:tr>
      <w:tr w:rsidRPr="00A54314" w:rsidR="009B2E0D" w:rsidTr="00D23270" w14:paraId="62D5C0B0" w14:textId="77777777">
        <w:tc>
          <w:tcPr>
            <w:tcW w:w="567" w:type="dxa"/>
          </w:tcPr>
          <w:p w:rsidRPr="00A54314" w:rsidR="009B2E0D" w:rsidRDefault="00603C2F" w14:paraId="4310C72E" w14:textId="77777777">
            <w:pPr>
              <w:rPr>
                <w:rFonts w:ascii="Verdana" w:hAnsi="Verdana"/>
                <w:sz w:val="18"/>
                <w:szCs w:val="18"/>
              </w:rPr>
            </w:pPr>
            <w:r w:rsidRPr="00A54314">
              <w:rPr>
                <w:rFonts w:ascii="Verdana" w:hAnsi="Verdana"/>
                <w:sz w:val="18"/>
                <w:szCs w:val="18"/>
              </w:rPr>
              <w:t>11</w:t>
            </w:r>
          </w:p>
        </w:tc>
        <w:tc>
          <w:tcPr>
            <w:tcW w:w="8505" w:type="dxa"/>
          </w:tcPr>
          <w:p w:rsidRPr="00A54314" w:rsidR="009B2E0D" w:rsidRDefault="00603C2F" w14:paraId="75B60474" w14:textId="02F3E1BE">
            <w:pPr>
              <w:rPr>
                <w:rFonts w:ascii="Verdana" w:hAnsi="Verdana"/>
                <w:sz w:val="18"/>
                <w:szCs w:val="18"/>
              </w:rPr>
            </w:pPr>
            <w:r w:rsidRPr="00A54314">
              <w:rPr>
                <w:rFonts w:ascii="Verdana" w:hAnsi="Verdana"/>
                <w:sz w:val="18"/>
                <w:szCs w:val="18"/>
              </w:rPr>
              <w:t>Wat kost ov in de daluren voor € 9? En voor € 29? En voor € 49?</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w:t>
            </w:r>
            <w:r w:rsidRPr="00A54314">
              <w:rPr>
                <w:rFonts w:ascii="Verdana" w:hAnsi="Verdana"/>
                <w:b/>
                <w:sz w:val="18"/>
                <w:szCs w:val="18"/>
              </w:rPr>
              <w:t>d:</w:t>
            </w:r>
            <w:r w:rsidRPr="00A54314">
              <w:rPr>
                <w:rFonts w:ascii="Verdana" w:hAnsi="Verdana"/>
                <w:sz w:val="18"/>
                <w:szCs w:val="18"/>
              </w:rPr>
              <w:br/>
              <w:t>De Kamer is in 2024 geïnformeerd over de kosten en effecten van verschillende dalproposities n.a.v. vragen over een Nederlandticket (Kamerstuk</w:t>
            </w:r>
            <w:r w:rsidRPr="00A54314" w:rsidR="003565F4">
              <w:rPr>
                <w:rFonts w:ascii="Verdana" w:hAnsi="Verdana"/>
                <w:sz w:val="18"/>
                <w:szCs w:val="18"/>
              </w:rPr>
              <w:t>ken</w:t>
            </w:r>
            <w:r w:rsidRPr="00A54314">
              <w:rPr>
                <w:rFonts w:ascii="Verdana" w:hAnsi="Verdana"/>
                <w:sz w:val="18"/>
                <w:szCs w:val="18"/>
              </w:rPr>
              <w:t xml:space="preserve"> 23 645, nr. 828). Die bedragen (prijspeil 2023 en met gegevens uit 2021) waren ongeschikt voor een indicati</w:t>
            </w:r>
            <w:r w:rsidRPr="00A54314">
              <w:rPr>
                <w:rFonts w:ascii="Verdana" w:hAnsi="Verdana"/>
                <w:sz w:val="18"/>
                <w:szCs w:val="18"/>
              </w:rPr>
              <w:t>e van de werkelijke kosten van een ticket maar wel onderling te vergelijking. </w:t>
            </w:r>
            <w:r w:rsidRPr="00A54314">
              <w:rPr>
                <w:rFonts w:ascii="Verdana" w:hAnsi="Verdana"/>
                <w:sz w:val="18"/>
                <w:szCs w:val="18"/>
              </w:rPr>
              <w:br/>
              <w:t>Er bestaat geen landelijk model met daarin de reisbewegingen van alle reizigers bij alle vervoerders om een goede berekening te maken. </w:t>
            </w:r>
            <w:r w:rsidRPr="00A54314">
              <w:rPr>
                <w:rFonts w:ascii="Verdana" w:hAnsi="Verdana"/>
                <w:sz w:val="18"/>
                <w:szCs w:val="18"/>
              </w:rPr>
              <w:br/>
              <w:t>Werkelijke kosten vallen uiteen in dervin</w:t>
            </w:r>
            <w:r w:rsidRPr="00A54314">
              <w:rPr>
                <w:rFonts w:ascii="Verdana" w:hAnsi="Verdana"/>
                <w:sz w:val="18"/>
                <w:szCs w:val="18"/>
              </w:rPr>
              <w:t>g van inkomsten maar bijvoorbeeld ook van (extra) benodigde capaciteit. Deze kosten moet worden berekend met actuele cijfers in de modellen van de vervoerders afzonderlijk en worden gecontroleerd op feitelijk gebruik van het ticket. Ook moet rekening gehou</w:t>
            </w:r>
            <w:r w:rsidRPr="00A54314">
              <w:rPr>
                <w:rFonts w:ascii="Verdana" w:hAnsi="Verdana"/>
                <w:sz w:val="18"/>
                <w:szCs w:val="18"/>
              </w:rPr>
              <w:t xml:space="preserve">den worden met mogelijke extra exploitatie- of uitvoeringskosten. Een dergelijke </w:t>
            </w:r>
            <w:r w:rsidRPr="00A54314" w:rsidR="003565F4">
              <w:rPr>
                <w:rFonts w:ascii="Verdana" w:hAnsi="Verdana"/>
                <w:sz w:val="18"/>
                <w:szCs w:val="18"/>
              </w:rPr>
              <w:t>modulaire</w:t>
            </w:r>
            <w:r w:rsidRPr="00A54314">
              <w:rPr>
                <w:rFonts w:ascii="Verdana" w:hAnsi="Verdana"/>
                <w:sz w:val="18"/>
                <w:szCs w:val="18"/>
              </w:rPr>
              <w:t xml:space="preserve"> berekening is op dit moment niet mogelijk gebleken. </w:t>
            </w:r>
            <w:r w:rsidRPr="00A54314">
              <w:rPr>
                <w:rFonts w:ascii="Verdana" w:hAnsi="Verdana"/>
                <w:sz w:val="18"/>
                <w:szCs w:val="18"/>
              </w:rPr>
              <w:br/>
            </w:r>
          </w:p>
        </w:tc>
      </w:tr>
      <w:tr w:rsidRPr="00A54314" w:rsidR="009B2E0D" w:rsidTr="00D23270" w14:paraId="41BD7480" w14:textId="77777777">
        <w:tc>
          <w:tcPr>
            <w:tcW w:w="567" w:type="dxa"/>
          </w:tcPr>
          <w:p w:rsidRPr="00A54314" w:rsidR="009B2E0D" w:rsidRDefault="00603C2F" w14:paraId="3D4E052B" w14:textId="77777777">
            <w:pPr>
              <w:rPr>
                <w:rFonts w:ascii="Verdana" w:hAnsi="Verdana"/>
                <w:sz w:val="18"/>
                <w:szCs w:val="18"/>
              </w:rPr>
            </w:pPr>
            <w:r w:rsidRPr="00A54314">
              <w:rPr>
                <w:rFonts w:ascii="Verdana" w:hAnsi="Verdana"/>
                <w:sz w:val="18"/>
                <w:szCs w:val="18"/>
              </w:rPr>
              <w:t>12</w:t>
            </w:r>
          </w:p>
        </w:tc>
        <w:tc>
          <w:tcPr>
            <w:tcW w:w="8505" w:type="dxa"/>
          </w:tcPr>
          <w:p w:rsidRPr="00A54314" w:rsidR="009B2E0D" w:rsidRDefault="00603C2F" w14:paraId="7529054E" w14:textId="53D97DCD">
            <w:pPr>
              <w:rPr>
                <w:rFonts w:ascii="Verdana" w:hAnsi="Verdana"/>
                <w:sz w:val="18"/>
                <w:szCs w:val="18"/>
              </w:rPr>
            </w:pPr>
            <w:r w:rsidRPr="00A54314">
              <w:rPr>
                <w:rFonts w:ascii="Verdana" w:hAnsi="Verdana"/>
                <w:sz w:val="18"/>
                <w:szCs w:val="18"/>
              </w:rPr>
              <w:t>Waarom wordt de voorziene onderuitputting in de jaren 2026-2028 niet per artikel gericht in mindering gebra</w:t>
            </w:r>
            <w:r w:rsidRPr="00A54314">
              <w:rPr>
                <w:rFonts w:ascii="Verdana" w:hAnsi="Verdana"/>
                <w:sz w:val="18"/>
                <w:szCs w:val="18"/>
              </w:rPr>
              <w:t>cht op de begroting, maar met een ‘kaasschaaf’-methode via het inhouden van een prijsbijstelling? Wordt deze generieke korting later nog toebedeeld aan specifieke artikelen?</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Antwoord:</w:t>
            </w:r>
            <w:r w:rsidRPr="00A54314">
              <w:rPr>
                <w:rFonts w:ascii="Verdana" w:hAnsi="Verdana"/>
                <w:sz w:val="18"/>
                <w:szCs w:val="18"/>
              </w:rPr>
              <w:br/>
              <w:t>Zie het antwoord op vraag 10. </w:t>
            </w:r>
            <w:r w:rsidRPr="00A54314">
              <w:rPr>
                <w:rFonts w:ascii="Verdana" w:hAnsi="Verdana"/>
                <w:sz w:val="18"/>
                <w:szCs w:val="18"/>
              </w:rPr>
              <w:br/>
            </w:r>
          </w:p>
        </w:tc>
      </w:tr>
      <w:tr w:rsidRPr="00A54314" w:rsidR="009B2E0D" w:rsidTr="00D23270" w14:paraId="193A79E8" w14:textId="77777777">
        <w:tc>
          <w:tcPr>
            <w:tcW w:w="567" w:type="dxa"/>
          </w:tcPr>
          <w:p w:rsidRPr="00A54314" w:rsidR="009B2E0D" w:rsidRDefault="00603C2F" w14:paraId="1C2B3363" w14:textId="77777777">
            <w:pPr>
              <w:rPr>
                <w:rFonts w:ascii="Verdana" w:hAnsi="Verdana"/>
                <w:sz w:val="18"/>
                <w:szCs w:val="18"/>
              </w:rPr>
            </w:pPr>
            <w:r w:rsidRPr="00A54314">
              <w:rPr>
                <w:rFonts w:ascii="Verdana" w:hAnsi="Verdana"/>
                <w:sz w:val="18"/>
                <w:szCs w:val="18"/>
              </w:rPr>
              <w:t>13</w:t>
            </w:r>
          </w:p>
        </w:tc>
        <w:tc>
          <w:tcPr>
            <w:tcW w:w="8505" w:type="dxa"/>
          </w:tcPr>
          <w:p w:rsidRPr="00A54314" w:rsidR="009B2E0D" w:rsidRDefault="00603C2F" w14:paraId="405F0B1F" w14:textId="59BC0D25">
            <w:pPr>
              <w:rPr>
                <w:rFonts w:ascii="Verdana" w:hAnsi="Verdana"/>
                <w:sz w:val="18"/>
                <w:szCs w:val="18"/>
              </w:rPr>
            </w:pPr>
            <w:r w:rsidRPr="00A54314">
              <w:rPr>
                <w:rFonts w:ascii="Verdana" w:hAnsi="Verdana"/>
                <w:sz w:val="18"/>
                <w:szCs w:val="18"/>
              </w:rPr>
              <w:t>Hoeveel ambtenaren vallen bij het m</w:t>
            </w:r>
            <w:r w:rsidRPr="00A54314">
              <w:rPr>
                <w:rFonts w:ascii="Verdana" w:hAnsi="Verdana"/>
                <w:sz w:val="18"/>
                <w:szCs w:val="18"/>
              </w:rPr>
              <w:t>inisterie van Infrastructuur en Waterstaat onder de nullijn?</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Antwoord:</w:t>
            </w:r>
            <w:r w:rsidRPr="00A54314">
              <w:rPr>
                <w:rFonts w:ascii="Verdana" w:hAnsi="Verdana"/>
                <w:sz w:val="18"/>
                <w:szCs w:val="18"/>
              </w:rPr>
              <w:br/>
              <w:t>Alle medewerkers van het ministerie van Infrastructuur en Waterstaat (ongeveer 17.000) vallen onder dezelfde CAO van de Rijksoverheid en dus ook onder de nullijn.</w:t>
            </w:r>
            <w:r w:rsidRPr="00A54314">
              <w:rPr>
                <w:rFonts w:ascii="Verdana" w:hAnsi="Verdana"/>
                <w:sz w:val="18"/>
                <w:szCs w:val="18"/>
              </w:rPr>
              <w:br/>
            </w:r>
          </w:p>
        </w:tc>
      </w:tr>
      <w:tr w:rsidRPr="00A54314" w:rsidR="009B2E0D" w:rsidTr="00D23270" w14:paraId="759276D3" w14:textId="77777777">
        <w:tc>
          <w:tcPr>
            <w:tcW w:w="567" w:type="dxa"/>
          </w:tcPr>
          <w:p w:rsidRPr="00A54314" w:rsidR="009B2E0D" w:rsidRDefault="00603C2F" w14:paraId="7363845B" w14:textId="77777777">
            <w:pPr>
              <w:rPr>
                <w:rFonts w:ascii="Verdana" w:hAnsi="Verdana"/>
                <w:sz w:val="18"/>
                <w:szCs w:val="18"/>
              </w:rPr>
            </w:pPr>
            <w:r w:rsidRPr="00A54314">
              <w:rPr>
                <w:rFonts w:ascii="Verdana" w:hAnsi="Verdana"/>
                <w:sz w:val="18"/>
                <w:szCs w:val="18"/>
              </w:rPr>
              <w:t>14</w:t>
            </w:r>
          </w:p>
        </w:tc>
        <w:tc>
          <w:tcPr>
            <w:tcW w:w="8505" w:type="dxa"/>
          </w:tcPr>
          <w:p w:rsidRPr="00A54314" w:rsidR="009B2E0D" w:rsidRDefault="00603C2F" w14:paraId="4BD99769" w14:textId="1E511EF5">
            <w:pPr>
              <w:rPr>
                <w:rFonts w:ascii="Verdana" w:hAnsi="Verdana"/>
                <w:sz w:val="18"/>
                <w:szCs w:val="18"/>
              </w:rPr>
            </w:pPr>
            <w:r w:rsidRPr="00A54314">
              <w:rPr>
                <w:rFonts w:ascii="Verdana" w:hAnsi="Verdana"/>
                <w:sz w:val="18"/>
                <w:szCs w:val="18"/>
              </w:rPr>
              <w:t>Hoeveel medewerk</w:t>
            </w:r>
            <w:r w:rsidRPr="00A54314">
              <w:rPr>
                <w:rFonts w:ascii="Verdana" w:hAnsi="Verdana"/>
                <w:sz w:val="18"/>
                <w:szCs w:val="18"/>
              </w:rPr>
              <w:t>ers bevinden zich in de lagere loonschalen (schaal 1 t/m 6)? Wat is het aandeel van deze groep binnen de uitvoering (uitvoeringsorganisaties versus beleid)?</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Antwoord:</w:t>
            </w:r>
            <w:r w:rsidRPr="00A54314">
              <w:rPr>
                <w:rFonts w:ascii="Verdana" w:hAnsi="Verdana"/>
                <w:sz w:val="18"/>
                <w:szCs w:val="18"/>
              </w:rPr>
              <w:br/>
              <w:t>Ruim 1.300 medewerkers bevinden zich in schaal 1 t/m 6. Het aandeel van deze groep op he</w:t>
            </w:r>
            <w:r w:rsidRPr="00A54314">
              <w:rPr>
                <w:rFonts w:ascii="Verdana" w:hAnsi="Verdana"/>
                <w:sz w:val="18"/>
                <w:szCs w:val="18"/>
              </w:rPr>
              <w:t>t totaal is 8%. Binnen beleid is het aandeel van deze groep 2% en bij de uitvoering bevindt 10% van de medewerkers zich in schaal 1 t/m 6.</w:t>
            </w:r>
            <w:r w:rsidRPr="00A54314">
              <w:rPr>
                <w:rFonts w:ascii="Verdana" w:hAnsi="Verdana"/>
                <w:sz w:val="18"/>
                <w:szCs w:val="18"/>
              </w:rPr>
              <w:br/>
              <w:t> </w:t>
            </w:r>
            <w:r w:rsidRPr="00A54314">
              <w:rPr>
                <w:rFonts w:ascii="Verdana" w:hAnsi="Verdana"/>
                <w:sz w:val="18"/>
                <w:szCs w:val="18"/>
              </w:rPr>
              <w:br/>
            </w:r>
          </w:p>
        </w:tc>
      </w:tr>
      <w:tr w:rsidRPr="00A54314" w:rsidR="009B2E0D" w:rsidTr="00D23270" w14:paraId="7B42C056" w14:textId="77777777">
        <w:tc>
          <w:tcPr>
            <w:tcW w:w="567" w:type="dxa"/>
          </w:tcPr>
          <w:p w:rsidRPr="00A54314" w:rsidR="009B2E0D" w:rsidRDefault="00603C2F" w14:paraId="0EE57B22" w14:textId="77777777">
            <w:pPr>
              <w:rPr>
                <w:rFonts w:ascii="Verdana" w:hAnsi="Verdana"/>
                <w:sz w:val="18"/>
                <w:szCs w:val="18"/>
              </w:rPr>
            </w:pPr>
            <w:r w:rsidRPr="00A54314">
              <w:rPr>
                <w:rFonts w:ascii="Verdana" w:hAnsi="Verdana"/>
                <w:sz w:val="18"/>
                <w:szCs w:val="18"/>
              </w:rPr>
              <w:t>15</w:t>
            </w:r>
          </w:p>
        </w:tc>
        <w:tc>
          <w:tcPr>
            <w:tcW w:w="8505" w:type="dxa"/>
          </w:tcPr>
          <w:p w:rsidRPr="00A54314" w:rsidR="009B2E0D" w:rsidRDefault="00603C2F" w14:paraId="14B19235" w14:textId="6712346B">
            <w:pPr>
              <w:rPr>
                <w:rFonts w:ascii="Verdana" w:hAnsi="Verdana"/>
                <w:sz w:val="18"/>
                <w:szCs w:val="18"/>
              </w:rPr>
            </w:pPr>
            <w:r w:rsidRPr="00A54314">
              <w:rPr>
                <w:rFonts w:ascii="Verdana" w:hAnsi="Verdana"/>
                <w:sz w:val="18"/>
                <w:szCs w:val="18"/>
              </w:rPr>
              <w:t>Welke functies/beroepen vallen voornamelijk binnen de lagere loonschalen (schaal 1 t/m 6)? Wat is de huidige e</w:t>
            </w:r>
            <w:r w:rsidRPr="00A54314">
              <w:rPr>
                <w:rFonts w:ascii="Verdana" w:hAnsi="Verdana"/>
                <w:sz w:val="18"/>
                <w:szCs w:val="18"/>
              </w:rPr>
              <w:t>n verwachte personeelskrapte binnen deze functies?</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Antwoord:</w:t>
            </w:r>
            <w:r w:rsidRPr="00A54314">
              <w:rPr>
                <w:rFonts w:ascii="Verdana" w:hAnsi="Verdana"/>
                <w:sz w:val="18"/>
                <w:szCs w:val="18"/>
              </w:rPr>
              <w:br/>
              <w:t>De functies in schaal 1 t/m 6 zijn voornamelijk medewerkers operationeel verkeersmanagement, managementondersteuners en nautisch medewerkers. Er is bij de schalen 1 t/m 6 geen (verwachte) person</w:t>
            </w:r>
            <w:r w:rsidRPr="00A54314">
              <w:rPr>
                <w:rFonts w:ascii="Verdana" w:hAnsi="Verdana"/>
                <w:sz w:val="18"/>
                <w:szCs w:val="18"/>
              </w:rPr>
              <w:t>eelskrapte.</w:t>
            </w:r>
            <w:r w:rsidRPr="00A54314">
              <w:rPr>
                <w:rFonts w:ascii="Verdana" w:hAnsi="Verdana"/>
                <w:sz w:val="18"/>
                <w:szCs w:val="18"/>
              </w:rPr>
              <w:br/>
            </w:r>
          </w:p>
        </w:tc>
      </w:tr>
      <w:tr w:rsidRPr="00A54314" w:rsidR="009B2E0D" w:rsidTr="00D23270" w14:paraId="262E3CC6" w14:textId="77777777">
        <w:tc>
          <w:tcPr>
            <w:tcW w:w="567" w:type="dxa"/>
          </w:tcPr>
          <w:p w:rsidRPr="00A54314" w:rsidR="009B2E0D" w:rsidRDefault="00603C2F" w14:paraId="4AD98F37" w14:textId="77777777">
            <w:pPr>
              <w:rPr>
                <w:rFonts w:ascii="Verdana" w:hAnsi="Verdana"/>
                <w:sz w:val="18"/>
                <w:szCs w:val="18"/>
              </w:rPr>
            </w:pPr>
            <w:r w:rsidRPr="00A54314">
              <w:rPr>
                <w:rFonts w:ascii="Verdana" w:hAnsi="Verdana"/>
                <w:sz w:val="18"/>
                <w:szCs w:val="18"/>
              </w:rPr>
              <w:t>16</w:t>
            </w:r>
          </w:p>
        </w:tc>
        <w:tc>
          <w:tcPr>
            <w:tcW w:w="8505" w:type="dxa"/>
          </w:tcPr>
          <w:p w:rsidRPr="00A54314" w:rsidR="009B2E0D" w:rsidRDefault="00603C2F" w14:paraId="17580115" w14:textId="693A37D1">
            <w:pPr>
              <w:rPr>
                <w:rFonts w:ascii="Verdana" w:hAnsi="Verdana"/>
                <w:sz w:val="18"/>
                <w:szCs w:val="18"/>
              </w:rPr>
            </w:pPr>
            <w:r w:rsidRPr="00A54314">
              <w:rPr>
                <w:rFonts w:ascii="Verdana" w:hAnsi="Verdana"/>
                <w:sz w:val="18"/>
                <w:szCs w:val="18"/>
              </w:rPr>
              <w:t>Zijn er interne analyses of risico-inschattingen gemaakt over de effecten van de nullijn, bijvoorbeeld op de instroom of uitstroom? Zo ja, kunnen deze worden gedeeld?</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Antwoord:</w:t>
            </w:r>
            <w:r w:rsidRPr="00A54314">
              <w:rPr>
                <w:rFonts w:ascii="Verdana" w:hAnsi="Verdana"/>
                <w:sz w:val="18"/>
                <w:szCs w:val="18"/>
              </w:rPr>
              <w:br/>
              <w:t xml:space="preserve">Er zijn geen analyses gemaakt van de effecten van de nullijn </w:t>
            </w:r>
            <w:r w:rsidRPr="00A54314">
              <w:rPr>
                <w:rFonts w:ascii="Verdana" w:hAnsi="Verdana"/>
                <w:sz w:val="18"/>
                <w:szCs w:val="18"/>
              </w:rPr>
              <w:t>op de instroom of uitstroom.</w:t>
            </w:r>
            <w:r w:rsidRPr="00A54314">
              <w:rPr>
                <w:rFonts w:ascii="Verdana" w:hAnsi="Verdana"/>
                <w:sz w:val="18"/>
                <w:szCs w:val="18"/>
              </w:rPr>
              <w:br/>
            </w:r>
          </w:p>
        </w:tc>
      </w:tr>
      <w:tr w:rsidRPr="00A54314" w:rsidR="009B2E0D" w:rsidTr="00D23270" w14:paraId="3122442D" w14:textId="77777777">
        <w:tc>
          <w:tcPr>
            <w:tcW w:w="567" w:type="dxa"/>
          </w:tcPr>
          <w:p w:rsidRPr="00A54314" w:rsidR="009B2E0D" w:rsidRDefault="00603C2F" w14:paraId="56DE4FF8" w14:textId="77777777">
            <w:pPr>
              <w:rPr>
                <w:rFonts w:ascii="Verdana" w:hAnsi="Verdana"/>
                <w:sz w:val="18"/>
                <w:szCs w:val="18"/>
              </w:rPr>
            </w:pPr>
            <w:r w:rsidRPr="00A54314">
              <w:rPr>
                <w:rFonts w:ascii="Verdana" w:hAnsi="Verdana"/>
                <w:sz w:val="18"/>
                <w:szCs w:val="18"/>
              </w:rPr>
              <w:t>17</w:t>
            </w:r>
          </w:p>
        </w:tc>
        <w:tc>
          <w:tcPr>
            <w:tcW w:w="8505" w:type="dxa"/>
          </w:tcPr>
          <w:p w:rsidRPr="00A54314" w:rsidR="009B2E0D" w:rsidRDefault="00603C2F" w14:paraId="29AEC758" w14:textId="797C3EBD">
            <w:pPr>
              <w:rPr>
                <w:rFonts w:ascii="Verdana" w:hAnsi="Verdana"/>
                <w:sz w:val="18"/>
                <w:szCs w:val="18"/>
              </w:rPr>
            </w:pPr>
            <w:r w:rsidRPr="00A54314">
              <w:rPr>
                <w:rFonts w:ascii="Verdana" w:hAnsi="Verdana"/>
                <w:sz w:val="18"/>
                <w:szCs w:val="18"/>
              </w:rPr>
              <w:t>Welk aandeel van het personeel betrokken bij de instandhoudingsopgave bevindt zich in lagere loonschalen (schaal 1 t/m 6)? In hoeverre beïnvloedt de nullijn de uitvoerbaarheid van de instandhoudingsopgave?</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Antwoord:</w:t>
            </w:r>
            <w:r w:rsidRPr="00A54314">
              <w:rPr>
                <w:rFonts w:ascii="Verdana" w:hAnsi="Verdana"/>
                <w:sz w:val="18"/>
                <w:szCs w:val="18"/>
              </w:rPr>
              <w:br/>
              <w:t>Ongev</w:t>
            </w:r>
            <w:r w:rsidRPr="00A54314">
              <w:rPr>
                <w:rFonts w:ascii="Verdana" w:hAnsi="Verdana"/>
                <w:sz w:val="18"/>
                <w:szCs w:val="18"/>
              </w:rPr>
              <w:t>eer 20% van de medewerkers van Rijkswaterstaat die zich direct bezighouden met instandhouding bevindt zich in loonschaal 6 of lager. Het effect van de nullijn op de uitvoerbaarheid van de instandhoudingsopgave is niet te voorspellen.</w:t>
            </w:r>
            <w:r w:rsidRPr="00A54314">
              <w:rPr>
                <w:rFonts w:ascii="Verdana" w:hAnsi="Verdana"/>
                <w:sz w:val="18"/>
                <w:szCs w:val="18"/>
              </w:rPr>
              <w:br/>
            </w:r>
          </w:p>
        </w:tc>
      </w:tr>
      <w:tr w:rsidRPr="00A54314" w:rsidR="009B2E0D" w:rsidTr="00D23270" w14:paraId="5C8A0EA1" w14:textId="77777777">
        <w:tc>
          <w:tcPr>
            <w:tcW w:w="567" w:type="dxa"/>
          </w:tcPr>
          <w:p w:rsidRPr="00A54314" w:rsidR="009B2E0D" w:rsidRDefault="00603C2F" w14:paraId="0A9E3796" w14:textId="77777777">
            <w:pPr>
              <w:rPr>
                <w:rFonts w:ascii="Verdana" w:hAnsi="Verdana"/>
                <w:sz w:val="18"/>
                <w:szCs w:val="18"/>
              </w:rPr>
            </w:pPr>
            <w:r w:rsidRPr="00A54314">
              <w:rPr>
                <w:rFonts w:ascii="Verdana" w:hAnsi="Verdana"/>
                <w:sz w:val="18"/>
                <w:szCs w:val="18"/>
              </w:rPr>
              <w:t>18</w:t>
            </w:r>
          </w:p>
        </w:tc>
        <w:tc>
          <w:tcPr>
            <w:tcW w:w="8505" w:type="dxa"/>
          </w:tcPr>
          <w:p w:rsidRPr="00A54314" w:rsidR="009B2E0D" w:rsidRDefault="00603C2F" w14:paraId="72C722AC" w14:textId="59428E5D">
            <w:pPr>
              <w:rPr>
                <w:rFonts w:ascii="Verdana" w:hAnsi="Verdana"/>
                <w:sz w:val="18"/>
                <w:szCs w:val="18"/>
              </w:rPr>
            </w:pPr>
            <w:r w:rsidRPr="00A54314">
              <w:rPr>
                <w:rFonts w:ascii="Verdana" w:hAnsi="Verdana"/>
                <w:sz w:val="18"/>
                <w:szCs w:val="18"/>
              </w:rPr>
              <w:t>Kunt u een overzi</w:t>
            </w:r>
            <w:r w:rsidRPr="00A54314">
              <w:rPr>
                <w:rFonts w:ascii="Verdana" w:hAnsi="Verdana"/>
                <w:sz w:val="18"/>
                <w:szCs w:val="18"/>
              </w:rPr>
              <w:t>cht geven van de jaarlijkse ingehouden prijsbijstelling in de periode 2026-2031?</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Antwoord:</w:t>
            </w:r>
            <w:r w:rsidRPr="00A54314">
              <w:rPr>
                <w:rFonts w:ascii="Verdana" w:hAnsi="Verdana"/>
                <w:sz w:val="18"/>
                <w:szCs w:val="18"/>
              </w:rPr>
              <w:br/>
            </w:r>
            <w:r w:rsidRPr="00A54314" w:rsidR="003565F4">
              <w:rPr>
                <w:rFonts w:ascii="Verdana" w:hAnsi="Verdana"/>
                <w:sz w:val="18"/>
                <w:szCs w:val="18"/>
              </w:rPr>
              <w:t>Als bijlage bij deze lijst is een</w:t>
            </w:r>
            <w:r w:rsidRPr="00A54314">
              <w:rPr>
                <w:rFonts w:ascii="Verdana" w:hAnsi="Verdana"/>
                <w:sz w:val="18"/>
                <w:szCs w:val="18"/>
              </w:rPr>
              <w:t xml:space="preserve"> overzicht</w:t>
            </w:r>
            <w:r w:rsidRPr="00A54314" w:rsidR="003565F4">
              <w:rPr>
                <w:rFonts w:ascii="Verdana" w:hAnsi="Verdana"/>
                <w:sz w:val="18"/>
                <w:szCs w:val="18"/>
              </w:rPr>
              <w:t xml:space="preserve"> opgenomen waarin</w:t>
            </w:r>
            <w:r w:rsidRPr="00A54314">
              <w:rPr>
                <w:rFonts w:ascii="Verdana" w:hAnsi="Verdana"/>
                <w:sz w:val="18"/>
                <w:szCs w:val="18"/>
              </w:rPr>
              <w:t xml:space="preserve"> is weergegeven hoeveel prijsbijstelling er voor de begrotingen van IenW is ingehouden. Voor begrotingshoofdstuk XII gaat het in totaal om circa € 200 miljoen, voor het Mobiliteitsfonds om ca. € 3,2 miljard en voor het Deltafonds om ca. € 580 miljoen. </w:t>
            </w:r>
            <w:r w:rsidRPr="00A54314">
              <w:rPr>
                <w:rFonts w:ascii="Verdana" w:hAnsi="Verdana"/>
                <w:sz w:val="18"/>
                <w:szCs w:val="18"/>
              </w:rPr>
              <w:br/>
            </w:r>
          </w:p>
        </w:tc>
      </w:tr>
      <w:tr w:rsidRPr="00A54314" w:rsidR="009B2E0D" w:rsidTr="00D23270" w14:paraId="012EB1F5" w14:textId="77777777">
        <w:tc>
          <w:tcPr>
            <w:tcW w:w="567" w:type="dxa"/>
          </w:tcPr>
          <w:p w:rsidRPr="00A54314" w:rsidR="009B2E0D" w:rsidRDefault="00603C2F" w14:paraId="376010ED" w14:textId="77777777">
            <w:pPr>
              <w:rPr>
                <w:rFonts w:ascii="Verdana" w:hAnsi="Verdana"/>
                <w:sz w:val="18"/>
                <w:szCs w:val="18"/>
              </w:rPr>
            </w:pPr>
            <w:r w:rsidRPr="00A54314">
              <w:rPr>
                <w:rFonts w:ascii="Verdana" w:hAnsi="Verdana"/>
                <w:sz w:val="18"/>
                <w:szCs w:val="18"/>
              </w:rPr>
              <w:t>1</w:t>
            </w:r>
            <w:r w:rsidRPr="00A54314">
              <w:rPr>
                <w:rFonts w:ascii="Verdana" w:hAnsi="Verdana"/>
                <w:sz w:val="18"/>
                <w:szCs w:val="18"/>
              </w:rPr>
              <w:t>9</w:t>
            </w:r>
          </w:p>
        </w:tc>
        <w:tc>
          <w:tcPr>
            <w:tcW w:w="8505" w:type="dxa"/>
          </w:tcPr>
          <w:p w:rsidRPr="00A54314" w:rsidR="00367460" w:rsidRDefault="00603C2F" w14:paraId="5B4AA48E" w14:textId="77777777">
            <w:pPr>
              <w:rPr>
                <w:rFonts w:ascii="Verdana" w:hAnsi="Verdana"/>
                <w:sz w:val="18"/>
                <w:szCs w:val="18"/>
              </w:rPr>
            </w:pPr>
            <w:r w:rsidRPr="00A54314">
              <w:rPr>
                <w:rFonts w:ascii="Verdana" w:hAnsi="Verdana"/>
                <w:sz w:val="18"/>
                <w:szCs w:val="18"/>
              </w:rPr>
              <w:t>Wat zal wegvallen/minder aandacht krijgen als gevolg van de bezuiniging op de circulaire economie door de taakstelling van het kabinet-Jetten, en welke impact heeft dit op de doelstelling om te komen tot een circulaire economie in 2050?</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Antwoord:</w:t>
            </w:r>
            <w:r w:rsidRPr="00A54314">
              <w:rPr>
                <w:rFonts w:ascii="Verdana" w:hAnsi="Verdana"/>
                <w:sz w:val="18"/>
                <w:szCs w:val="18"/>
              </w:rPr>
              <w:br/>
              <w:t>De beg</w:t>
            </w:r>
            <w:r w:rsidRPr="00A54314">
              <w:rPr>
                <w:rFonts w:ascii="Verdana" w:hAnsi="Verdana"/>
                <w:sz w:val="18"/>
                <w:szCs w:val="18"/>
              </w:rPr>
              <w:t>roting van artikel 21 Circulaire Economie bevat middelen die incidenteel zijn toegekend. Een deel van deze tijdelijk toegekende middelen is recent afgelopen, hierdoor is een aantal dossiers al afgeschaald (bijvoorbeeld het niet openstellen van de regelinge</w:t>
            </w:r>
            <w:r w:rsidRPr="00A54314">
              <w:rPr>
                <w:rFonts w:ascii="Verdana" w:hAnsi="Verdana"/>
                <w:sz w:val="18"/>
                <w:szCs w:val="18"/>
              </w:rPr>
              <w:t xml:space="preserve">n EKOO CE, Circulaire Ketenprojecten, Ketendoorbraak-projecten, Circulair Implementeren en Opschalen en een keer in de twee jaar een grote conferentie organiseren). </w:t>
            </w:r>
          </w:p>
          <w:p w:rsidRPr="00A54314" w:rsidR="009B2E0D" w:rsidRDefault="00603C2F" w14:paraId="7B763726" w14:textId="139BCE6B">
            <w:pPr>
              <w:rPr>
                <w:rFonts w:ascii="Verdana" w:hAnsi="Verdana"/>
                <w:sz w:val="18"/>
                <w:szCs w:val="18"/>
              </w:rPr>
            </w:pPr>
            <w:r w:rsidRPr="00A54314">
              <w:rPr>
                <w:rFonts w:ascii="Verdana" w:hAnsi="Verdana"/>
                <w:sz w:val="18"/>
                <w:szCs w:val="18"/>
              </w:rPr>
              <w:t>De effecten van de taakstelling kabinet-Jetten zullen vooral afhankelijk zijn van de verde</w:t>
            </w:r>
            <w:r w:rsidRPr="00A54314">
              <w:rPr>
                <w:rFonts w:ascii="Verdana" w:hAnsi="Verdana"/>
                <w:sz w:val="18"/>
                <w:szCs w:val="18"/>
              </w:rPr>
              <w:t>re juridische mogelijkheden tot afschaling en welke keuzes daarin gemaakt worden. Tot slot is de impact zelf lastig te kwantificeren, omdat anders dan bijvoorbeeld in het klimaatbeleid de effecten van maatregelen op de doelen (nog) niet goed zijn door te r</w:t>
            </w:r>
            <w:r w:rsidRPr="00A54314">
              <w:rPr>
                <w:rFonts w:ascii="Verdana" w:hAnsi="Verdana"/>
                <w:sz w:val="18"/>
                <w:szCs w:val="18"/>
              </w:rPr>
              <w:t>ekenen. Maar minder inzet van capaciteit en middelen beperkt de mogelijkheden te sturen op het realiseren van de doelen.</w:t>
            </w:r>
            <w:r w:rsidRPr="00A54314">
              <w:rPr>
                <w:rFonts w:ascii="Verdana" w:hAnsi="Verdana"/>
                <w:sz w:val="18"/>
                <w:szCs w:val="18"/>
              </w:rPr>
              <w:br/>
            </w:r>
          </w:p>
        </w:tc>
      </w:tr>
      <w:tr w:rsidRPr="00A54314" w:rsidR="009B2E0D" w:rsidTr="00D23270" w14:paraId="4BD94F73" w14:textId="77777777">
        <w:tc>
          <w:tcPr>
            <w:tcW w:w="567" w:type="dxa"/>
          </w:tcPr>
          <w:p w:rsidRPr="00A54314" w:rsidR="009B2E0D" w:rsidRDefault="00603C2F" w14:paraId="776DAEEF" w14:textId="77777777">
            <w:pPr>
              <w:rPr>
                <w:rFonts w:ascii="Verdana" w:hAnsi="Verdana"/>
                <w:sz w:val="18"/>
                <w:szCs w:val="18"/>
              </w:rPr>
            </w:pPr>
            <w:r w:rsidRPr="00A54314">
              <w:rPr>
                <w:rFonts w:ascii="Verdana" w:hAnsi="Verdana"/>
                <w:sz w:val="18"/>
                <w:szCs w:val="18"/>
              </w:rPr>
              <w:t>20</w:t>
            </w:r>
          </w:p>
        </w:tc>
        <w:tc>
          <w:tcPr>
            <w:tcW w:w="8505" w:type="dxa"/>
          </w:tcPr>
          <w:p w:rsidRPr="00A54314" w:rsidR="009B2E0D" w:rsidRDefault="00603C2F" w14:paraId="45DD0A1A" w14:textId="679467C8">
            <w:pPr>
              <w:rPr>
                <w:rFonts w:ascii="Verdana" w:hAnsi="Verdana"/>
                <w:sz w:val="18"/>
                <w:szCs w:val="18"/>
              </w:rPr>
            </w:pPr>
            <w:r w:rsidRPr="00A54314">
              <w:rPr>
                <w:rFonts w:ascii="Verdana" w:hAnsi="Verdana"/>
                <w:sz w:val="18"/>
                <w:szCs w:val="18"/>
              </w:rPr>
              <w:t>Welke taken kunnen door de forse bezuiniging op de Inspectie Leefomgeving en Transport (ILT) vanaf 2029 door de taakstellingen van</w:t>
            </w:r>
            <w:r w:rsidRPr="00A54314">
              <w:rPr>
                <w:rFonts w:ascii="Verdana" w:hAnsi="Verdana"/>
                <w:sz w:val="18"/>
                <w:szCs w:val="18"/>
              </w:rPr>
              <w:t xml:space="preserve"> het kabinet-Jetten bij de ILT niet meer uitgevoerd gaan worden en/of zullen minder aandacht krijgen? En hoe hangt deze bezuiniging samen met de wens om het VTH-stelsel te versterken?</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Antwoord:</w:t>
            </w:r>
            <w:r w:rsidRPr="00A54314">
              <w:rPr>
                <w:rFonts w:ascii="Verdana" w:hAnsi="Verdana"/>
                <w:sz w:val="18"/>
                <w:szCs w:val="18"/>
              </w:rPr>
              <w:br/>
              <w:t>De ILT werkt informatiegericht en risico gestuurd en moet van</w:t>
            </w:r>
            <w:r w:rsidRPr="00A54314">
              <w:rPr>
                <w:rFonts w:ascii="Verdana" w:hAnsi="Verdana"/>
                <w:sz w:val="18"/>
                <w:szCs w:val="18"/>
              </w:rPr>
              <w:t>wege haar per definitie beperkte capaciteit altijd prioriteiten stellen. Om aan de bestaande taakstelling te voldoen (</w:t>
            </w:r>
            <w:r w:rsidRPr="00A54314" w:rsidR="00367460">
              <w:rPr>
                <w:rFonts w:ascii="Verdana" w:hAnsi="Verdana"/>
                <w:sz w:val="18"/>
                <w:szCs w:val="18"/>
              </w:rPr>
              <w:t>vanuit het kabinet-</w:t>
            </w:r>
            <w:r w:rsidRPr="00A54314">
              <w:rPr>
                <w:rFonts w:ascii="Verdana" w:hAnsi="Verdana"/>
                <w:sz w:val="18"/>
                <w:szCs w:val="18"/>
              </w:rPr>
              <w:t>Schoof) voert de ILT in 2026 minder intensief bepaalde taken uit dan eerst. Door de taakstellingen van het kabinet-Jett</w:t>
            </w:r>
            <w:r w:rsidRPr="00A54314">
              <w:rPr>
                <w:rFonts w:ascii="Verdana" w:hAnsi="Verdana"/>
                <w:sz w:val="18"/>
                <w:szCs w:val="18"/>
              </w:rPr>
              <w:t>en is aanvullende prioritering door de ILT onvermijdelijk. De komende periode wordt duidelijk welke maatregelen de ILT moet treffen ter invulling van deze taakstelling. Het doorvoeren van taakstellingen komt er in de inspectiepraktijk op neer dat de taakui</w:t>
            </w:r>
            <w:r w:rsidRPr="00A54314">
              <w:rPr>
                <w:rFonts w:ascii="Verdana" w:hAnsi="Verdana"/>
                <w:sz w:val="18"/>
                <w:szCs w:val="18"/>
              </w:rPr>
              <w:t>tvoering moet worden teruggebracht en er daarmee meer risico’s voor mens en milieu kunnen ontstaan. De precieze invulling en dus ook het zichtbaar maken van de gevolgen doet de ILT in de jaarplannen en meerjarenplannen, daarin komt ook aan de orde welke ru</w:t>
            </w:r>
            <w:r w:rsidRPr="00A54314">
              <w:rPr>
                <w:rFonts w:ascii="Verdana" w:hAnsi="Verdana"/>
                <w:sz w:val="18"/>
                <w:szCs w:val="18"/>
              </w:rPr>
              <w:t>imte er nog is voor nieuwe taken.</w:t>
            </w:r>
            <w:r w:rsidRPr="00A54314">
              <w:rPr>
                <w:rFonts w:ascii="Verdana" w:hAnsi="Verdana"/>
                <w:sz w:val="18"/>
                <w:szCs w:val="18"/>
              </w:rPr>
              <w:br/>
            </w:r>
          </w:p>
        </w:tc>
      </w:tr>
      <w:tr w:rsidRPr="00A54314" w:rsidR="009B2E0D" w:rsidTr="00D23270" w14:paraId="45869FBF" w14:textId="77777777">
        <w:tc>
          <w:tcPr>
            <w:tcW w:w="567" w:type="dxa"/>
          </w:tcPr>
          <w:p w:rsidRPr="00A54314" w:rsidR="009B2E0D" w:rsidRDefault="00603C2F" w14:paraId="6AC9DDF8" w14:textId="77777777">
            <w:pPr>
              <w:rPr>
                <w:rFonts w:ascii="Verdana" w:hAnsi="Verdana"/>
                <w:sz w:val="18"/>
                <w:szCs w:val="18"/>
              </w:rPr>
            </w:pPr>
            <w:r w:rsidRPr="00A54314">
              <w:rPr>
                <w:rFonts w:ascii="Verdana" w:hAnsi="Verdana"/>
                <w:sz w:val="18"/>
                <w:szCs w:val="18"/>
              </w:rPr>
              <w:t>21</w:t>
            </w:r>
          </w:p>
        </w:tc>
        <w:tc>
          <w:tcPr>
            <w:tcW w:w="8505" w:type="dxa"/>
          </w:tcPr>
          <w:p w:rsidRPr="00A54314" w:rsidR="00367460" w:rsidRDefault="00603C2F" w14:paraId="41D14047" w14:textId="77777777">
            <w:pPr>
              <w:rPr>
                <w:rFonts w:ascii="Verdana" w:hAnsi="Verdana"/>
                <w:sz w:val="18"/>
                <w:szCs w:val="18"/>
              </w:rPr>
            </w:pPr>
            <w:r w:rsidRPr="00A54314">
              <w:rPr>
                <w:rFonts w:ascii="Verdana" w:hAnsi="Verdana"/>
                <w:sz w:val="18"/>
                <w:szCs w:val="18"/>
              </w:rPr>
              <w:t>Welke klimaatakkoordprojecten/-opdrachten kunnen geen doorgang meer vinden, doordat het opdrachtenbudget klimaatakkoord in 2026 t/m 2031 met totaal € 51,3 miljoen wordt verlaagd?</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Antwoord:</w:t>
            </w:r>
            <w:r w:rsidRPr="00A54314">
              <w:rPr>
                <w:rFonts w:ascii="Verdana" w:hAnsi="Verdana"/>
                <w:sz w:val="18"/>
                <w:szCs w:val="18"/>
              </w:rPr>
              <w:br/>
              <w:t>Vanuit de post Klimaatakkoo</w:t>
            </w:r>
            <w:r w:rsidRPr="00A54314">
              <w:rPr>
                <w:rFonts w:ascii="Verdana" w:hAnsi="Verdana"/>
                <w:sz w:val="18"/>
                <w:szCs w:val="18"/>
              </w:rPr>
              <w:t>rd worden de financiële middelen per besluitvormingsmoment overgeboekt naar het juiste beleidsinstrument in de begroting. In de toelichting is abusievelijk vermeld dat de begrotingspost Klimaatakkoord met € 51,3 miljoen wordt verlaagd. Dit is niet correct.</w:t>
            </w:r>
            <w:r w:rsidRPr="00A54314">
              <w:rPr>
                <w:rFonts w:ascii="Verdana" w:hAnsi="Verdana"/>
                <w:sz w:val="18"/>
                <w:szCs w:val="18"/>
              </w:rPr>
              <w:t xml:space="preserve"> In de periode 2026 tot en met 2031 gaat het per saldo om cumulatief € 63,6 miljoen. Dit bedrag bestaat uit:</w:t>
            </w:r>
          </w:p>
          <w:p w:rsidRPr="00A54314" w:rsidR="009B2E0D" w:rsidRDefault="00603C2F" w14:paraId="5D556236" w14:textId="760F3E2D">
            <w:pPr>
              <w:rPr>
                <w:rFonts w:ascii="Verdana" w:hAnsi="Verdana"/>
                <w:sz w:val="18"/>
                <w:szCs w:val="18"/>
              </w:rPr>
            </w:pPr>
            <w:r w:rsidRPr="00A54314">
              <w:rPr>
                <w:rFonts w:ascii="Verdana" w:hAnsi="Verdana"/>
                <w:sz w:val="18"/>
                <w:szCs w:val="18"/>
              </w:rPr>
              <w:br/>
              <w:t>1. Overboekingen naar de juiste beleidsinstrumenten (€ -56,5 miljoen), conform de afgesproken systematiek, waaronder:</w:t>
            </w:r>
          </w:p>
          <w:p w:rsidRPr="00A54314" w:rsidR="009B2E0D" w:rsidRDefault="00603C2F" w14:paraId="2FA599D8" w14:textId="77777777">
            <w:pPr>
              <w:pStyle w:val="ListParagraph"/>
              <w:numPr>
                <w:ilvl w:val="0"/>
                <w:numId w:val="1"/>
              </w:numPr>
              <w:rPr>
                <w:rFonts w:ascii="Verdana" w:hAnsi="Verdana"/>
                <w:sz w:val="18"/>
                <w:szCs w:val="18"/>
              </w:rPr>
            </w:pPr>
            <w:r w:rsidRPr="00A54314">
              <w:rPr>
                <w:rFonts w:ascii="Verdana" w:hAnsi="Verdana"/>
                <w:sz w:val="18"/>
                <w:szCs w:val="18"/>
              </w:rPr>
              <w:t>€ 39 miljoen voor opdrachten</w:t>
            </w:r>
            <w:r w:rsidRPr="00A54314">
              <w:rPr>
                <w:rFonts w:ascii="Verdana" w:hAnsi="Verdana"/>
                <w:sz w:val="18"/>
                <w:szCs w:val="18"/>
              </w:rPr>
              <w:t xml:space="preserve"> duurzame mobiliteit</w:t>
            </w:r>
          </w:p>
          <w:p w:rsidRPr="00A54314" w:rsidR="009B2E0D" w:rsidRDefault="00603C2F" w14:paraId="7F0BC057" w14:textId="77777777">
            <w:pPr>
              <w:pStyle w:val="ListParagraph"/>
              <w:numPr>
                <w:ilvl w:val="0"/>
                <w:numId w:val="1"/>
              </w:numPr>
              <w:rPr>
                <w:rFonts w:ascii="Verdana" w:hAnsi="Verdana"/>
                <w:sz w:val="18"/>
                <w:szCs w:val="18"/>
              </w:rPr>
            </w:pPr>
            <w:r w:rsidRPr="00A54314">
              <w:rPr>
                <w:rFonts w:ascii="Verdana" w:hAnsi="Verdana"/>
                <w:sz w:val="18"/>
                <w:szCs w:val="18"/>
              </w:rPr>
              <w:t>€ 11 miljoen voor opdrachten Elektrisch Vervoer</w:t>
            </w:r>
          </w:p>
          <w:p w:rsidRPr="00A54314" w:rsidR="009B2E0D" w:rsidRDefault="00603C2F" w14:paraId="00DED7C0" w14:textId="77777777">
            <w:pPr>
              <w:pStyle w:val="ListParagraph"/>
              <w:numPr>
                <w:ilvl w:val="0"/>
                <w:numId w:val="1"/>
              </w:numPr>
              <w:rPr>
                <w:rFonts w:ascii="Verdana" w:hAnsi="Verdana"/>
                <w:sz w:val="18"/>
                <w:szCs w:val="18"/>
              </w:rPr>
            </w:pPr>
            <w:r w:rsidRPr="00A54314">
              <w:rPr>
                <w:rFonts w:ascii="Verdana" w:hAnsi="Verdana"/>
                <w:sz w:val="18"/>
                <w:szCs w:val="18"/>
              </w:rPr>
              <w:t>€ 2,1 miljoen voor overige opdrachten</w:t>
            </w:r>
          </w:p>
          <w:p w:rsidRPr="00A54314" w:rsidR="009B2E0D" w:rsidRDefault="00603C2F" w14:paraId="000783E5" w14:textId="77777777">
            <w:pPr>
              <w:pStyle w:val="ListParagraph"/>
              <w:numPr>
                <w:ilvl w:val="0"/>
                <w:numId w:val="1"/>
              </w:numPr>
              <w:rPr>
                <w:rFonts w:ascii="Verdana" w:hAnsi="Verdana"/>
                <w:sz w:val="18"/>
                <w:szCs w:val="18"/>
              </w:rPr>
            </w:pPr>
            <w:r w:rsidRPr="00A54314">
              <w:rPr>
                <w:rFonts w:ascii="Verdana" w:hAnsi="Verdana"/>
                <w:sz w:val="18"/>
                <w:szCs w:val="18"/>
              </w:rPr>
              <w:t>€ 4,4 miljoen als bijdrage aan agentschap Rijkswaterstaat.</w:t>
            </w:r>
          </w:p>
          <w:p w:rsidRPr="00A54314" w:rsidR="009B2E0D" w:rsidRDefault="00603C2F" w14:paraId="3B5BA2F0" w14:textId="77777777">
            <w:pPr>
              <w:rPr>
                <w:rFonts w:ascii="Verdana" w:hAnsi="Verdana"/>
                <w:sz w:val="18"/>
                <w:szCs w:val="18"/>
              </w:rPr>
            </w:pPr>
            <w:r w:rsidRPr="00A54314">
              <w:rPr>
                <w:rFonts w:ascii="Verdana" w:hAnsi="Verdana"/>
                <w:sz w:val="18"/>
                <w:szCs w:val="18"/>
              </w:rPr>
              <w:t>2. De verwerking van de negatieve eindejaarsmarge (€ -13,9 miljoen). </w:t>
            </w:r>
            <w:r w:rsidRPr="00A54314">
              <w:rPr>
                <w:rFonts w:ascii="Verdana" w:hAnsi="Verdana"/>
                <w:sz w:val="18"/>
                <w:szCs w:val="18"/>
              </w:rPr>
              <w:br/>
              <w:t xml:space="preserve">3. Ophoging door </w:t>
            </w:r>
            <w:r w:rsidRPr="00A54314">
              <w:rPr>
                <w:rFonts w:ascii="Verdana" w:hAnsi="Verdana"/>
                <w:sz w:val="18"/>
                <w:szCs w:val="18"/>
              </w:rPr>
              <w:t>terugbetaling (€ +6,8 miljoen) van een lening uit 2025 voor de problematiek rond zonnepanelen bij Schiphol, die weer ten gunste komt van de post Klimaatakkoord.</w:t>
            </w:r>
            <w:r w:rsidRPr="00A54314">
              <w:rPr>
                <w:rFonts w:ascii="Verdana" w:hAnsi="Verdana"/>
                <w:sz w:val="18"/>
                <w:szCs w:val="18"/>
              </w:rPr>
              <w:br/>
            </w:r>
          </w:p>
        </w:tc>
      </w:tr>
      <w:tr w:rsidRPr="00A54314" w:rsidR="009B2E0D" w:rsidTr="00D23270" w14:paraId="0A39B1AD" w14:textId="77777777">
        <w:tc>
          <w:tcPr>
            <w:tcW w:w="567" w:type="dxa"/>
          </w:tcPr>
          <w:p w:rsidRPr="00A54314" w:rsidR="009B2E0D" w:rsidRDefault="00603C2F" w14:paraId="58AB4BCF" w14:textId="77777777">
            <w:pPr>
              <w:rPr>
                <w:rFonts w:ascii="Verdana" w:hAnsi="Verdana"/>
                <w:sz w:val="18"/>
                <w:szCs w:val="18"/>
              </w:rPr>
            </w:pPr>
            <w:r w:rsidRPr="00A54314">
              <w:rPr>
                <w:rFonts w:ascii="Verdana" w:hAnsi="Verdana"/>
                <w:sz w:val="18"/>
                <w:szCs w:val="18"/>
              </w:rPr>
              <w:t>22</w:t>
            </w:r>
          </w:p>
        </w:tc>
        <w:tc>
          <w:tcPr>
            <w:tcW w:w="8505" w:type="dxa"/>
          </w:tcPr>
          <w:p w:rsidRPr="00A54314" w:rsidR="009B2E0D" w:rsidRDefault="00603C2F" w14:paraId="3E8833D8" w14:textId="58D12210">
            <w:pPr>
              <w:rPr>
                <w:rFonts w:ascii="Verdana" w:hAnsi="Verdana"/>
                <w:sz w:val="18"/>
                <w:szCs w:val="18"/>
              </w:rPr>
            </w:pPr>
            <w:r w:rsidRPr="00A54314">
              <w:rPr>
                <w:rFonts w:ascii="Verdana" w:hAnsi="Verdana"/>
                <w:sz w:val="18"/>
                <w:szCs w:val="18"/>
              </w:rPr>
              <w:t>Wat kost gratis ov? Hoe wordt deze berekening gemaakt?</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Antwoord:</w:t>
            </w:r>
            <w:r w:rsidRPr="00A54314">
              <w:rPr>
                <w:rFonts w:ascii="Verdana" w:hAnsi="Verdana"/>
                <w:sz w:val="18"/>
                <w:szCs w:val="18"/>
              </w:rPr>
              <w:br/>
              <w:t>De totale vervoerskosten</w:t>
            </w:r>
            <w:r w:rsidRPr="00A54314">
              <w:rPr>
                <w:rFonts w:ascii="Verdana" w:hAnsi="Verdana"/>
                <w:sz w:val="18"/>
                <w:szCs w:val="18"/>
              </w:rPr>
              <w:t xml:space="preserve"> voor 2024 worden geschat op circa 6,3 miljard euro per jaar. Dit bedrag bestaat uit de reizigersinkomsten (circa 4,0 miljard euro), de middelen voor de OV-studentenkaart (OCW-begroting, circa 1,0 miljard euro) en door exploitatiesubsidies (o.a. via Provin</w:t>
            </w:r>
            <w:r w:rsidRPr="00A54314">
              <w:rPr>
                <w:rFonts w:ascii="Verdana" w:hAnsi="Verdana"/>
                <w:sz w:val="18"/>
                <w:szCs w:val="18"/>
              </w:rPr>
              <w:t>ciefonds en IenW-begroting (BDU Verkeer en Vervoer), circa 1,3 miljard euro). Dit betreffen geaggregeerde cijfers over de reizigersinkomsten op basis van publicatie in de Staat van het OV (te raadplegen via www.crow.nl/kennisproducten). De totale kosten vo</w:t>
            </w:r>
            <w:r w:rsidRPr="00A54314">
              <w:rPr>
                <w:rFonts w:ascii="Verdana" w:hAnsi="Verdana"/>
                <w:sz w:val="18"/>
                <w:szCs w:val="18"/>
              </w:rPr>
              <w:t xml:space="preserve">or het gratis maken van het openbaar vervoer vallen naar verwachting hoger uit, omdat er in deze kostenraming geen rekening mee is gehouden dat bij gratis openbaar vervoer de vraag naar openbaar vervoer stijgt en de kosten voor (bijvoorbeeld) OV-personeel </w:t>
            </w:r>
            <w:r w:rsidRPr="00A54314">
              <w:rPr>
                <w:rFonts w:ascii="Verdana" w:hAnsi="Verdana"/>
                <w:sz w:val="18"/>
                <w:szCs w:val="18"/>
              </w:rPr>
              <w:t>en materieel zal toenemen. </w:t>
            </w:r>
            <w:r w:rsidRPr="00A54314">
              <w:rPr>
                <w:rFonts w:ascii="Verdana" w:hAnsi="Verdana"/>
                <w:sz w:val="18"/>
                <w:szCs w:val="18"/>
              </w:rPr>
              <w:br/>
            </w:r>
          </w:p>
        </w:tc>
      </w:tr>
      <w:tr w:rsidRPr="00A54314" w:rsidR="009B2E0D" w:rsidTr="00D23270" w14:paraId="309FAB3E" w14:textId="77777777">
        <w:tc>
          <w:tcPr>
            <w:tcW w:w="567" w:type="dxa"/>
          </w:tcPr>
          <w:p w:rsidRPr="00A54314" w:rsidR="009B2E0D" w:rsidRDefault="00603C2F" w14:paraId="6261E2E8" w14:textId="77777777">
            <w:pPr>
              <w:rPr>
                <w:rFonts w:ascii="Verdana" w:hAnsi="Verdana"/>
                <w:sz w:val="18"/>
                <w:szCs w:val="18"/>
              </w:rPr>
            </w:pPr>
            <w:r w:rsidRPr="00A54314">
              <w:rPr>
                <w:rFonts w:ascii="Verdana" w:hAnsi="Verdana"/>
                <w:sz w:val="18"/>
                <w:szCs w:val="18"/>
              </w:rPr>
              <w:t>23</w:t>
            </w:r>
          </w:p>
        </w:tc>
        <w:tc>
          <w:tcPr>
            <w:tcW w:w="8505" w:type="dxa"/>
          </w:tcPr>
          <w:p w:rsidRPr="00A54314" w:rsidR="009B2E0D" w:rsidRDefault="00603C2F" w14:paraId="604ACCCD" w14:textId="59B6E737">
            <w:pPr>
              <w:rPr>
                <w:rFonts w:ascii="Verdana" w:hAnsi="Verdana"/>
                <w:sz w:val="18"/>
                <w:szCs w:val="18"/>
              </w:rPr>
            </w:pPr>
            <w:r w:rsidRPr="00A54314">
              <w:rPr>
                <w:rFonts w:ascii="Verdana" w:hAnsi="Verdana"/>
                <w:sz w:val="18"/>
                <w:szCs w:val="18"/>
              </w:rPr>
              <w:t>Hoeveel kost gratis ov, als dit gratis wordt gemaakt voor lage inkomens, bijvoorbeeld voor mensen die onder 120% van het sociaalminimum vallen? Of onder 140% van het sociaal minimum?</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Antwoord:</w:t>
            </w:r>
            <w:r w:rsidRPr="00A54314">
              <w:rPr>
                <w:rFonts w:ascii="Verdana" w:hAnsi="Verdana"/>
                <w:sz w:val="18"/>
                <w:szCs w:val="18"/>
              </w:rPr>
              <w:br/>
              <w:t xml:space="preserve">De reisbewegingen van mensen </w:t>
            </w:r>
            <w:r w:rsidRPr="00A54314">
              <w:rPr>
                <w:rFonts w:ascii="Verdana" w:hAnsi="Verdana"/>
                <w:sz w:val="18"/>
                <w:szCs w:val="18"/>
              </w:rPr>
              <w:t>in een bepaalde inkomensgroep zijn niet bekend voor het openbaar vervoer.  Een kostenindicatie kan daarom niet worden gegeven.</w:t>
            </w:r>
            <w:r w:rsidRPr="00A54314">
              <w:rPr>
                <w:rFonts w:ascii="Verdana" w:hAnsi="Verdana"/>
                <w:sz w:val="18"/>
                <w:szCs w:val="18"/>
              </w:rPr>
              <w:br/>
            </w:r>
          </w:p>
        </w:tc>
      </w:tr>
      <w:tr w:rsidRPr="00A54314" w:rsidR="009B2E0D" w:rsidTr="00D23270" w14:paraId="6E314AD9" w14:textId="77777777">
        <w:tc>
          <w:tcPr>
            <w:tcW w:w="567" w:type="dxa"/>
          </w:tcPr>
          <w:p w:rsidRPr="00A54314" w:rsidR="009B2E0D" w:rsidRDefault="00603C2F" w14:paraId="78792A09" w14:textId="77777777">
            <w:pPr>
              <w:rPr>
                <w:rFonts w:ascii="Verdana" w:hAnsi="Verdana"/>
                <w:sz w:val="18"/>
                <w:szCs w:val="18"/>
              </w:rPr>
            </w:pPr>
            <w:r w:rsidRPr="00A54314">
              <w:rPr>
                <w:rFonts w:ascii="Verdana" w:hAnsi="Verdana"/>
                <w:sz w:val="18"/>
                <w:szCs w:val="18"/>
              </w:rPr>
              <w:t>24</w:t>
            </w:r>
          </w:p>
        </w:tc>
        <w:tc>
          <w:tcPr>
            <w:tcW w:w="8505" w:type="dxa"/>
          </w:tcPr>
          <w:p w:rsidRPr="00A54314" w:rsidR="009B2E0D" w:rsidRDefault="00603C2F" w14:paraId="5B4E842B" w14:textId="10D028DF">
            <w:pPr>
              <w:rPr>
                <w:rFonts w:ascii="Verdana" w:hAnsi="Verdana"/>
                <w:sz w:val="18"/>
                <w:szCs w:val="18"/>
              </w:rPr>
            </w:pPr>
            <w:r w:rsidRPr="00A54314">
              <w:rPr>
                <w:rFonts w:ascii="Verdana" w:hAnsi="Verdana"/>
                <w:sz w:val="18"/>
                <w:szCs w:val="18"/>
              </w:rPr>
              <w:t>Hoeveel kost het om het ov goedkoper te maken aan de hand van een voordelig abonnement waarmee mensen onbeperkt door Nederla</w:t>
            </w:r>
            <w:r w:rsidRPr="00A54314">
              <w:rPr>
                <w:rFonts w:ascii="Verdana" w:hAnsi="Verdana"/>
                <w:sz w:val="18"/>
                <w:szCs w:val="18"/>
              </w:rPr>
              <w:t>nd kunnen reizen? Bijvoorbeeld voor € 40, € 50, € 60, € 70 of € 80?</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Antwoord:</w:t>
            </w:r>
            <w:r w:rsidRPr="00A54314">
              <w:rPr>
                <w:rFonts w:ascii="Verdana" w:hAnsi="Verdana"/>
                <w:sz w:val="18"/>
                <w:szCs w:val="18"/>
              </w:rPr>
              <w:br/>
              <w:t>Zie hiervoor het antwoord op vraag 11. Van belang hierbij is ook of het abonnement alleen geldig is tijdens de daluren of ook tijdens de spitsuren.</w:t>
            </w:r>
            <w:r w:rsidRPr="00A54314">
              <w:rPr>
                <w:rFonts w:ascii="Verdana" w:hAnsi="Verdana"/>
                <w:sz w:val="18"/>
                <w:szCs w:val="18"/>
              </w:rPr>
              <w:br/>
            </w:r>
          </w:p>
        </w:tc>
      </w:tr>
      <w:tr w:rsidRPr="00A54314" w:rsidR="009B2E0D" w:rsidTr="00D23270" w14:paraId="1FFC7E9E" w14:textId="77777777">
        <w:tc>
          <w:tcPr>
            <w:tcW w:w="567" w:type="dxa"/>
          </w:tcPr>
          <w:p w:rsidRPr="00A54314" w:rsidR="009B2E0D" w:rsidRDefault="00603C2F" w14:paraId="74114FE1" w14:textId="77777777">
            <w:pPr>
              <w:rPr>
                <w:rFonts w:ascii="Verdana" w:hAnsi="Verdana"/>
                <w:sz w:val="18"/>
                <w:szCs w:val="18"/>
              </w:rPr>
            </w:pPr>
            <w:r w:rsidRPr="00A54314">
              <w:rPr>
                <w:rFonts w:ascii="Verdana" w:hAnsi="Verdana"/>
                <w:sz w:val="18"/>
                <w:szCs w:val="18"/>
              </w:rPr>
              <w:t>25</w:t>
            </w:r>
          </w:p>
        </w:tc>
        <w:tc>
          <w:tcPr>
            <w:tcW w:w="8505" w:type="dxa"/>
          </w:tcPr>
          <w:p w:rsidRPr="00A54314" w:rsidR="009B2E0D" w:rsidRDefault="00603C2F" w14:paraId="57325E0D" w14:textId="62F82457">
            <w:pPr>
              <w:rPr>
                <w:rFonts w:ascii="Verdana" w:hAnsi="Verdana"/>
                <w:sz w:val="18"/>
                <w:szCs w:val="18"/>
              </w:rPr>
            </w:pPr>
            <w:r w:rsidRPr="00A54314">
              <w:rPr>
                <w:rFonts w:ascii="Verdana" w:hAnsi="Verdana"/>
                <w:sz w:val="18"/>
                <w:szCs w:val="18"/>
              </w:rPr>
              <w:t>Aan welke ov-subsidies p</w:t>
            </w:r>
            <w:r w:rsidRPr="00A54314">
              <w:rPr>
                <w:rFonts w:ascii="Verdana" w:hAnsi="Verdana"/>
                <w:sz w:val="18"/>
                <w:szCs w:val="18"/>
              </w:rPr>
              <w:t>recies wordt in de jaren 2027 tot 2029 minder uitgegeven?</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Antwoord:</w:t>
            </w:r>
            <w:r w:rsidRPr="00A54314">
              <w:rPr>
                <w:rFonts w:ascii="Verdana" w:hAnsi="Verdana"/>
                <w:sz w:val="18"/>
                <w:szCs w:val="18"/>
              </w:rPr>
              <w:br/>
              <w:t>De lagere uitgaven aan ov-subsidies in de jaren 2027–2029 hangen samen met de subsidietaakstelling uit het coalitieakkoord (Jetten), zoals verwerkt bij de Voorjaarsnota 2026. Deze taakste</w:t>
            </w:r>
            <w:r w:rsidRPr="00A54314">
              <w:rPr>
                <w:rFonts w:ascii="Verdana" w:hAnsi="Verdana"/>
                <w:sz w:val="18"/>
                <w:szCs w:val="18"/>
              </w:rPr>
              <w:t>lling is generiek doorvertaald naar een aantal subsidieposten binnen artikel 16 (Openbaar Vervoer en Spoor).</w:t>
            </w:r>
            <w:r w:rsidRPr="00A54314">
              <w:rPr>
                <w:rFonts w:ascii="Verdana" w:hAnsi="Verdana"/>
                <w:sz w:val="18"/>
                <w:szCs w:val="18"/>
              </w:rPr>
              <w:br/>
            </w:r>
            <w:r w:rsidRPr="00A54314">
              <w:rPr>
                <w:rFonts w:ascii="Verdana" w:hAnsi="Verdana"/>
                <w:sz w:val="18"/>
                <w:szCs w:val="18"/>
              </w:rPr>
              <w:br/>
              <w:t>De taakstelling raakt de volgende (categorieën van) subsidies:</w:t>
            </w:r>
          </w:p>
          <w:p w:rsidRPr="00A54314" w:rsidR="009B2E0D" w:rsidRDefault="00603C2F" w14:paraId="424F078B" w14:textId="77777777">
            <w:pPr>
              <w:pStyle w:val="ListParagraph"/>
              <w:numPr>
                <w:ilvl w:val="0"/>
                <w:numId w:val="2"/>
              </w:numPr>
              <w:rPr>
                <w:rFonts w:ascii="Verdana" w:hAnsi="Verdana"/>
                <w:sz w:val="18"/>
                <w:szCs w:val="18"/>
              </w:rPr>
            </w:pPr>
            <w:r w:rsidRPr="00A54314">
              <w:rPr>
                <w:rFonts w:ascii="Verdana" w:hAnsi="Verdana"/>
                <w:sz w:val="18"/>
                <w:szCs w:val="18"/>
              </w:rPr>
              <w:t>De subsidie aan NS voor de uitvoering van de hoofdrailnetconcessie 2025–2033 en het</w:t>
            </w:r>
            <w:r w:rsidRPr="00A54314">
              <w:rPr>
                <w:rFonts w:ascii="Verdana" w:hAnsi="Verdana"/>
                <w:sz w:val="18"/>
                <w:szCs w:val="18"/>
              </w:rPr>
              <w:t xml:space="preserve"> landelijk reisinformatiesysteem;</w:t>
            </w:r>
          </w:p>
          <w:p w:rsidRPr="00A54314" w:rsidR="009B2E0D" w:rsidRDefault="00603C2F" w14:paraId="6CE12BC5" w14:textId="77777777">
            <w:pPr>
              <w:pStyle w:val="ListParagraph"/>
              <w:numPr>
                <w:ilvl w:val="0"/>
                <w:numId w:val="2"/>
              </w:numPr>
              <w:rPr>
                <w:rFonts w:ascii="Verdana" w:hAnsi="Verdana"/>
                <w:sz w:val="18"/>
                <w:szCs w:val="18"/>
              </w:rPr>
            </w:pPr>
            <w:r w:rsidRPr="00A54314">
              <w:rPr>
                <w:rFonts w:ascii="Verdana" w:hAnsi="Verdana"/>
                <w:sz w:val="18"/>
                <w:szCs w:val="18"/>
              </w:rPr>
              <w:t>De subsidie aan NS voor sociale veiligheid;</w:t>
            </w:r>
          </w:p>
          <w:p w:rsidRPr="00A54314" w:rsidR="009B2E0D" w:rsidRDefault="00603C2F" w14:paraId="15592153" w14:textId="77777777">
            <w:pPr>
              <w:pStyle w:val="ListParagraph"/>
              <w:numPr>
                <w:ilvl w:val="0"/>
                <w:numId w:val="2"/>
              </w:numPr>
              <w:rPr>
                <w:rFonts w:ascii="Verdana" w:hAnsi="Verdana"/>
                <w:sz w:val="18"/>
                <w:szCs w:val="18"/>
              </w:rPr>
            </w:pPr>
            <w:r w:rsidRPr="00A54314">
              <w:rPr>
                <w:rFonts w:ascii="Verdana" w:hAnsi="Verdana"/>
                <w:sz w:val="18"/>
                <w:szCs w:val="18"/>
              </w:rPr>
              <w:t>Subsidies aan consumentenorganisaties in het OV, waaronder de bijdrage aan Reizigersvereniging Rover en de Geschillencommissie (Klachtenloket OV);</w:t>
            </w:r>
          </w:p>
          <w:p w:rsidRPr="00A54314" w:rsidR="009B2E0D" w:rsidRDefault="00603C2F" w14:paraId="17603144" w14:textId="77777777">
            <w:pPr>
              <w:pStyle w:val="ListParagraph"/>
              <w:numPr>
                <w:ilvl w:val="0"/>
                <w:numId w:val="2"/>
              </w:numPr>
              <w:rPr>
                <w:rFonts w:ascii="Verdana" w:hAnsi="Verdana"/>
                <w:sz w:val="18"/>
                <w:szCs w:val="18"/>
              </w:rPr>
            </w:pPr>
            <w:r w:rsidRPr="00A54314">
              <w:rPr>
                <w:rFonts w:ascii="Verdana" w:hAnsi="Verdana"/>
                <w:sz w:val="18"/>
                <w:szCs w:val="18"/>
              </w:rPr>
              <w:t xml:space="preserve">Subsidies voor regionale </w:t>
            </w:r>
            <w:r w:rsidRPr="00A54314">
              <w:rPr>
                <w:rFonts w:ascii="Verdana" w:hAnsi="Verdana"/>
                <w:sz w:val="18"/>
                <w:szCs w:val="18"/>
              </w:rPr>
              <w:t>ov-systemen, waaronder de OV-klantenbarometer (CROW).</w:t>
            </w:r>
          </w:p>
          <w:p w:rsidRPr="00A54314" w:rsidR="009B2E0D" w:rsidRDefault="00603C2F" w14:paraId="604EB573" w14:textId="77777777">
            <w:pPr>
              <w:rPr>
                <w:rFonts w:ascii="Verdana" w:hAnsi="Verdana"/>
                <w:sz w:val="18"/>
                <w:szCs w:val="18"/>
              </w:rPr>
            </w:pPr>
            <w:r w:rsidRPr="00A54314">
              <w:rPr>
                <w:rFonts w:ascii="Verdana" w:hAnsi="Verdana"/>
                <w:sz w:val="18"/>
                <w:szCs w:val="18"/>
              </w:rPr>
              <w:br/>
              <w:t>De verlaging is structureel van aard en bedraagt indicatief (x €1.000 per jaar):</w:t>
            </w:r>
          </w:p>
          <w:p w:rsidRPr="00A54314" w:rsidR="009B2E0D" w:rsidRDefault="00603C2F" w14:paraId="4693DC03" w14:textId="77777777">
            <w:pPr>
              <w:pStyle w:val="ListParagraph"/>
              <w:numPr>
                <w:ilvl w:val="0"/>
                <w:numId w:val="3"/>
              </w:numPr>
              <w:rPr>
                <w:rFonts w:ascii="Verdana" w:hAnsi="Verdana"/>
                <w:sz w:val="18"/>
                <w:szCs w:val="18"/>
              </w:rPr>
            </w:pPr>
            <w:r w:rsidRPr="00A54314">
              <w:rPr>
                <w:rFonts w:ascii="Verdana" w:hAnsi="Verdana"/>
                <w:sz w:val="18"/>
                <w:szCs w:val="18"/>
              </w:rPr>
              <w:t>NS-concessie: -198</w:t>
            </w:r>
          </w:p>
          <w:p w:rsidRPr="00A54314" w:rsidR="009B2E0D" w:rsidRDefault="00603C2F" w14:paraId="316C33C3" w14:textId="77777777">
            <w:pPr>
              <w:pStyle w:val="ListParagraph"/>
              <w:numPr>
                <w:ilvl w:val="0"/>
                <w:numId w:val="3"/>
              </w:numPr>
              <w:rPr>
                <w:rFonts w:ascii="Verdana" w:hAnsi="Verdana"/>
                <w:sz w:val="18"/>
                <w:szCs w:val="18"/>
              </w:rPr>
            </w:pPr>
            <w:r w:rsidRPr="00A54314">
              <w:rPr>
                <w:rFonts w:ascii="Verdana" w:hAnsi="Verdana"/>
                <w:sz w:val="18"/>
                <w:szCs w:val="18"/>
              </w:rPr>
              <w:t>NS sociale veiligheid: -21</w:t>
            </w:r>
          </w:p>
          <w:p w:rsidRPr="00A54314" w:rsidR="009B2E0D" w:rsidRDefault="00603C2F" w14:paraId="1F0A7D0F" w14:textId="77777777">
            <w:pPr>
              <w:pStyle w:val="ListParagraph"/>
              <w:numPr>
                <w:ilvl w:val="0"/>
                <w:numId w:val="3"/>
              </w:numPr>
              <w:rPr>
                <w:rFonts w:ascii="Verdana" w:hAnsi="Verdana"/>
                <w:sz w:val="18"/>
                <w:szCs w:val="18"/>
              </w:rPr>
            </w:pPr>
            <w:r w:rsidRPr="00A54314">
              <w:rPr>
                <w:rFonts w:ascii="Verdana" w:hAnsi="Verdana"/>
                <w:sz w:val="18"/>
                <w:szCs w:val="18"/>
              </w:rPr>
              <w:t>Consumentenorganisaties OV: -7</w:t>
            </w:r>
          </w:p>
          <w:p w:rsidRPr="00A54314" w:rsidR="009B2E0D" w:rsidP="003565F4" w:rsidRDefault="00603C2F" w14:paraId="0A5CAA43" w14:textId="296D22E2">
            <w:pPr>
              <w:pStyle w:val="ListParagraph"/>
              <w:numPr>
                <w:ilvl w:val="0"/>
                <w:numId w:val="3"/>
              </w:numPr>
              <w:rPr>
                <w:rFonts w:ascii="Verdana" w:hAnsi="Verdana"/>
                <w:sz w:val="18"/>
                <w:szCs w:val="18"/>
              </w:rPr>
            </w:pPr>
            <w:r w:rsidRPr="00A54314">
              <w:rPr>
                <w:rFonts w:ascii="Verdana" w:hAnsi="Verdana"/>
                <w:sz w:val="18"/>
                <w:szCs w:val="18"/>
              </w:rPr>
              <w:t>Regionale Ov-systemen: -2</w:t>
            </w:r>
            <w:r w:rsidRPr="00A54314">
              <w:rPr>
                <w:rFonts w:ascii="Verdana" w:hAnsi="Verdana"/>
                <w:sz w:val="18"/>
                <w:szCs w:val="18"/>
              </w:rPr>
              <w:br/>
            </w:r>
          </w:p>
        </w:tc>
      </w:tr>
      <w:tr w:rsidRPr="00A54314" w:rsidR="009B2E0D" w:rsidTr="00D23270" w14:paraId="2A74FF71" w14:textId="77777777">
        <w:tc>
          <w:tcPr>
            <w:tcW w:w="567" w:type="dxa"/>
          </w:tcPr>
          <w:p w:rsidRPr="00A54314" w:rsidR="009B2E0D" w:rsidRDefault="00603C2F" w14:paraId="349248AB" w14:textId="77777777">
            <w:pPr>
              <w:rPr>
                <w:rFonts w:ascii="Verdana" w:hAnsi="Verdana"/>
                <w:sz w:val="18"/>
                <w:szCs w:val="18"/>
              </w:rPr>
            </w:pPr>
            <w:r w:rsidRPr="00A54314">
              <w:rPr>
                <w:rFonts w:ascii="Verdana" w:hAnsi="Verdana"/>
                <w:sz w:val="18"/>
                <w:szCs w:val="18"/>
              </w:rPr>
              <w:t>26</w:t>
            </w:r>
          </w:p>
        </w:tc>
        <w:tc>
          <w:tcPr>
            <w:tcW w:w="8505" w:type="dxa"/>
          </w:tcPr>
          <w:p w:rsidRPr="00A54314" w:rsidR="009B2E0D" w:rsidRDefault="00603C2F" w14:paraId="6AFA96B8" w14:textId="40A5B2E6">
            <w:pPr>
              <w:rPr>
                <w:rFonts w:ascii="Verdana" w:hAnsi="Verdana"/>
                <w:sz w:val="18"/>
                <w:szCs w:val="18"/>
              </w:rPr>
            </w:pPr>
            <w:r w:rsidRPr="00A54314">
              <w:rPr>
                <w:rFonts w:ascii="Verdana" w:hAnsi="Verdana"/>
                <w:sz w:val="18"/>
                <w:szCs w:val="18"/>
              </w:rPr>
              <w:t>Waarvoor wor</w:t>
            </w:r>
            <w:r w:rsidRPr="00A54314">
              <w:rPr>
                <w:rFonts w:ascii="Verdana" w:hAnsi="Verdana"/>
                <w:sz w:val="18"/>
                <w:szCs w:val="18"/>
              </w:rPr>
              <w:t>dt het extra geld voor de luchtruimherziening gebruikt?</w:t>
            </w:r>
            <w:r w:rsidRPr="00A54314">
              <w:rPr>
                <w:rFonts w:ascii="Verdana" w:hAnsi="Verdana"/>
                <w:sz w:val="18"/>
                <w:szCs w:val="18"/>
              </w:rPr>
              <w:br/>
            </w:r>
            <w:r w:rsidRPr="00A54314">
              <w:rPr>
                <w:rFonts w:ascii="Verdana" w:hAnsi="Verdana"/>
                <w:sz w:val="18"/>
                <w:szCs w:val="18"/>
              </w:rPr>
              <w:br/>
            </w:r>
            <w:r w:rsidRPr="00A54314">
              <w:rPr>
                <w:rFonts w:ascii="Verdana" w:hAnsi="Verdana"/>
                <w:b/>
                <w:sz w:val="18"/>
                <w:szCs w:val="18"/>
              </w:rPr>
              <w:t>Antwoord:</w:t>
            </w:r>
            <w:r w:rsidRPr="00A54314">
              <w:rPr>
                <w:rFonts w:ascii="Verdana" w:hAnsi="Verdana"/>
                <w:sz w:val="18"/>
                <w:szCs w:val="18"/>
              </w:rPr>
              <w:br/>
              <w:t xml:space="preserve">Een deel van de middelen die voorheen onder Luchtruim en Regio Luchthavens verantwoord werd wordt nu onder Luchtruimherziening verantwoord. Dit heeft te maken met de organisatieverandering </w:t>
            </w:r>
            <w:r w:rsidRPr="00A54314">
              <w:rPr>
                <w:rFonts w:ascii="Verdana" w:hAnsi="Verdana"/>
                <w:sz w:val="18"/>
                <w:szCs w:val="18"/>
              </w:rPr>
              <w:t>van de luchtvaartdirecties per 1 januari 2026. Het betreft in 2026 dus geen ophoging van het budget voor het programma Luchtruimherziening. Voor het programma Luchtruimherziening zelf is in 2027 een toevoeging van €1,0 mln. vanwege de bijdrage van het mini</w:t>
            </w:r>
            <w:r w:rsidRPr="00A54314">
              <w:rPr>
                <w:rFonts w:ascii="Verdana" w:hAnsi="Verdana"/>
                <w:sz w:val="18"/>
                <w:szCs w:val="18"/>
              </w:rPr>
              <w:t>sterie van Defensie.</w:t>
            </w:r>
            <w:r w:rsidRPr="00A54314">
              <w:rPr>
                <w:rFonts w:ascii="Verdana" w:hAnsi="Verdana"/>
                <w:sz w:val="18"/>
                <w:szCs w:val="18"/>
              </w:rPr>
              <w:br/>
            </w:r>
          </w:p>
        </w:tc>
      </w:tr>
    </w:tbl>
    <w:p w:rsidRPr="00A54314" w:rsidR="003565F4" w:rsidRDefault="003565F4" w14:paraId="6578496C" w14:textId="494AD605">
      <w:pPr>
        <w:rPr>
          <w:rFonts w:ascii="Verdana" w:hAnsi="Verdana"/>
          <w:sz w:val="18"/>
          <w:szCs w:val="18"/>
        </w:rPr>
      </w:pPr>
    </w:p>
    <w:p w:rsidRPr="00A54314" w:rsidR="003565F4" w:rsidRDefault="003565F4" w14:paraId="57014825" w14:textId="77777777">
      <w:pPr>
        <w:rPr>
          <w:rFonts w:ascii="Verdana" w:hAnsi="Verdana"/>
          <w:sz w:val="18"/>
          <w:szCs w:val="18"/>
        </w:rPr>
      </w:pPr>
      <w:r w:rsidRPr="00A54314">
        <w:rPr>
          <w:rFonts w:ascii="Verdana" w:hAnsi="Verdana"/>
          <w:sz w:val="18"/>
          <w:szCs w:val="18"/>
        </w:rPr>
        <w:br w:type="page"/>
      </w:r>
    </w:p>
    <w:p w:rsidRPr="00A54314" w:rsidR="00367460" w:rsidP="00367460" w:rsidRDefault="00367460" w14:paraId="72319B28" w14:textId="77777777">
      <w:pPr>
        <w:rPr>
          <w:rFonts w:ascii="Verdana" w:hAnsi="Verdana"/>
          <w:b/>
          <w:bCs/>
          <w:sz w:val="18"/>
          <w:szCs w:val="18"/>
        </w:rPr>
      </w:pPr>
      <w:r w:rsidRPr="00A54314">
        <w:rPr>
          <w:rFonts w:ascii="Verdana" w:hAnsi="Verdana"/>
          <w:b/>
          <w:bCs/>
          <w:sz w:val="18"/>
          <w:szCs w:val="18"/>
        </w:rPr>
        <w:t>Bijlage</w:t>
      </w:r>
    </w:p>
    <w:p w:rsidRPr="00A54314" w:rsidR="00367460" w:rsidP="00367460" w:rsidRDefault="00367460" w14:paraId="741A3754" w14:textId="371D1561">
      <w:pPr>
        <w:rPr>
          <w:rFonts w:ascii="Verdana" w:hAnsi="Verdana"/>
          <w:sz w:val="18"/>
          <w:szCs w:val="18"/>
        </w:rPr>
      </w:pPr>
      <w:r w:rsidRPr="00A54314">
        <w:rPr>
          <w:rFonts w:ascii="Verdana" w:hAnsi="Verdana"/>
          <w:sz w:val="18"/>
          <w:szCs w:val="18"/>
        </w:rPr>
        <w:t xml:space="preserve">Tabel behorend bij </w:t>
      </w:r>
      <w:r w:rsidRPr="00A54314" w:rsidR="00036B64">
        <w:rPr>
          <w:rFonts w:ascii="Verdana" w:hAnsi="Verdana"/>
          <w:sz w:val="18"/>
          <w:szCs w:val="18"/>
        </w:rPr>
        <w:t>a</w:t>
      </w:r>
      <w:r w:rsidRPr="00A54314">
        <w:rPr>
          <w:rFonts w:ascii="Verdana" w:hAnsi="Verdana"/>
          <w:sz w:val="18"/>
          <w:szCs w:val="18"/>
        </w:rPr>
        <w:t>ntwoord 18.</w:t>
      </w:r>
    </w:p>
    <w:p w:rsidRPr="00A54314" w:rsidR="007108D8" w:rsidP="00367460" w:rsidRDefault="00367460" w14:paraId="5C65D28A" w14:textId="3095A0DD">
      <w:pPr>
        <w:jc w:val="center"/>
        <w:rPr>
          <w:rFonts w:ascii="Verdana" w:hAnsi="Verdana"/>
          <w:sz w:val="18"/>
          <w:szCs w:val="18"/>
        </w:rPr>
      </w:pPr>
      <w:r w:rsidRPr="00A54314">
        <w:rPr>
          <w:rFonts w:ascii="Verdana" w:hAnsi="Verdana"/>
          <w:noProof/>
          <w:sz w:val="18"/>
          <w:szCs w:val="18"/>
          <w:lang w:val="en-GB" w:eastAsia="en-GB"/>
        </w:rPr>
        <w:drawing>
          <wp:inline distT="0" distB="0" distL="0" distR="0" wp14:anchorId="7748FE33" wp14:editId="5F1146F5">
            <wp:extent cx="7471719" cy="2140542"/>
            <wp:effectExtent l="0" t="1270" r="0" b="0"/>
            <wp:docPr id="1216548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54868" name=""/>
                    <pic:cNvPicPr/>
                  </pic:nvPicPr>
                  <pic:blipFill>
                    <a:blip r:embed="rId6"/>
                    <a:stretch>
                      <a:fillRect/>
                    </a:stretch>
                  </pic:blipFill>
                  <pic:spPr>
                    <a:xfrm rot="5400000">
                      <a:off x="0" y="0"/>
                      <a:ext cx="7549971" cy="2162960"/>
                    </a:xfrm>
                    <a:prstGeom prst="rect">
                      <a:avLst/>
                    </a:prstGeom>
                  </pic:spPr>
                </pic:pic>
              </a:graphicData>
            </a:graphic>
          </wp:inline>
        </w:drawing>
      </w:r>
    </w:p>
    <w:sectPr w:rsidRPr="00A54314" w:rsidR="007108D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7611"/>
    <w:multiLevelType w:val="singleLevel"/>
    <w:tmpl w:val="8F2295D6"/>
    <w:lvl w:ilvl="0">
      <w:numFmt w:val="bullet"/>
      <w:lvlText w:val="•"/>
      <w:lvlJc w:val="left"/>
      <w:pPr>
        <w:ind w:left="420" w:hanging="360"/>
      </w:pPr>
    </w:lvl>
  </w:abstractNum>
  <w:abstractNum w:abstractNumId="1" w15:restartNumberingAfterBreak="0">
    <w:nsid w:val="33837527"/>
    <w:multiLevelType w:val="singleLevel"/>
    <w:tmpl w:val="6FA6BC4C"/>
    <w:lvl w:ilvl="0">
      <w:numFmt w:val="bullet"/>
      <w:lvlText w:val="▪"/>
      <w:lvlJc w:val="left"/>
      <w:pPr>
        <w:ind w:left="420" w:hanging="360"/>
      </w:pPr>
    </w:lvl>
  </w:abstractNum>
  <w:abstractNum w:abstractNumId="2" w15:restartNumberingAfterBreak="0">
    <w:nsid w:val="611A6024"/>
    <w:multiLevelType w:val="singleLevel"/>
    <w:tmpl w:val="0F8E0BA8"/>
    <w:lvl w:ilvl="0">
      <w:start w:val="1"/>
      <w:numFmt w:val="decimal"/>
      <w:lvlText w:val="%1."/>
      <w:lvlJc w:val="left"/>
      <w:pPr>
        <w:ind w:left="420" w:hanging="360"/>
      </w:pPr>
    </w:lvl>
  </w:abstractNum>
  <w:abstractNum w:abstractNumId="3" w15:restartNumberingAfterBreak="0">
    <w:nsid w:val="647E739C"/>
    <w:multiLevelType w:val="singleLevel"/>
    <w:tmpl w:val="134A7B9C"/>
    <w:lvl w:ilvl="0">
      <w:numFmt w:val="bullet"/>
      <w:lvlText w:val="o"/>
      <w:lvlJc w:val="left"/>
      <w:pPr>
        <w:ind w:left="420" w:hanging="360"/>
      </w:pPr>
    </w:lvl>
  </w:abstractNum>
  <w:abstractNum w:abstractNumId="4" w15:restartNumberingAfterBreak="0">
    <w:nsid w:val="66A938F9"/>
    <w:multiLevelType w:val="singleLevel"/>
    <w:tmpl w:val="EEBE7A0C"/>
    <w:lvl w:ilvl="0">
      <w:start w:val="1"/>
      <w:numFmt w:val="lowerLetter"/>
      <w:lvlText w:val="%1."/>
      <w:lvlJc w:val="left"/>
      <w:pPr>
        <w:ind w:left="420" w:hanging="360"/>
      </w:pPr>
    </w:lvl>
  </w:abstractNum>
  <w:abstractNum w:abstractNumId="5" w15:restartNumberingAfterBreak="0">
    <w:nsid w:val="67A97B4B"/>
    <w:multiLevelType w:val="singleLevel"/>
    <w:tmpl w:val="92380672"/>
    <w:lvl w:ilvl="0">
      <w:start w:val="1"/>
      <w:numFmt w:val="upperRoman"/>
      <w:lvlText w:val="%1."/>
      <w:lvlJc w:val="left"/>
      <w:pPr>
        <w:ind w:left="420" w:hanging="360"/>
      </w:pPr>
    </w:lvl>
  </w:abstractNum>
  <w:abstractNum w:abstractNumId="6" w15:restartNumberingAfterBreak="0">
    <w:nsid w:val="699F4720"/>
    <w:multiLevelType w:val="singleLevel"/>
    <w:tmpl w:val="DA769DE6"/>
    <w:lvl w:ilvl="0">
      <w:start w:val="1"/>
      <w:numFmt w:val="upperLetter"/>
      <w:lvlText w:val="%1."/>
      <w:lvlJc w:val="left"/>
      <w:pPr>
        <w:ind w:left="420" w:hanging="360"/>
      </w:pPr>
    </w:lvl>
  </w:abstractNum>
  <w:abstractNum w:abstractNumId="7" w15:restartNumberingAfterBreak="0">
    <w:nsid w:val="7A43381D"/>
    <w:multiLevelType w:val="singleLevel"/>
    <w:tmpl w:val="DDD274A4"/>
    <w:lvl w:ilvl="0">
      <w:start w:val="1"/>
      <w:numFmt w:val="lowerRoman"/>
      <w:lvlText w:val="%1."/>
      <w:lvlJc w:val="left"/>
      <w:pPr>
        <w:ind w:left="42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E0D"/>
    <w:rsid w:val="00036B64"/>
    <w:rsid w:val="00150DC6"/>
    <w:rsid w:val="00154A32"/>
    <w:rsid w:val="0016302D"/>
    <w:rsid w:val="002E72F9"/>
    <w:rsid w:val="003565F4"/>
    <w:rsid w:val="00367460"/>
    <w:rsid w:val="00450C9C"/>
    <w:rsid w:val="004E60D8"/>
    <w:rsid w:val="00603C2F"/>
    <w:rsid w:val="00606645"/>
    <w:rsid w:val="007108D8"/>
    <w:rsid w:val="009B2E0D"/>
    <w:rsid w:val="00A54314"/>
    <w:rsid w:val="00D23270"/>
    <w:rsid w:val="00F724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D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83362">
      <w:bodyDiv w:val="1"/>
      <w:marLeft w:val="0"/>
      <w:marRight w:val="0"/>
      <w:marTop w:val="0"/>
      <w:marBottom w:val="0"/>
      <w:divBdr>
        <w:top w:val="none" w:sz="0" w:space="0" w:color="auto"/>
        <w:left w:val="none" w:sz="0" w:space="0" w:color="auto"/>
        <w:bottom w:val="none" w:sz="0" w:space="0" w:color="auto"/>
        <w:right w:val="none" w:sz="0" w:space="0" w:color="auto"/>
      </w:divBdr>
    </w:div>
    <w:div w:id="1117219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2761</ap:Words>
  <ap:Characters>15740</ap:Characters>
  <ap:DocSecurity>0</ap:DocSecurity>
  <ap:Lines>131</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2026-04-20T06:40:00.0000000Z</dcterms:created>
  <dcterms:modified xsi:type="dcterms:W3CDTF">2026-04-20T06:40:00.0000000Z</dcterms:modified>
  <dc:description>------------------------</dc:description>
  <dc:subject/>
  <dc:title/>
  <keywords/>
  <version/>
  <category/>
</coreProperties>
</file>