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06E2" w:rsidR="00073B52" w:rsidRDefault="001856D0" w14:paraId="70D18701" w14:textId="3061B1C9">
      <w:pPr>
        <w:autoSpaceDE w:val="0"/>
        <w:autoSpaceDN w:val="0"/>
        <w:adjustRightInd w:val="0"/>
        <w:spacing w:before="0" w:after="0"/>
        <w:ind w:left="1416" w:hanging="1371"/>
        <w:rPr>
          <w:b/>
          <w:bCs/>
          <w:sz w:val="24"/>
          <w:szCs w:val="24"/>
        </w:rPr>
      </w:pPr>
      <w:r w:rsidRPr="00A406E2">
        <w:rPr>
          <w:b/>
          <w:bCs/>
          <w:sz w:val="24"/>
          <w:szCs w:val="24"/>
        </w:rPr>
        <w:t>36915-</w:t>
      </w:r>
      <w:r w:rsidRPr="00A406E2" w:rsidR="009D29EC">
        <w:rPr>
          <w:b/>
          <w:bCs/>
          <w:sz w:val="24"/>
          <w:szCs w:val="24"/>
        </w:rPr>
        <w:t>VIII</w:t>
      </w:r>
      <w:r w:rsidRPr="00A406E2">
        <w:rPr>
          <w:b/>
          <w:bCs/>
          <w:sz w:val="24"/>
          <w:szCs w:val="24"/>
        </w:rPr>
        <w:tab/>
        <w:t>Wijziging van de begrotingsstaten van het ministerie van Onderwijs, Cultuur en Wetenschap (VIII) voor het jaar 2026 (wijziging samenhangende met de Voorjaarsnota)</w:t>
      </w:r>
    </w:p>
    <w:p w:rsidRPr="00A406E2" w:rsidR="00073B52" w:rsidRDefault="00073B52" w14:paraId="3135274D" w14:textId="77777777">
      <w:pPr>
        <w:autoSpaceDE w:val="0"/>
        <w:autoSpaceDN w:val="0"/>
        <w:adjustRightInd w:val="0"/>
        <w:spacing w:before="0" w:after="0"/>
        <w:ind w:left="1416" w:hanging="1371"/>
        <w:rPr>
          <w:b/>
          <w:sz w:val="24"/>
          <w:szCs w:val="24"/>
        </w:rPr>
      </w:pPr>
    </w:p>
    <w:p w:rsidRPr="00A406E2" w:rsidR="00073B52" w:rsidRDefault="001856D0" w14:paraId="5F318B37" w14:textId="77777777">
      <w:pPr>
        <w:rPr>
          <w:b/>
          <w:sz w:val="24"/>
          <w:szCs w:val="24"/>
        </w:rPr>
      </w:pPr>
      <w:r w:rsidRPr="00A406E2">
        <w:rPr>
          <w:b/>
          <w:sz w:val="24"/>
          <w:szCs w:val="24"/>
        </w:rPr>
        <w:t xml:space="preserve">nr. </w:t>
      </w:r>
      <w:r w:rsidRPr="00A406E2">
        <w:rPr>
          <w:b/>
          <w:sz w:val="24"/>
          <w:szCs w:val="24"/>
        </w:rPr>
        <w:tab/>
      </w:r>
      <w:r w:rsidRPr="00A406E2">
        <w:rPr>
          <w:b/>
          <w:sz w:val="24"/>
          <w:szCs w:val="24"/>
        </w:rPr>
        <w:tab/>
        <w:t>Lijst van vragen en antwoorden</w:t>
      </w:r>
    </w:p>
    <w:p w:rsidRPr="00A406E2" w:rsidR="00073B52" w:rsidRDefault="001856D0" w14:paraId="0AB69972" w14:textId="77777777">
      <w:pPr>
        <w:rPr>
          <w:sz w:val="24"/>
          <w:szCs w:val="24"/>
        </w:rPr>
      </w:pPr>
      <w:r w:rsidRPr="00A406E2">
        <w:rPr>
          <w:sz w:val="24"/>
          <w:szCs w:val="24"/>
        </w:rPr>
        <w:tab/>
      </w:r>
      <w:r w:rsidRPr="00A406E2">
        <w:rPr>
          <w:sz w:val="24"/>
          <w:szCs w:val="24"/>
        </w:rPr>
        <w:tab/>
      </w:r>
    </w:p>
    <w:p w:rsidRPr="00A406E2" w:rsidR="00073B52" w:rsidRDefault="001856D0" w14:paraId="1A296370" w14:textId="77777777">
      <w:pPr>
        <w:ind w:left="702" w:firstLine="708"/>
        <w:rPr>
          <w:i/>
          <w:sz w:val="24"/>
          <w:szCs w:val="24"/>
        </w:rPr>
      </w:pPr>
      <w:r w:rsidRPr="00A406E2">
        <w:rPr>
          <w:sz w:val="24"/>
          <w:szCs w:val="24"/>
        </w:rPr>
        <w:t xml:space="preserve">Vastgesteld </w:t>
      </w:r>
      <w:r w:rsidRPr="00A406E2">
        <w:rPr>
          <w:i/>
          <w:sz w:val="24"/>
          <w:szCs w:val="24"/>
        </w:rPr>
        <w:t>(wordt door griffie ingevuld als antwoorden er zijn)</w:t>
      </w:r>
    </w:p>
    <w:p w:rsidRPr="00A406E2" w:rsidR="00073B52" w:rsidP="004B49CB" w:rsidRDefault="004B49CB" w14:paraId="3151600F" w14:textId="074D9497">
      <w:pPr>
        <w:spacing w:before="0" w:after="0"/>
        <w:ind w:left="1410"/>
        <w:rPr>
          <w:sz w:val="24"/>
          <w:szCs w:val="24"/>
        </w:rPr>
      </w:pPr>
      <w:r w:rsidRPr="00A406E2">
        <w:rPr>
          <w:sz w:val="24"/>
          <w:szCs w:val="24"/>
        </w:rPr>
        <w:t>De vaste commissie voor Onderwijs, Cultuur en Wetenschap belast met het voorbereidend onderzoek van het wetsvoorstel inzake de Wijziging van de begrotingsstaten van het Ministerie van Onderwijs, Cultuur en Wetenschap (VIII) voor het jaar 2026 (wijziging samenhangende met de Voorjaarsnota) heeft de eer als volgt verslag uit te brengen van haar bevindingen in de vorm van een lijst van vragen.</w:t>
      </w:r>
    </w:p>
    <w:p w:rsidRPr="00A406E2" w:rsidR="004B49CB" w:rsidRDefault="004B49CB" w14:paraId="256BB158" w14:textId="77777777">
      <w:pPr>
        <w:spacing w:before="0" w:after="0"/>
        <w:ind w:left="703" w:firstLine="709"/>
        <w:rPr>
          <w:sz w:val="24"/>
          <w:szCs w:val="24"/>
        </w:rPr>
      </w:pPr>
    </w:p>
    <w:p w:rsidRPr="00A406E2" w:rsidR="00073B52" w:rsidRDefault="001856D0" w14:paraId="19DEF326" w14:textId="464A249F">
      <w:pPr>
        <w:spacing w:before="0" w:after="0"/>
        <w:ind w:left="703" w:firstLine="709"/>
        <w:rPr>
          <w:sz w:val="24"/>
          <w:szCs w:val="24"/>
        </w:rPr>
      </w:pPr>
      <w:r w:rsidRPr="00A406E2">
        <w:rPr>
          <w:sz w:val="24"/>
          <w:szCs w:val="24"/>
        </w:rPr>
        <w:t xml:space="preserve">Voorzitter van de commissie, </w:t>
      </w:r>
    </w:p>
    <w:p w:rsidRPr="00A406E2" w:rsidR="00073B52" w:rsidRDefault="001856D0" w14:paraId="1922A829" w14:textId="2278CB6B">
      <w:pPr>
        <w:spacing w:before="0" w:after="0"/>
        <w:rPr>
          <w:sz w:val="24"/>
          <w:szCs w:val="24"/>
        </w:rPr>
      </w:pPr>
      <w:r w:rsidRPr="00A406E2">
        <w:rPr>
          <w:sz w:val="24"/>
          <w:szCs w:val="24"/>
        </w:rPr>
        <w:tab/>
      </w:r>
      <w:r w:rsidRPr="00A406E2">
        <w:rPr>
          <w:sz w:val="24"/>
          <w:szCs w:val="24"/>
        </w:rPr>
        <w:tab/>
      </w:r>
      <w:proofErr w:type="spellStart"/>
      <w:r w:rsidRPr="00A406E2" w:rsidR="009D29EC">
        <w:rPr>
          <w:sz w:val="24"/>
          <w:szCs w:val="24"/>
        </w:rPr>
        <w:t>Koorevaar</w:t>
      </w:r>
      <w:proofErr w:type="spellEnd"/>
    </w:p>
    <w:p w:rsidRPr="00A406E2" w:rsidR="00073B52" w:rsidRDefault="001856D0" w14:paraId="6199FEF0" w14:textId="77777777">
      <w:pPr>
        <w:spacing w:before="0" w:after="0"/>
        <w:rPr>
          <w:sz w:val="24"/>
          <w:szCs w:val="24"/>
        </w:rPr>
      </w:pPr>
      <w:r w:rsidRPr="00A406E2">
        <w:rPr>
          <w:sz w:val="24"/>
          <w:szCs w:val="24"/>
        </w:rPr>
        <w:tab/>
      </w:r>
      <w:r w:rsidRPr="00A406E2">
        <w:rPr>
          <w:sz w:val="24"/>
          <w:szCs w:val="24"/>
        </w:rPr>
        <w:tab/>
      </w:r>
    </w:p>
    <w:p w:rsidRPr="00A406E2" w:rsidR="00073B52" w:rsidRDefault="001856D0" w14:paraId="6BD6396B" w14:textId="7D354E3B">
      <w:pPr>
        <w:spacing w:before="0" w:after="0"/>
        <w:rPr>
          <w:sz w:val="24"/>
          <w:szCs w:val="24"/>
        </w:rPr>
      </w:pPr>
      <w:r w:rsidRPr="00A406E2">
        <w:rPr>
          <w:sz w:val="24"/>
          <w:szCs w:val="24"/>
        </w:rPr>
        <w:tab/>
      </w:r>
      <w:r w:rsidRPr="00A406E2">
        <w:rPr>
          <w:sz w:val="24"/>
          <w:szCs w:val="24"/>
        </w:rPr>
        <w:tab/>
      </w:r>
      <w:r w:rsidRPr="00A406E2" w:rsidR="009D29EC">
        <w:rPr>
          <w:sz w:val="24"/>
          <w:szCs w:val="24"/>
        </w:rPr>
        <w:t>Adjunct-g</w:t>
      </w:r>
      <w:r w:rsidRPr="00A406E2">
        <w:rPr>
          <w:sz w:val="24"/>
          <w:szCs w:val="24"/>
        </w:rPr>
        <w:t>riffier van de commissie,</w:t>
      </w:r>
    </w:p>
    <w:p w:rsidRPr="00A406E2" w:rsidR="00322112" w:rsidP="00A406E2" w:rsidRDefault="001856D0" w14:paraId="4D2146AE" w14:textId="08283AC3">
      <w:pPr>
        <w:spacing w:before="0" w:after="0"/>
        <w:rPr>
          <w:sz w:val="24"/>
          <w:szCs w:val="24"/>
        </w:rPr>
      </w:pPr>
      <w:r w:rsidRPr="00A406E2">
        <w:rPr>
          <w:sz w:val="24"/>
          <w:szCs w:val="24"/>
        </w:rPr>
        <w:tab/>
      </w:r>
      <w:r w:rsidRPr="00A406E2">
        <w:rPr>
          <w:sz w:val="24"/>
          <w:szCs w:val="24"/>
        </w:rPr>
        <w:tab/>
      </w:r>
      <w:r w:rsidRPr="00A406E2" w:rsidR="009D29EC">
        <w:rPr>
          <w:sz w:val="24"/>
          <w:szCs w:val="24"/>
        </w:rPr>
        <w:t>Van Thiel</w:t>
      </w: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A406E2" w:rsidR="00073B52" w:rsidTr="00B90BBB" w14:paraId="6A7D3D63" w14:textId="77777777">
        <w:trPr>
          <w:cantSplit/>
        </w:trPr>
        <w:tc>
          <w:tcPr>
            <w:tcW w:w="567" w:type="dxa"/>
          </w:tcPr>
          <w:p w:rsidRPr="00A406E2" w:rsidR="00073B52" w:rsidRDefault="001856D0" w14:paraId="6BF4D3AD" w14:textId="77777777">
            <w:pPr>
              <w:rPr>
                <w:sz w:val="24"/>
                <w:szCs w:val="24"/>
              </w:rPr>
            </w:pPr>
            <w:bookmarkStart w:name="bmkStartTabel" w:id="0"/>
            <w:bookmarkEnd w:id="0"/>
            <w:proofErr w:type="spellStart"/>
            <w:r w:rsidRPr="00A406E2">
              <w:rPr>
                <w:sz w:val="24"/>
                <w:szCs w:val="24"/>
              </w:rPr>
              <w:t>Nr</w:t>
            </w:r>
            <w:proofErr w:type="spellEnd"/>
          </w:p>
        </w:tc>
        <w:tc>
          <w:tcPr>
            <w:tcW w:w="6521" w:type="dxa"/>
          </w:tcPr>
          <w:p w:rsidRPr="00A406E2" w:rsidR="00073B52" w:rsidRDefault="001856D0" w14:paraId="2A697CAD" w14:textId="77777777">
            <w:pPr>
              <w:rPr>
                <w:sz w:val="24"/>
                <w:szCs w:val="24"/>
              </w:rPr>
            </w:pPr>
            <w:r w:rsidRPr="00A406E2">
              <w:rPr>
                <w:sz w:val="24"/>
                <w:szCs w:val="24"/>
              </w:rPr>
              <w:t>Vraag</w:t>
            </w:r>
          </w:p>
        </w:tc>
        <w:tc>
          <w:tcPr>
            <w:tcW w:w="850" w:type="dxa"/>
          </w:tcPr>
          <w:p w:rsidRPr="00A406E2" w:rsidR="00073B52" w:rsidRDefault="001856D0" w14:paraId="2BE0B0D2" w14:textId="77777777">
            <w:pPr>
              <w:jc w:val="right"/>
              <w:rPr>
                <w:sz w:val="24"/>
                <w:szCs w:val="24"/>
              </w:rPr>
            </w:pPr>
            <w:r w:rsidRPr="00A406E2">
              <w:rPr>
                <w:sz w:val="24"/>
                <w:szCs w:val="24"/>
              </w:rPr>
              <w:t>Bijlage</w:t>
            </w:r>
          </w:p>
        </w:tc>
        <w:tc>
          <w:tcPr>
            <w:tcW w:w="992" w:type="dxa"/>
          </w:tcPr>
          <w:p w:rsidRPr="00A406E2" w:rsidR="00073B52" w:rsidP="00E7153D" w:rsidRDefault="001856D0" w14:paraId="65EC3610" w14:textId="77777777">
            <w:pPr>
              <w:jc w:val="right"/>
              <w:rPr>
                <w:sz w:val="24"/>
                <w:szCs w:val="24"/>
              </w:rPr>
            </w:pPr>
            <w:r w:rsidRPr="00A406E2">
              <w:rPr>
                <w:sz w:val="24"/>
                <w:szCs w:val="24"/>
              </w:rPr>
              <w:t>Blz. (van)</w:t>
            </w:r>
          </w:p>
        </w:tc>
        <w:tc>
          <w:tcPr>
            <w:tcW w:w="567" w:type="dxa"/>
          </w:tcPr>
          <w:p w:rsidRPr="00A406E2" w:rsidR="00073B52" w:rsidP="00E7153D" w:rsidRDefault="001856D0" w14:paraId="31E2F27C" w14:textId="77777777">
            <w:pPr>
              <w:jc w:val="center"/>
              <w:rPr>
                <w:sz w:val="24"/>
                <w:szCs w:val="24"/>
              </w:rPr>
            </w:pPr>
            <w:r w:rsidRPr="00A406E2">
              <w:rPr>
                <w:sz w:val="24"/>
                <w:szCs w:val="24"/>
              </w:rPr>
              <w:t>t/m</w:t>
            </w:r>
          </w:p>
        </w:tc>
      </w:tr>
      <w:tr w:rsidRPr="00A406E2" w:rsidR="00073B52" w:rsidTr="00B90BBB" w14:paraId="0978ADBB" w14:textId="77777777">
        <w:tc>
          <w:tcPr>
            <w:tcW w:w="567" w:type="dxa"/>
          </w:tcPr>
          <w:p w:rsidRPr="00A406E2" w:rsidR="00073B52" w:rsidRDefault="001856D0" w14:paraId="61A8DD99" w14:textId="77777777">
            <w:pPr>
              <w:rPr>
                <w:sz w:val="24"/>
                <w:szCs w:val="24"/>
              </w:rPr>
            </w:pPr>
            <w:r w:rsidRPr="00A406E2">
              <w:rPr>
                <w:sz w:val="24"/>
                <w:szCs w:val="24"/>
              </w:rPr>
              <w:t>1</w:t>
            </w:r>
          </w:p>
        </w:tc>
        <w:tc>
          <w:tcPr>
            <w:tcW w:w="6521" w:type="dxa"/>
          </w:tcPr>
          <w:p w:rsidRPr="00A406E2" w:rsidR="00073B52" w:rsidRDefault="001856D0" w14:paraId="2D54CE50" w14:textId="77777777">
            <w:pPr>
              <w:rPr>
                <w:sz w:val="24"/>
                <w:szCs w:val="24"/>
              </w:rPr>
            </w:pPr>
            <w:r w:rsidRPr="00A406E2">
              <w:rPr>
                <w:sz w:val="24"/>
                <w:szCs w:val="24"/>
              </w:rPr>
              <w:t xml:space="preserve">Blijft het volledige bedrag dat middels amendement </w:t>
            </w:r>
            <w:r w:rsidRPr="00A406E2" w:rsidR="003B2FF4">
              <w:rPr>
                <w:sz w:val="24"/>
                <w:szCs w:val="24"/>
              </w:rPr>
              <w:t xml:space="preserve">van het lid </w:t>
            </w:r>
            <w:r w:rsidRPr="00A406E2">
              <w:rPr>
                <w:sz w:val="24"/>
                <w:szCs w:val="24"/>
              </w:rPr>
              <w:t>Bontenbal c.s.</w:t>
            </w:r>
            <w:r w:rsidRPr="00A406E2" w:rsidR="003B2FF4">
              <w:rPr>
                <w:rStyle w:val="Voetnootmarkering"/>
                <w:sz w:val="24"/>
                <w:szCs w:val="24"/>
              </w:rPr>
              <w:footnoteReference w:id="1"/>
            </w:r>
            <w:r w:rsidRPr="00A406E2">
              <w:rPr>
                <w:sz w:val="24"/>
                <w:szCs w:val="24"/>
              </w:rPr>
              <w:t xml:space="preserve"> is vrijgemaakt voor de techniekhavo beschikbaar?</w:t>
            </w:r>
          </w:p>
          <w:p w:rsidRPr="00A406E2" w:rsidR="00145239" w:rsidRDefault="00145239" w14:paraId="264A203C" w14:textId="297B8F75">
            <w:pPr>
              <w:rPr>
                <w:sz w:val="24"/>
                <w:szCs w:val="24"/>
              </w:rPr>
            </w:pPr>
            <w:r w:rsidRPr="00A406E2">
              <w:rPr>
                <w:sz w:val="24"/>
                <w:szCs w:val="24"/>
              </w:rPr>
              <w:t>Ja, het bedrag uit het amendement Bontenbal bedoeld voor de techniekhavo blijft voor dit doel beschikbaar.</w:t>
            </w:r>
          </w:p>
        </w:tc>
        <w:tc>
          <w:tcPr>
            <w:tcW w:w="850" w:type="dxa"/>
          </w:tcPr>
          <w:p w:rsidRPr="00A406E2" w:rsidR="00073B52" w:rsidRDefault="00073B52" w14:paraId="04C3559F" w14:textId="77777777">
            <w:pPr>
              <w:jc w:val="right"/>
              <w:rPr>
                <w:sz w:val="24"/>
                <w:szCs w:val="24"/>
              </w:rPr>
            </w:pPr>
          </w:p>
        </w:tc>
        <w:tc>
          <w:tcPr>
            <w:tcW w:w="992" w:type="dxa"/>
          </w:tcPr>
          <w:p w:rsidRPr="00A406E2" w:rsidR="00073B52" w:rsidRDefault="00073B52" w14:paraId="54B8749A" w14:textId="77777777">
            <w:pPr>
              <w:jc w:val="right"/>
              <w:rPr>
                <w:sz w:val="24"/>
                <w:szCs w:val="24"/>
              </w:rPr>
            </w:pPr>
          </w:p>
        </w:tc>
        <w:tc>
          <w:tcPr>
            <w:tcW w:w="567" w:type="dxa"/>
          </w:tcPr>
          <w:p w:rsidRPr="00A406E2" w:rsidR="00073B52" w:rsidRDefault="001856D0" w14:paraId="435E087E" w14:textId="77777777">
            <w:pPr>
              <w:jc w:val="right"/>
              <w:rPr>
                <w:sz w:val="24"/>
                <w:szCs w:val="24"/>
              </w:rPr>
            </w:pPr>
            <w:r w:rsidRPr="00A406E2">
              <w:rPr>
                <w:sz w:val="24"/>
                <w:szCs w:val="24"/>
              </w:rPr>
              <w:t xml:space="preserve"> </w:t>
            </w:r>
          </w:p>
        </w:tc>
      </w:tr>
      <w:tr w:rsidRPr="00A406E2" w:rsidR="00073B52" w:rsidTr="00B90BBB" w14:paraId="220CE76E" w14:textId="77777777">
        <w:tc>
          <w:tcPr>
            <w:tcW w:w="567" w:type="dxa"/>
          </w:tcPr>
          <w:p w:rsidRPr="00A406E2" w:rsidR="00073B52" w:rsidRDefault="001856D0" w14:paraId="75AD9E3F" w14:textId="77777777">
            <w:pPr>
              <w:rPr>
                <w:sz w:val="24"/>
                <w:szCs w:val="24"/>
              </w:rPr>
            </w:pPr>
            <w:r w:rsidRPr="00A406E2">
              <w:rPr>
                <w:sz w:val="24"/>
                <w:szCs w:val="24"/>
              </w:rPr>
              <w:t>2</w:t>
            </w:r>
          </w:p>
        </w:tc>
        <w:tc>
          <w:tcPr>
            <w:tcW w:w="6521" w:type="dxa"/>
          </w:tcPr>
          <w:p w:rsidRPr="00A406E2" w:rsidR="00073B52" w:rsidRDefault="001856D0" w14:paraId="79EE707B" w14:textId="77777777">
            <w:pPr>
              <w:rPr>
                <w:sz w:val="24"/>
                <w:szCs w:val="24"/>
              </w:rPr>
            </w:pPr>
            <w:r w:rsidRPr="00A406E2">
              <w:rPr>
                <w:sz w:val="24"/>
                <w:szCs w:val="24"/>
              </w:rPr>
              <w:t>Hoe ontwikkelt zich de demografische krimp rond studentenaantallen in het ho en wo en hoe worden deze ontwikkelingen opgevangen in de begroting?</w:t>
            </w:r>
          </w:p>
          <w:p w:rsidRPr="00A406E2" w:rsidR="006D5935" w:rsidP="006D5935" w:rsidRDefault="006D5935" w14:paraId="4B5E1A2A" w14:textId="77777777">
            <w:pPr>
              <w:rPr>
                <w:sz w:val="24"/>
                <w:szCs w:val="24"/>
              </w:rPr>
            </w:pPr>
            <w:r w:rsidRPr="00A406E2">
              <w:rPr>
                <w:sz w:val="24"/>
                <w:szCs w:val="24"/>
              </w:rPr>
              <w:t>De dalende trend van het aantal hbo-studenten zal zich de komende jaren voortzetten. Volgens de meest recente raming neemt het totaal aantal studenten tussen 2025 en 2032 af met 23.700 (5,4%) naar 415.800. In deze periode daalt het aantal Nederlandse studenten naar verwachting met 22.000 (-5,5%) naar 375.100.</w:t>
            </w:r>
          </w:p>
          <w:p w:rsidRPr="00A406E2" w:rsidR="006D5935" w:rsidP="006D5935" w:rsidRDefault="006D5935" w14:paraId="741EA448" w14:textId="77777777">
            <w:pPr>
              <w:rPr>
                <w:sz w:val="24"/>
                <w:szCs w:val="24"/>
              </w:rPr>
            </w:pPr>
            <w:r w:rsidRPr="00A406E2">
              <w:rPr>
                <w:sz w:val="24"/>
                <w:szCs w:val="24"/>
              </w:rPr>
              <w:t>Ook in het wo is de verwachting dat het totaal aantal studenten de komende jaren afneemt. Tussen 2025 en 2032 wordt een afname verwacht van 27.900 (-8,4%) naar 305.900 studenten. Het aantal Nederlandse studenten daalt in deze periode naar verwachting met 21.600 (-9.0%) naar 218.500.</w:t>
            </w:r>
          </w:p>
          <w:p w:rsidRPr="00A406E2" w:rsidR="006D5935" w:rsidRDefault="006D5935" w14:paraId="209CC363" w14:textId="0F84F5FE">
            <w:pPr>
              <w:rPr>
                <w:sz w:val="24"/>
                <w:szCs w:val="24"/>
              </w:rPr>
            </w:pPr>
            <w:r w:rsidRPr="00A406E2">
              <w:rPr>
                <w:sz w:val="24"/>
                <w:szCs w:val="24"/>
              </w:rPr>
              <w:t xml:space="preserve">De </w:t>
            </w:r>
            <w:hyperlink w:history="1" r:id="rId11">
              <w:r w:rsidRPr="00A406E2">
                <w:rPr>
                  <w:rStyle w:val="Hyperlink"/>
                  <w:sz w:val="24"/>
                  <w:szCs w:val="24"/>
                </w:rPr>
                <w:t>Referentieraming 2026</w:t>
              </w:r>
            </w:hyperlink>
            <w:r w:rsidRPr="00A406E2">
              <w:rPr>
                <w:sz w:val="24"/>
                <w:szCs w:val="24"/>
              </w:rPr>
              <w:t xml:space="preserve"> geeft voor alle onderwijssectoren de verwachte ontwikkeling van het aantal studenten weer. Het onderwijsdeel van de begroting voor het hbo en het wo wordt jaarlijks bijgesteld aan de hand van de referentieraming. De financiële bijstelling is het resultaat van het verschil tussen de laatste twee referentieramingen in studentenaantallen (Nederlandse en niet-Nederlandse EER-studenten) vermenigvuldigd met de </w:t>
            </w:r>
            <w:r w:rsidRPr="00A406E2">
              <w:rPr>
                <w:sz w:val="24"/>
                <w:szCs w:val="24"/>
              </w:rPr>
              <w:lastRenderedPageBreak/>
              <w:t xml:space="preserve">onderwijsuitgaven per student uit de begroting. Deze systematiek geldt zowel bij groei van studentenaantallen als bij krimp. </w:t>
            </w:r>
          </w:p>
        </w:tc>
        <w:tc>
          <w:tcPr>
            <w:tcW w:w="850" w:type="dxa"/>
          </w:tcPr>
          <w:p w:rsidRPr="00A406E2" w:rsidR="00073B52" w:rsidRDefault="001856D0" w14:paraId="3900610A" w14:textId="79346DB3">
            <w:pPr>
              <w:jc w:val="right"/>
              <w:rPr>
                <w:sz w:val="24"/>
                <w:szCs w:val="24"/>
              </w:rPr>
            </w:pPr>
            <w:r w:rsidRPr="00A406E2">
              <w:rPr>
                <w:sz w:val="24"/>
                <w:szCs w:val="24"/>
              </w:rPr>
              <w:lastRenderedPageBreak/>
              <w:t>36915-</w:t>
            </w:r>
            <w:r w:rsidRPr="00A406E2" w:rsidR="009D29EC">
              <w:rPr>
                <w:color w:val="000000"/>
                <w:sz w:val="24"/>
                <w:szCs w:val="24"/>
                <w:bdr w:val="none" w:color="auto" w:sz="0" w:space="0" w:frame="1"/>
              </w:rPr>
              <w:t xml:space="preserve"> </w:t>
            </w:r>
            <w:r w:rsidRPr="00A406E2" w:rsidR="009D29EC">
              <w:rPr>
                <w:sz w:val="24"/>
                <w:szCs w:val="24"/>
              </w:rPr>
              <w:t>VIII</w:t>
            </w:r>
            <w:r w:rsidRPr="00A406E2">
              <w:rPr>
                <w:sz w:val="24"/>
                <w:szCs w:val="24"/>
              </w:rPr>
              <w:t>-2</w:t>
            </w:r>
          </w:p>
        </w:tc>
        <w:tc>
          <w:tcPr>
            <w:tcW w:w="992" w:type="dxa"/>
          </w:tcPr>
          <w:p w:rsidRPr="00A406E2" w:rsidR="00073B52" w:rsidRDefault="00073B52" w14:paraId="5E979FB0" w14:textId="77777777">
            <w:pPr>
              <w:jc w:val="right"/>
              <w:rPr>
                <w:sz w:val="24"/>
                <w:szCs w:val="24"/>
              </w:rPr>
            </w:pPr>
          </w:p>
        </w:tc>
        <w:tc>
          <w:tcPr>
            <w:tcW w:w="567" w:type="dxa"/>
          </w:tcPr>
          <w:p w:rsidRPr="00A406E2" w:rsidR="00073B52" w:rsidRDefault="001856D0" w14:paraId="79D601B8" w14:textId="77777777">
            <w:pPr>
              <w:jc w:val="right"/>
              <w:rPr>
                <w:sz w:val="24"/>
                <w:szCs w:val="24"/>
              </w:rPr>
            </w:pPr>
            <w:r w:rsidRPr="00A406E2">
              <w:rPr>
                <w:sz w:val="24"/>
                <w:szCs w:val="24"/>
              </w:rPr>
              <w:t xml:space="preserve"> </w:t>
            </w:r>
          </w:p>
        </w:tc>
      </w:tr>
      <w:tr w:rsidRPr="00A406E2" w:rsidR="00073B52" w:rsidTr="00B90BBB" w14:paraId="7E09E7A7" w14:textId="77777777">
        <w:tc>
          <w:tcPr>
            <w:tcW w:w="567" w:type="dxa"/>
          </w:tcPr>
          <w:p w:rsidRPr="00A406E2" w:rsidR="00073B52" w:rsidRDefault="001856D0" w14:paraId="64173CE7" w14:textId="77777777">
            <w:pPr>
              <w:rPr>
                <w:sz w:val="24"/>
                <w:szCs w:val="24"/>
              </w:rPr>
            </w:pPr>
            <w:r w:rsidRPr="00A406E2">
              <w:rPr>
                <w:sz w:val="24"/>
                <w:szCs w:val="24"/>
              </w:rPr>
              <w:t>3</w:t>
            </w:r>
          </w:p>
        </w:tc>
        <w:tc>
          <w:tcPr>
            <w:tcW w:w="6521" w:type="dxa"/>
          </w:tcPr>
          <w:p w:rsidRPr="00A406E2" w:rsidR="00073B52" w:rsidRDefault="001856D0" w14:paraId="6D74F94E" w14:textId="77777777">
            <w:pPr>
              <w:rPr>
                <w:sz w:val="24"/>
                <w:szCs w:val="24"/>
              </w:rPr>
            </w:pPr>
            <w:r w:rsidRPr="00A406E2">
              <w:rPr>
                <w:sz w:val="24"/>
                <w:szCs w:val="24"/>
              </w:rPr>
              <w:t>Hoeveel Oekraïense studenten hebben zich inmiddels (op moment van beantwoording van deze feitelijke vragen) ingeschreven bij een Nederlandse ho- of wo-instelling en is bekend hoeveel Oekraïense studenten zich bij een niet-Nederlandse ho- of wo-instelling hebben ingeschreven?</w:t>
            </w:r>
          </w:p>
          <w:p w:rsidRPr="00A406E2" w:rsidR="006D5935" w:rsidRDefault="006D5935" w14:paraId="066F8A87" w14:textId="3DDBE64A">
            <w:pPr>
              <w:rPr>
                <w:sz w:val="24"/>
                <w:szCs w:val="24"/>
              </w:rPr>
            </w:pPr>
            <w:r w:rsidRPr="00A406E2">
              <w:rPr>
                <w:sz w:val="24"/>
                <w:szCs w:val="24"/>
              </w:rPr>
              <w:t xml:space="preserve">Volgens de meest recente cijfers voor het collegejaar 25/26 staan 714 ontheemden uit Oekraïne ingeschreven als student bij een instelling in het hbo of wo. Daarvan hebben 698 ook de Oekraïense nationaliteit. Als naast ontheemde ook niet-ontheemde studenten worden meegeteld – het gaat dan om alle studenten in Nederland met de Oekraïense nationaliteit – bedraagt het totaal 1850 studenten. Op dit moment is niet bekend hoeveel Oekraïense studenten bij een niet-Nederlandse hbo- of wo-instelling ingeschreven </w:t>
            </w:r>
            <w:r w:rsidRPr="00A406E2" w:rsidR="0038154B">
              <w:rPr>
                <w:sz w:val="24"/>
                <w:szCs w:val="24"/>
              </w:rPr>
              <w:t>staan</w:t>
            </w:r>
            <w:r w:rsidRPr="00A406E2">
              <w:rPr>
                <w:sz w:val="24"/>
                <w:szCs w:val="24"/>
              </w:rPr>
              <w:t>.</w:t>
            </w:r>
            <w:r w:rsidRPr="00A406E2" w:rsidR="00FE3BFD">
              <w:rPr>
                <w:sz w:val="24"/>
                <w:szCs w:val="24"/>
              </w:rPr>
              <w:t xml:space="preserve"> </w:t>
            </w:r>
          </w:p>
          <w:p w:rsidRPr="00A406E2" w:rsidR="003A7AD7" w:rsidRDefault="003A7AD7" w14:paraId="6A8850DE" w14:textId="2E62E92F">
            <w:pPr>
              <w:rPr>
                <w:sz w:val="24"/>
                <w:szCs w:val="24"/>
              </w:rPr>
            </w:pPr>
            <w:r w:rsidRPr="00A406E2">
              <w:rPr>
                <w:sz w:val="24"/>
                <w:szCs w:val="24"/>
              </w:rPr>
              <w:t>Niet alle Oekraïners in Nederland zijn ontheemd. Een deel woont hier bijvoorbeeld al langer en heeft een reguliere verblijfsstatus. Zij vallen niet onder de Richtlijn Tijdelijke Bescherming. Omgekeerd zijn er ook enkele studenten die wel onder de Richtlijn Tijdelijke Bescherming vallen, uit Oekraïne afkomstig zijn, maar niet in het bezit zijn van de Oekraïense nationaliteit.</w:t>
            </w:r>
          </w:p>
        </w:tc>
        <w:tc>
          <w:tcPr>
            <w:tcW w:w="850" w:type="dxa"/>
          </w:tcPr>
          <w:p w:rsidRPr="00A406E2" w:rsidR="00073B52" w:rsidRDefault="009D29EC" w14:paraId="0A934485" w14:textId="35F311C5">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073B52" w:rsidRDefault="00073B52" w14:paraId="4EB85D0F" w14:textId="77777777">
            <w:pPr>
              <w:jc w:val="right"/>
              <w:rPr>
                <w:sz w:val="24"/>
                <w:szCs w:val="24"/>
              </w:rPr>
            </w:pPr>
          </w:p>
        </w:tc>
        <w:tc>
          <w:tcPr>
            <w:tcW w:w="567" w:type="dxa"/>
          </w:tcPr>
          <w:p w:rsidRPr="00A406E2" w:rsidR="00073B52" w:rsidRDefault="001856D0" w14:paraId="11D6F1E0" w14:textId="77777777">
            <w:pPr>
              <w:jc w:val="right"/>
              <w:rPr>
                <w:sz w:val="24"/>
                <w:szCs w:val="24"/>
              </w:rPr>
            </w:pPr>
            <w:r w:rsidRPr="00A406E2">
              <w:rPr>
                <w:sz w:val="24"/>
                <w:szCs w:val="24"/>
              </w:rPr>
              <w:t xml:space="preserve"> </w:t>
            </w:r>
          </w:p>
        </w:tc>
      </w:tr>
      <w:tr w:rsidRPr="00A406E2" w:rsidR="00073B52" w:rsidTr="00B90BBB" w14:paraId="22C2EADA" w14:textId="77777777">
        <w:tc>
          <w:tcPr>
            <w:tcW w:w="567" w:type="dxa"/>
          </w:tcPr>
          <w:p w:rsidRPr="00A406E2" w:rsidR="00073B52" w:rsidRDefault="001856D0" w14:paraId="5D08E43B" w14:textId="77777777">
            <w:pPr>
              <w:rPr>
                <w:sz w:val="24"/>
                <w:szCs w:val="24"/>
              </w:rPr>
            </w:pPr>
            <w:r w:rsidRPr="00A406E2">
              <w:rPr>
                <w:sz w:val="24"/>
                <w:szCs w:val="24"/>
              </w:rPr>
              <w:t>4</w:t>
            </w:r>
          </w:p>
        </w:tc>
        <w:tc>
          <w:tcPr>
            <w:tcW w:w="6521" w:type="dxa"/>
          </w:tcPr>
          <w:p w:rsidRPr="00A406E2" w:rsidR="00073B52" w:rsidRDefault="001856D0" w14:paraId="181E83DA" w14:textId="77777777">
            <w:pPr>
              <w:rPr>
                <w:sz w:val="24"/>
                <w:szCs w:val="24"/>
              </w:rPr>
            </w:pPr>
            <w:r w:rsidRPr="00A406E2">
              <w:rPr>
                <w:sz w:val="24"/>
                <w:szCs w:val="24"/>
              </w:rPr>
              <w:t xml:space="preserve">Welk bedrag is leidend voor de intensivering op de Einstein </w:t>
            </w:r>
            <w:proofErr w:type="spellStart"/>
            <w:r w:rsidRPr="00A406E2">
              <w:rPr>
                <w:sz w:val="24"/>
                <w:szCs w:val="24"/>
              </w:rPr>
              <w:t>Telescope</w:t>
            </w:r>
            <w:proofErr w:type="spellEnd"/>
            <w:r w:rsidRPr="00A406E2">
              <w:rPr>
                <w:sz w:val="24"/>
                <w:szCs w:val="24"/>
              </w:rPr>
              <w:t xml:space="preserve"> in 2026?</w:t>
            </w:r>
          </w:p>
          <w:p w:rsidRPr="00A406E2" w:rsidR="00867C42" w:rsidRDefault="00867C42" w14:paraId="3928A14C" w14:textId="6254F9D9">
            <w:pPr>
              <w:rPr>
                <w:sz w:val="24"/>
                <w:szCs w:val="24"/>
              </w:rPr>
            </w:pPr>
            <w:r w:rsidRPr="00A406E2">
              <w:rPr>
                <w:sz w:val="24"/>
                <w:szCs w:val="24"/>
              </w:rPr>
              <w:t xml:space="preserve">De middelen voor de Einstein </w:t>
            </w:r>
            <w:proofErr w:type="spellStart"/>
            <w:r w:rsidRPr="00A406E2">
              <w:rPr>
                <w:sz w:val="24"/>
                <w:szCs w:val="24"/>
              </w:rPr>
              <w:t>Telescope</w:t>
            </w:r>
            <w:proofErr w:type="spellEnd"/>
            <w:r w:rsidRPr="00A406E2">
              <w:rPr>
                <w:sz w:val="24"/>
                <w:szCs w:val="24"/>
              </w:rPr>
              <w:t xml:space="preserve"> zijn bedoeld voor verdere versterking van het ET projectbureau van het ET-samenwerkingsverband in de Euregio Maas-Rijn (EMR). De complexiteit van de geologische haalbaarheidsonderzoeken en de nadere specificatie van de vereisten voor het aan te leveren locatievoorstel hebben daarnaast geleid tot de noodzaak voor aanvullende onderzoeken, te weten aanvullend geologisch en seismisch onderzoek. Voor versterking van het projectbureau en deze aanvullende onderzoeken stelt</w:t>
            </w:r>
            <w:r w:rsidRPr="00A406E2" w:rsidR="00D84D3F">
              <w:rPr>
                <w:sz w:val="24"/>
                <w:szCs w:val="24"/>
              </w:rPr>
              <w:t xml:space="preserve"> het Ministerie van Onderwijs, Cultuur en Wetenschap</w:t>
            </w:r>
            <w:r w:rsidRPr="00A406E2">
              <w:rPr>
                <w:sz w:val="24"/>
                <w:szCs w:val="24"/>
              </w:rPr>
              <w:t xml:space="preserve"> </w:t>
            </w:r>
            <w:r w:rsidRPr="00A406E2" w:rsidR="00D84D3F">
              <w:rPr>
                <w:sz w:val="24"/>
                <w:szCs w:val="24"/>
              </w:rPr>
              <w:t>(</w:t>
            </w:r>
            <w:r w:rsidRPr="00A406E2">
              <w:rPr>
                <w:sz w:val="24"/>
                <w:szCs w:val="24"/>
              </w:rPr>
              <w:t>OCW</w:t>
            </w:r>
            <w:r w:rsidRPr="00A406E2" w:rsidR="00D84D3F">
              <w:rPr>
                <w:sz w:val="24"/>
                <w:szCs w:val="24"/>
              </w:rPr>
              <w:t>)</w:t>
            </w:r>
            <w:r w:rsidRPr="00A406E2">
              <w:rPr>
                <w:sz w:val="24"/>
                <w:szCs w:val="24"/>
              </w:rPr>
              <w:t xml:space="preserve"> in 2026 maximaal</w:t>
            </w:r>
            <w:r w:rsidRPr="00A406E2" w:rsidR="00692B05">
              <w:rPr>
                <w:sz w:val="24"/>
                <w:szCs w:val="24"/>
              </w:rPr>
              <w:t xml:space="preserve"> €</w:t>
            </w:r>
            <w:r w:rsidRPr="00A406E2">
              <w:rPr>
                <w:sz w:val="24"/>
                <w:szCs w:val="24"/>
              </w:rPr>
              <w:t xml:space="preserve"> 6,0 miljoen beschikbaar.</w:t>
            </w:r>
          </w:p>
        </w:tc>
        <w:tc>
          <w:tcPr>
            <w:tcW w:w="850" w:type="dxa"/>
          </w:tcPr>
          <w:p w:rsidRPr="00A406E2" w:rsidR="00073B52" w:rsidRDefault="009D29EC" w14:paraId="66C0AFBB" w14:textId="407F14C8">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073B52" w:rsidRDefault="001856D0" w14:paraId="092291F2" w14:textId="77777777">
            <w:pPr>
              <w:jc w:val="right"/>
              <w:rPr>
                <w:sz w:val="24"/>
                <w:szCs w:val="24"/>
              </w:rPr>
            </w:pPr>
            <w:r w:rsidRPr="00A406E2">
              <w:rPr>
                <w:sz w:val="24"/>
                <w:szCs w:val="24"/>
              </w:rPr>
              <w:t>4</w:t>
            </w:r>
          </w:p>
        </w:tc>
        <w:tc>
          <w:tcPr>
            <w:tcW w:w="567" w:type="dxa"/>
          </w:tcPr>
          <w:p w:rsidRPr="00A406E2" w:rsidR="00073B52" w:rsidRDefault="001856D0" w14:paraId="0E45B1CE" w14:textId="77777777">
            <w:pPr>
              <w:jc w:val="right"/>
              <w:rPr>
                <w:sz w:val="24"/>
                <w:szCs w:val="24"/>
              </w:rPr>
            </w:pPr>
            <w:r w:rsidRPr="00A406E2">
              <w:rPr>
                <w:sz w:val="24"/>
                <w:szCs w:val="24"/>
              </w:rPr>
              <w:t xml:space="preserve"> </w:t>
            </w:r>
          </w:p>
        </w:tc>
      </w:tr>
      <w:tr w:rsidRPr="00A406E2" w:rsidR="00552EC0" w:rsidTr="008A12FD" w14:paraId="2DA0C6FE" w14:textId="77777777">
        <w:trPr>
          <w:trHeight w:val="5104"/>
        </w:trPr>
        <w:tc>
          <w:tcPr>
            <w:tcW w:w="567" w:type="dxa"/>
          </w:tcPr>
          <w:p w:rsidRPr="00A406E2" w:rsidR="00552EC0" w:rsidP="00552EC0" w:rsidRDefault="00552EC0" w14:paraId="79176FC6" w14:textId="4CA3A51F">
            <w:pPr>
              <w:rPr>
                <w:sz w:val="24"/>
                <w:szCs w:val="24"/>
              </w:rPr>
            </w:pPr>
            <w:r w:rsidRPr="00A406E2">
              <w:rPr>
                <w:sz w:val="24"/>
                <w:szCs w:val="24"/>
              </w:rPr>
              <w:lastRenderedPageBreak/>
              <w:t>5</w:t>
            </w:r>
          </w:p>
        </w:tc>
        <w:tc>
          <w:tcPr>
            <w:tcW w:w="6521" w:type="dxa"/>
          </w:tcPr>
          <w:p w:rsidRPr="00A406E2" w:rsidR="00552EC0" w:rsidP="00552EC0" w:rsidRDefault="00552EC0" w14:paraId="273C9975" w14:textId="77777777">
            <w:pPr>
              <w:rPr>
                <w:sz w:val="24"/>
                <w:szCs w:val="24"/>
              </w:rPr>
            </w:pPr>
            <w:r w:rsidRPr="00A406E2">
              <w:rPr>
                <w:sz w:val="24"/>
                <w:szCs w:val="24"/>
              </w:rPr>
              <w:t>Om welke intensiveringen (€10.348 miljoen) gaat het in tabel 1?</w:t>
            </w:r>
          </w:p>
          <w:p w:rsidRPr="00A406E2" w:rsidR="00E176AC" w:rsidP="00E176AC" w:rsidRDefault="00E176AC" w14:paraId="5AD7D3E7" w14:textId="77777777">
            <w:pPr>
              <w:rPr>
                <w:sz w:val="24"/>
                <w:szCs w:val="24"/>
              </w:rPr>
            </w:pPr>
            <w:r w:rsidRPr="00A406E2">
              <w:rPr>
                <w:sz w:val="24"/>
                <w:szCs w:val="24"/>
              </w:rPr>
              <w:t xml:space="preserve">In onderstaande tabel treft u een uitsplitsing van de overige intensiveringen in het jaar 2026 van in totaal € 10,3 miljoen. </w:t>
            </w:r>
          </w:p>
          <w:tbl>
            <w:tblPr>
              <w:tblStyle w:val="Tabelraster"/>
              <w:tblW w:w="6120" w:type="dxa"/>
              <w:tblLook w:val="04A0" w:firstRow="1" w:lastRow="0" w:firstColumn="1" w:lastColumn="0" w:noHBand="0" w:noVBand="1"/>
            </w:tblPr>
            <w:tblGrid>
              <w:gridCol w:w="1140"/>
              <w:gridCol w:w="3840"/>
              <w:gridCol w:w="1140"/>
            </w:tblGrid>
            <w:tr w:rsidRPr="00A406E2" w:rsidR="00E176AC" w:rsidTr="009638D7" w14:paraId="1D9012B0" w14:textId="77777777">
              <w:trPr>
                <w:trHeight w:val="248"/>
              </w:trPr>
              <w:tc>
                <w:tcPr>
                  <w:tcW w:w="6120" w:type="dxa"/>
                  <w:gridSpan w:val="3"/>
                  <w:noWrap/>
                  <w:hideMark/>
                </w:tcPr>
                <w:p w:rsidRPr="00A406E2" w:rsidR="00E176AC" w:rsidP="00E176AC" w:rsidRDefault="00E176AC" w14:paraId="24E919D0" w14:textId="77777777">
                  <w:pPr>
                    <w:spacing w:before="0" w:after="0"/>
                    <w:rPr>
                      <w:sz w:val="18"/>
                      <w:szCs w:val="18"/>
                    </w:rPr>
                  </w:pPr>
                  <w:r w:rsidRPr="00A406E2">
                    <w:rPr>
                      <w:i/>
                      <w:iCs/>
                      <w:color w:val="000000"/>
                      <w:sz w:val="18"/>
                      <w:szCs w:val="18"/>
                    </w:rPr>
                    <w:t>bedragen x € 1.000</w:t>
                  </w:r>
                </w:p>
              </w:tc>
            </w:tr>
            <w:tr w:rsidRPr="00A406E2" w:rsidR="00E176AC" w:rsidTr="009638D7" w14:paraId="3B42A6C8" w14:textId="77777777">
              <w:trPr>
                <w:trHeight w:val="248"/>
              </w:trPr>
              <w:tc>
                <w:tcPr>
                  <w:tcW w:w="1140" w:type="dxa"/>
                  <w:noWrap/>
                  <w:hideMark/>
                </w:tcPr>
                <w:p w:rsidRPr="00A406E2" w:rsidR="00E176AC" w:rsidP="00E176AC" w:rsidRDefault="00E176AC" w14:paraId="3B29A069" w14:textId="77777777">
                  <w:pPr>
                    <w:spacing w:before="0" w:after="0"/>
                    <w:rPr>
                      <w:b/>
                      <w:bCs/>
                      <w:color w:val="000000"/>
                      <w:sz w:val="18"/>
                      <w:szCs w:val="18"/>
                    </w:rPr>
                  </w:pPr>
                  <w:r w:rsidRPr="00A406E2">
                    <w:rPr>
                      <w:b/>
                      <w:bCs/>
                      <w:color w:val="000000"/>
                      <w:sz w:val="18"/>
                      <w:szCs w:val="18"/>
                    </w:rPr>
                    <w:t>Art.</w:t>
                  </w:r>
                </w:p>
              </w:tc>
              <w:tc>
                <w:tcPr>
                  <w:tcW w:w="3840" w:type="dxa"/>
                  <w:hideMark/>
                </w:tcPr>
                <w:p w:rsidRPr="00A406E2" w:rsidR="00E176AC" w:rsidP="00E176AC" w:rsidRDefault="00E176AC" w14:paraId="46FBB802" w14:textId="77777777">
                  <w:pPr>
                    <w:spacing w:before="0" w:after="0"/>
                    <w:rPr>
                      <w:b/>
                      <w:bCs/>
                      <w:color w:val="000000"/>
                      <w:sz w:val="18"/>
                      <w:szCs w:val="18"/>
                    </w:rPr>
                  </w:pPr>
                  <w:r w:rsidRPr="00A406E2">
                    <w:rPr>
                      <w:b/>
                      <w:bCs/>
                      <w:color w:val="000000"/>
                      <w:sz w:val="18"/>
                      <w:szCs w:val="18"/>
                    </w:rPr>
                    <w:t>Intensivering</w:t>
                  </w:r>
                </w:p>
              </w:tc>
              <w:tc>
                <w:tcPr>
                  <w:tcW w:w="1140" w:type="dxa"/>
                  <w:noWrap/>
                  <w:hideMark/>
                </w:tcPr>
                <w:p w:rsidRPr="00A406E2" w:rsidR="00E176AC" w:rsidP="00E176AC" w:rsidRDefault="00E176AC" w14:paraId="41CEF2BA" w14:textId="77777777">
                  <w:pPr>
                    <w:spacing w:before="0" w:after="0"/>
                    <w:jc w:val="right"/>
                    <w:rPr>
                      <w:b/>
                      <w:bCs/>
                      <w:color w:val="000000"/>
                      <w:sz w:val="18"/>
                      <w:szCs w:val="18"/>
                    </w:rPr>
                  </w:pPr>
                  <w:r w:rsidRPr="00A406E2">
                    <w:rPr>
                      <w:b/>
                      <w:bCs/>
                      <w:color w:val="000000"/>
                      <w:sz w:val="18"/>
                      <w:szCs w:val="18"/>
                    </w:rPr>
                    <w:t>2026</w:t>
                  </w:r>
                </w:p>
              </w:tc>
            </w:tr>
            <w:tr w:rsidRPr="00A406E2" w:rsidR="00E176AC" w:rsidTr="009638D7" w14:paraId="7560D206" w14:textId="77777777">
              <w:trPr>
                <w:trHeight w:val="248"/>
              </w:trPr>
              <w:tc>
                <w:tcPr>
                  <w:tcW w:w="1140" w:type="dxa"/>
                  <w:noWrap/>
                  <w:hideMark/>
                </w:tcPr>
                <w:p w:rsidRPr="00A406E2" w:rsidR="00E176AC" w:rsidP="00E176AC" w:rsidRDefault="00E176AC" w14:paraId="07051F00" w14:textId="77777777">
                  <w:pPr>
                    <w:spacing w:before="0" w:after="0"/>
                    <w:rPr>
                      <w:color w:val="000000"/>
                      <w:sz w:val="18"/>
                      <w:szCs w:val="18"/>
                    </w:rPr>
                  </w:pPr>
                  <w:r w:rsidRPr="00A406E2">
                    <w:rPr>
                      <w:color w:val="000000"/>
                      <w:sz w:val="18"/>
                      <w:szCs w:val="18"/>
                    </w:rPr>
                    <w:t>3</w:t>
                  </w:r>
                </w:p>
              </w:tc>
              <w:tc>
                <w:tcPr>
                  <w:tcW w:w="3840" w:type="dxa"/>
                  <w:hideMark/>
                </w:tcPr>
                <w:p w:rsidRPr="00A406E2" w:rsidR="00E176AC" w:rsidP="00E176AC" w:rsidRDefault="00E176AC" w14:paraId="6A82FC65" w14:textId="77777777">
                  <w:pPr>
                    <w:spacing w:before="0" w:after="0"/>
                    <w:rPr>
                      <w:color w:val="000000"/>
                      <w:sz w:val="18"/>
                      <w:szCs w:val="18"/>
                    </w:rPr>
                  </w:pPr>
                  <w:r w:rsidRPr="00A406E2">
                    <w:rPr>
                      <w:color w:val="000000"/>
                      <w:sz w:val="18"/>
                      <w:szCs w:val="18"/>
                    </w:rPr>
                    <w:t>KOMEX</w:t>
                  </w:r>
                </w:p>
              </w:tc>
              <w:tc>
                <w:tcPr>
                  <w:tcW w:w="1140" w:type="dxa"/>
                  <w:noWrap/>
                  <w:hideMark/>
                </w:tcPr>
                <w:p w:rsidRPr="00A406E2" w:rsidR="00E176AC" w:rsidP="00E176AC" w:rsidRDefault="00E176AC" w14:paraId="3E198DC7" w14:textId="77777777">
                  <w:pPr>
                    <w:spacing w:before="0" w:after="0"/>
                    <w:jc w:val="right"/>
                    <w:rPr>
                      <w:color w:val="000000"/>
                      <w:sz w:val="18"/>
                      <w:szCs w:val="18"/>
                    </w:rPr>
                  </w:pPr>
                  <w:r w:rsidRPr="00A406E2">
                    <w:rPr>
                      <w:color w:val="000000"/>
                      <w:sz w:val="18"/>
                      <w:szCs w:val="18"/>
                    </w:rPr>
                    <w:t>2.300</w:t>
                  </w:r>
                </w:p>
              </w:tc>
            </w:tr>
            <w:tr w:rsidRPr="00A406E2" w:rsidR="00E176AC" w:rsidTr="009638D7" w14:paraId="29EFF041" w14:textId="77777777">
              <w:trPr>
                <w:trHeight w:val="248"/>
              </w:trPr>
              <w:tc>
                <w:tcPr>
                  <w:tcW w:w="1140" w:type="dxa"/>
                  <w:noWrap/>
                  <w:hideMark/>
                </w:tcPr>
                <w:p w:rsidRPr="00A406E2" w:rsidR="00E176AC" w:rsidP="00E176AC" w:rsidRDefault="00E176AC" w14:paraId="1E661C01" w14:textId="77777777">
                  <w:pPr>
                    <w:spacing w:before="0" w:after="0"/>
                    <w:rPr>
                      <w:color w:val="000000"/>
                      <w:sz w:val="18"/>
                      <w:szCs w:val="18"/>
                    </w:rPr>
                  </w:pPr>
                  <w:r w:rsidRPr="00A406E2">
                    <w:rPr>
                      <w:color w:val="000000"/>
                      <w:sz w:val="18"/>
                      <w:szCs w:val="18"/>
                    </w:rPr>
                    <w:t>95</w:t>
                  </w:r>
                </w:p>
              </w:tc>
              <w:tc>
                <w:tcPr>
                  <w:tcW w:w="3840" w:type="dxa"/>
                  <w:hideMark/>
                </w:tcPr>
                <w:p w:rsidRPr="00A406E2" w:rsidR="00E176AC" w:rsidP="00E176AC" w:rsidRDefault="00E176AC" w14:paraId="4E4D1486" w14:textId="77777777">
                  <w:pPr>
                    <w:spacing w:before="0" w:after="0"/>
                    <w:rPr>
                      <w:color w:val="000000"/>
                      <w:sz w:val="18"/>
                      <w:szCs w:val="18"/>
                    </w:rPr>
                  </w:pPr>
                  <w:r w:rsidRPr="00A406E2">
                    <w:rPr>
                      <w:color w:val="000000"/>
                      <w:sz w:val="18"/>
                      <w:szCs w:val="18"/>
                    </w:rPr>
                    <w:t>Digitale Weerbaarheid</w:t>
                  </w:r>
                </w:p>
              </w:tc>
              <w:tc>
                <w:tcPr>
                  <w:tcW w:w="1140" w:type="dxa"/>
                  <w:noWrap/>
                  <w:hideMark/>
                </w:tcPr>
                <w:p w:rsidRPr="00A406E2" w:rsidR="00E176AC" w:rsidP="00E176AC" w:rsidRDefault="00E176AC" w14:paraId="7E19416D" w14:textId="77777777">
                  <w:pPr>
                    <w:spacing w:before="0" w:after="0"/>
                    <w:jc w:val="right"/>
                    <w:rPr>
                      <w:color w:val="000000"/>
                      <w:sz w:val="18"/>
                      <w:szCs w:val="18"/>
                    </w:rPr>
                  </w:pPr>
                  <w:r w:rsidRPr="00A406E2">
                    <w:rPr>
                      <w:color w:val="000000"/>
                      <w:sz w:val="18"/>
                      <w:szCs w:val="18"/>
                    </w:rPr>
                    <w:t>2.209</w:t>
                  </w:r>
                </w:p>
              </w:tc>
            </w:tr>
            <w:tr w:rsidRPr="00A406E2" w:rsidR="00E176AC" w:rsidTr="009638D7" w14:paraId="01F9B8CC" w14:textId="77777777">
              <w:trPr>
                <w:trHeight w:val="495"/>
              </w:trPr>
              <w:tc>
                <w:tcPr>
                  <w:tcW w:w="1140" w:type="dxa"/>
                  <w:noWrap/>
                  <w:hideMark/>
                </w:tcPr>
                <w:p w:rsidRPr="00A406E2" w:rsidR="00E176AC" w:rsidP="00E176AC" w:rsidRDefault="00E176AC" w14:paraId="74E0B89D" w14:textId="77777777">
                  <w:pPr>
                    <w:spacing w:before="0" w:after="0"/>
                    <w:rPr>
                      <w:color w:val="000000"/>
                      <w:sz w:val="18"/>
                      <w:szCs w:val="18"/>
                    </w:rPr>
                  </w:pPr>
                  <w:r w:rsidRPr="00A406E2">
                    <w:rPr>
                      <w:color w:val="000000"/>
                      <w:sz w:val="18"/>
                      <w:szCs w:val="18"/>
                    </w:rPr>
                    <w:t>14</w:t>
                  </w:r>
                </w:p>
              </w:tc>
              <w:tc>
                <w:tcPr>
                  <w:tcW w:w="3840" w:type="dxa"/>
                  <w:hideMark/>
                </w:tcPr>
                <w:p w:rsidRPr="00A406E2" w:rsidR="00E176AC" w:rsidP="00E176AC" w:rsidRDefault="00E176AC" w14:paraId="6C17586B" w14:textId="77777777">
                  <w:pPr>
                    <w:spacing w:before="0" w:after="0"/>
                    <w:rPr>
                      <w:color w:val="000000"/>
                      <w:sz w:val="18"/>
                      <w:szCs w:val="18"/>
                    </w:rPr>
                  </w:pPr>
                  <w:r w:rsidRPr="00A406E2">
                    <w:rPr>
                      <w:color w:val="000000"/>
                      <w:sz w:val="18"/>
                      <w:szCs w:val="18"/>
                    </w:rPr>
                    <w:t>Transitiekosten, huisvesting en I-infrastructuur Nationaal Archief</w:t>
                  </w:r>
                </w:p>
              </w:tc>
              <w:tc>
                <w:tcPr>
                  <w:tcW w:w="1140" w:type="dxa"/>
                  <w:noWrap/>
                  <w:hideMark/>
                </w:tcPr>
                <w:p w:rsidRPr="00A406E2" w:rsidR="00E176AC" w:rsidP="00E176AC" w:rsidRDefault="00E176AC" w14:paraId="56A7E499" w14:textId="77777777">
                  <w:pPr>
                    <w:spacing w:before="0" w:after="0"/>
                    <w:jc w:val="right"/>
                    <w:rPr>
                      <w:color w:val="000000"/>
                      <w:sz w:val="18"/>
                      <w:szCs w:val="18"/>
                    </w:rPr>
                  </w:pPr>
                  <w:r w:rsidRPr="00A406E2">
                    <w:rPr>
                      <w:color w:val="000000"/>
                      <w:sz w:val="18"/>
                      <w:szCs w:val="18"/>
                    </w:rPr>
                    <w:t>1.550</w:t>
                  </w:r>
                </w:p>
              </w:tc>
            </w:tr>
            <w:tr w:rsidRPr="00A406E2" w:rsidR="00E176AC" w:rsidTr="009638D7" w14:paraId="17E0E6D1" w14:textId="77777777">
              <w:trPr>
                <w:trHeight w:val="248"/>
              </w:trPr>
              <w:tc>
                <w:tcPr>
                  <w:tcW w:w="1140" w:type="dxa"/>
                  <w:noWrap/>
                  <w:hideMark/>
                </w:tcPr>
                <w:p w:rsidRPr="00A406E2" w:rsidR="00E176AC" w:rsidP="00E176AC" w:rsidRDefault="00E176AC" w14:paraId="64331D35" w14:textId="77777777">
                  <w:pPr>
                    <w:spacing w:before="0" w:after="0"/>
                    <w:rPr>
                      <w:color w:val="000000"/>
                      <w:sz w:val="18"/>
                      <w:szCs w:val="18"/>
                    </w:rPr>
                  </w:pPr>
                  <w:r w:rsidRPr="00A406E2">
                    <w:rPr>
                      <w:color w:val="000000"/>
                      <w:sz w:val="18"/>
                      <w:szCs w:val="18"/>
                    </w:rPr>
                    <w:t>15</w:t>
                  </w:r>
                </w:p>
              </w:tc>
              <w:tc>
                <w:tcPr>
                  <w:tcW w:w="3840" w:type="dxa"/>
                  <w:hideMark/>
                </w:tcPr>
                <w:p w:rsidRPr="00A406E2" w:rsidR="00E176AC" w:rsidP="00E176AC" w:rsidRDefault="00E176AC" w14:paraId="17F475D1" w14:textId="77777777">
                  <w:pPr>
                    <w:spacing w:before="0" w:after="0"/>
                    <w:rPr>
                      <w:color w:val="000000"/>
                      <w:sz w:val="18"/>
                      <w:szCs w:val="18"/>
                    </w:rPr>
                  </w:pPr>
                  <w:r w:rsidRPr="00A406E2">
                    <w:rPr>
                      <w:color w:val="000000"/>
                      <w:sz w:val="18"/>
                      <w:szCs w:val="18"/>
                    </w:rPr>
                    <w:t>Toezichtstaken Commissariaat voor de Media</w:t>
                  </w:r>
                </w:p>
              </w:tc>
              <w:tc>
                <w:tcPr>
                  <w:tcW w:w="1140" w:type="dxa"/>
                  <w:noWrap/>
                  <w:hideMark/>
                </w:tcPr>
                <w:p w:rsidRPr="00A406E2" w:rsidR="00E176AC" w:rsidP="00E176AC" w:rsidRDefault="00E176AC" w14:paraId="18588B33" w14:textId="77777777">
                  <w:pPr>
                    <w:spacing w:before="0" w:after="0"/>
                    <w:jc w:val="right"/>
                    <w:rPr>
                      <w:color w:val="000000"/>
                      <w:sz w:val="18"/>
                      <w:szCs w:val="18"/>
                    </w:rPr>
                  </w:pPr>
                  <w:r w:rsidRPr="00A406E2">
                    <w:rPr>
                      <w:color w:val="000000"/>
                      <w:sz w:val="18"/>
                      <w:szCs w:val="18"/>
                    </w:rPr>
                    <w:t>1.000</w:t>
                  </w:r>
                </w:p>
              </w:tc>
            </w:tr>
            <w:tr w:rsidRPr="00A406E2" w:rsidR="00E176AC" w:rsidTr="009638D7" w14:paraId="0496C060" w14:textId="77777777">
              <w:trPr>
                <w:trHeight w:val="248"/>
              </w:trPr>
              <w:tc>
                <w:tcPr>
                  <w:tcW w:w="1140" w:type="dxa"/>
                  <w:noWrap/>
                  <w:hideMark/>
                </w:tcPr>
                <w:p w:rsidRPr="00A406E2" w:rsidR="00E176AC" w:rsidP="00E176AC" w:rsidRDefault="00E176AC" w14:paraId="2A0397C0" w14:textId="77777777">
                  <w:pPr>
                    <w:spacing w:before="0" w:after="0"/>
                    <w:rPr>
                      <w:color w:val="000000"/>
                      <w:sz w:val="18"/>
                      <w:szCs w:val="18"/>
                    </w:rPr>
                  </w:pPr>
                  <w:r w:rsidRPr="00A406E2">
                    <w:rPr>
                      <w:color w:val="000000"/>
                      <w:sz w:val="18"/>
                      <w:szCs w:val="18"/>
                    </w:rPr>
                    <w:t>95</w:t>
                  </w:r>
                </w:p>
              </w:tc>
              <w:tc>
                <w:tcPr>
                  <w:tcW w:w="3840" w:type="dxa"/>
                  <w:hideMark/>
                </w:tcPr>
                <w:p w:rsidRPr="00A406E2" w:rsidR="00E176AC" w:rsidP="00E176AC" w:rsidRDefault="00E176AC" w14:paraId="66E16096" w14:textId="77777777">
                  <w:pPr>
                    <w:spacing w:before="0" w:after="0"/>
                    <w:rPr>
                      <w:color w:val="000000"/>
                      <w:sz w:val="18"/>
                      <w:szCs w:val="18"/>
                    </w:rPr>
                  </w:pPr>
                  <w:r w:rsidRPr="00A406E2">
                    <w:rPr>
                      <w:color w:val="000000"/>
                      <w:sz w:val="18"/>
                      <w:szCs w:val="18"/>
                    </w:rPr>
                    <w:t>Programma Samen Verantwoorden</w:t>
                  </w:r>
                </w:p>
              </w:tc>
              <w:tc>
                <w:tcPr>
                  <w:tcW w:w="1140" w:type="dxa"/>
                  <w:noWrap/>
                  <w:hideMark/>
                </w:tcPr>
                <w:p w:rsidRPr="00A406E2" w:rsidR="00E176AC" w:rsidP="00E176AC" w:rsidRDefault="00E176AC" w14:paraId="6F435167" w14:textId="77777777">
                  <w:pPr>
                    <w:spacing w:before="0" w:after="0"/>
                    <w:jc w:val="right"/>
                    <w:rPr>
                      <w:color w:val="000000"/>
                      <w:sz w:val="18"/>
                      <w:szCs w:val="18"/>
                    </w:rPr>
                  </w:pPr>
                  <w:r w:rsidRPr="00A406E2">
                    <w:rPr>
                      <w:color w:val="000000"/>
                      <w:sz w:val="18"/>
                      <w:szCs w:val="18"/>
                    </w:rPr>
                    <w:t>990</w:t>
                  </w:r>
                </w:p>
              </w:tc>
            </w:tr>
            <w:tr w:rsidRPr="00A406E2" w:rsidR="00E176AC" w:rsidTr="009638D7" w14:paraId="215DDBCE" w14:textId="77777777">
              <w:trPr>
                <w:trHeight w:val="248"/>
              </w:trPr>
              <w:tc>
                <w:tcPr>
                  <w:tcW w:w="1140" w:type="dxa"/>
                  <w:noWrap/>
                  <w:hideMark/>
                </w:tcPr>
                <w:p w:rsidRPr="00A406E2" w:rsidR="00E176AC" w:rsidP="00E176AC" w:rsidRDefault="00E176AC" w14:paraId="265EE257" w14:textId="77777777">
                  <w:pPr>
                    <w:spacing w:before="0" w:after="0"/>
                    <w:rPr>
                      <w:color w:val="000000"/>
                      <w:sz w:val="18"/>
                      <w:szCs w:val="18"/>
                    </w:rPr>
                  </w:pPr>
                  <w:r w:rsidRPr="00A406E2">
                    <w:rPr>
                      <w:color w:val="000000"/>
                      <w:sz w:val="18"/>
                      <w:szCs w:val="18"/>
                    </w:rPr>
                    <w:t>95</w:t>
                  </w:r>
                </w:p>
              </w:tc>
              <w:tc>
                <w:tcPr>
                  <w:tcW w:w="3840" w:type="dxa"/>
                  <w:hideMark/>
                </w:tcPr>
                <w:p w:rsidRPr="00A406E2" w:rsidR="00E176AC" w:rsidP="00E176AC" w:rsidRDefault="00E176AC" w14:paraId="211DF7AD" w14:textId="77777777">
                  <w:pPr>
                    <w:spacing w:before="0" w:after="0"/>
                    <w:rPr>
                      <w:color w:val="000000"/>
                      <w:sz w:val="18"/>
                      <w:szCs w:val="18"/>
                    </w:rPr>
                  </w:pPr>
                  <w:r w:rsidRPr="00A406E2">
                    <w:rPr>
                      <w:color w:val="000000"/>
                      <w:sz w:val="18"/>
                      <w:szCs w:val="18"/>
                    </w:rPr>
                    <w:t>Kostenstijging Basisregistratie Personen</w:t>
                  </w:r>
                </w:p>
              </w:tc>
              <w:tc>
                <w:tcPr>
                  <w:tcW w:w="1140" w:type="dxa"/>
                  <w:noWrap/>
                  <w:hideMark/>
                </w:tcPr>
                <w:p w:rsidRPr="00A406E2" w:rsidR="00E176AC" w:rsidP="00E176AC" w:rsidRDefault="00E176AC" w14:paraId="15B37A0C" w14:textId="77777777">
                  <w:pPr>
                    <w:spacing w:before="0" w:after="0"/>
                    <w:jc w:val="right"/>
                    <w:rPr>
                      <w:color w:val="000000"/>
                      <w:sz w:val="18"/>
                      <w:szCs w:val="18"/>
                    </w:rPr>
                  </w:pPr>
                  <w:r w:rsidRPr="00A406E2">
                    <w:rPr>
                      <w:color w:val="000000"/>
                      <w:sz w:val="18"/>
                      <w:szCs w:val="18"/>
                    </w:rPr>
                    <w:t>910</w:t>
                  </w:r>
                </w:p>
              </w:tc>
            </w:tr>
            <w:tr w:rsidRPr="00A406E2" w:rsidR="00E176AC" w:rsidTr="009638D7" w14:paraId="44A99C7C" w14:textId="77777777">
              <w:trPr>
                <w:trHeight w:val="495"/>
              </w:trPr>
              <w:tc>
                <w:tcPr>
                  <w:tcW w:w="1140" w:type="dxa"/>
                  <w:noWrap/>
                  <w:hideMark/>
                </w:tcPr>
                <w:p w:rsidRPr="00A406E2" w:rsidR="00E176AC" w:rsidP="00E176AC" w:rsidRDefault="00E176AC" w14:paraId="28C61F37" w14:textId="77777777">
                  <w:pPr>
                    <w:spacing w:before="0" w:after="0"/>
                    <w:rPr>
                      <w:color w:val="000000"/>
                      <w:sz w:val="18"/>
                      <w:szCs w:val="18"/>
                    </w:rPr>
                  </w:pPr>
                  <w:r w:rsidRPr="00A406E2">
                    <w:rPr>
                      <w:color w:val="000000"/>
                      <w:sz w:val="18"/>
                      <w:szCs w:val="18"/>
                    </w:rPr>
                    <w:t>4</w:t>
                  </w:r>
                </w:p>
              </w:tc>
              <w:tc>
                <w:tcPr>
                  <w:tcW w:w="3840" w:type="dxa"/>
                  <w:hideMark/>
                </w:tcPr>
                <w:p w:rsidRPr="00A406E2" w:rsidR="00E176AC" w:rsidP="00E176AC" w:rsidRDefault="00E176AC" w14:paraId="53A84F5B" w14:textId="77777777">
                  <w:pPr>
                    <w:spacing w:before="0" w:after="0"/>
                    <w:rPr>
                      <w:color w:val="000000"/>
                      <w:sz w:val="18"/>
                      <w:szCs w:val="18"/>
                    </w:rPr>
                  </w:pPr>
                  <w:r w:rsidRPr="00A406E2">
                    <w:rPr>
                      <w:color w:val="000000"/>
                      <w:sz w:val="18"/>
                      <w:szCs w:val="18"/>
                    </w:rPr>
                    <w:t>Ontwikkeling van het examen Nederlands vreemde Taal (</w:t>
                  </w:r>
                  <w:proofErr w:type="spellStart"/>
                  <w:r w:rsidRPr="00A406E2">
                    <w:rPr>
                      <w:color w:val="000000"/>
                      <w:sz w:val="18"/>
                      <w:szCs w:val="18"/>
                    </w:rPr>
                    <w:t>NvT</w:t>
                  </w:r>
                  <w:proofErr w:type="spellEnd"/>
                  <w:r w:rsidRPr="00A406E2">
                    <w:rPr>
                      <w:color w:val="000000"/>
                      <w:sz w:val="18"/>
                      <w:szCs w:val="18"/>
                    </w:rPr>
                    <w:t>) voor de BES-eilanden</w:t>
                  </w:r>
                </w:p>
              </w:tc>
              <w:tc>
                <w:tcPr>
                  <w:tcW w:w="1140" w:type="dxa"/>
                  <w:noWrap/>
                  <w:hideMark/>
                </w:tcPr>
                <w:p w:rsidRPr="00A406E2" w:rsidR="00E176AC" w:rsidP="00E176AC" w:rsidRDefault="00E176AC" w14:paraId="7AF92FBF" w14:textId="77777777">
                  <w:pPr>
                    <w:spacing w:before="0" w:after="0"/>
                    <w:jc w:val="right"/>
                    <w:rPr>
                      <w:color w:val="000000"/>
                      <w:sz w:val="18"/>
                      <w:szCs w:val="18"/>
                    </w:rPr>
                  </w:pPr>
                  <w:r w:rsidRPr="00A406E2">
                    <w:rPr>
                      <w:color w:val="000000"/>
                      <w:sz w:val="18"/>
                      <w:szCs w:val="18"/>
                    </w:rPr>
                    <w:t>750</w:t>
                  </w:r>
                </w:p>
              </w:tc>
            </w:tr>
            <w:tr w:rsidRPr="00A406E2" w:rsidR="00E176AC" w:rsidTr="009638D7" w14:paraId="18C1AF20" w14:textId="77777777">
              <w:trPr>
                <w:trHeight w:val="248"/>
              </w:trPr>
              <w:tc>
                <w:tcPr>
                  <w:tcW w:w="1140" w:type="dxa"/>
                  <w:noWrap/>
                  <w:hideMark/>
                </w:tcPr>
                <w:p w:rsidRPr="00A406E2" w:rsidR="00E176AC" w:rsidP="00E176AC" w:rsidRDefault="00E176AC" w14:paraId="39E522AE" w14:textId="77777777">
                  <w:pPr>
                    <w:spacing w:before="0" w:after="0"/>
                    <w:rPr>
                      <w:color w:val="000000"/>
                      <w:sz w:val="18"/>
                      <w:szCs w:val="18"/>
                    </w:rPr>
                  </w:pPr>
                  <w:r w:rsidRPr="00A406E2">
                    <w:rPr>
                      <w:color w:val="000000"/>
                      <w:sz w:val="18"/>
                      <w:szCs w:val="18"/>
                    </w:rPr>
                    <w:t>25</w:t>
                  </w:r>
                </w:p>
              </w:tc>
              <w:tc>
                <w:tcPr>
                  <w:tcW w:w="3840" w:type="dxa"/>
                  <w:hideMark/>
                </w:tcPr>
                <w:p w:rsidRPr="00A406E2" w:rsidR="00E176AC" w:rsidP="00E176AC" w:rsidRDefault="00E176AC" w14:paraId="26703AB0" w14:textId="77777777">
                  <w:pPr>
                    <w:spacing w:before="0" w:after="0"/>
                    <w:rPr>
                      <w:color w:val="000000"/>
                      <w:sz w:val="18"/>
                      <w:szCs w:val="18"/>
                    </w:rPr>
                  </w:pPr>
                  <w:r w:rsidRPr="00A406E2">
                    <w:rPr>
                      <w:color w:val="000000"/>
                      <w:sz w:val="18"/>
                      <w:szCs w:val="18"/>
                    </w:rPr>
                    <w:t>Versterkte Aanpak LHBTIQ+ Veiligheid</w:t>
                  </w:r>
                </w:p>
              </w:tc>
              <w:tc>
                <w:tcPr>
                  <w:tcW w:w="1140" w:type="dxa"/>
                  <w:noWrap/>
                  <w:hideMark/>
                </w:tcPr>
                <w:p w:rsidRPr="00A406E2" w:rsidR="00E176AC" w:rsidP="00E176AC" w:rsidRDefault="00E176AC" w14:paraId="3A8844BC" w14:textId="77777777">
                  <w:pPr>
                    <w:spacing w:before="0" w:after="0"/>
                    <w:jc w:val="right"/>
                    <w:rPr>
                      <w:color w:val="000000"/>
                      <w:sz w:val="18"/>
                      <w:szCs w:val="18"/>
                    </w:rPr>
                  </w:pPr>
                  <w:r w:rsidRPr="00A406E2">
                    <w:rPr>
                      <w:color w:val="000000"/>
                      <w:sz w:val="18"/>
                      <w:szCs w:val="18"/>
                    </w:rPr>
                    <w:t>340</w:t>
                  </w:r>
                </w:p>
              </w:tc>
            </w:tr>
            <w:tr w:rsidRPr="00A406E2" w:rsidR="00E176AC" w:rsidTr="009638D7" w14:paraId="17E5AF08" w14:textId="77777777">
              <w:trPr>
                <w:trHeight w:val="248"/>
              </w:trPr>
              <w:tc>
                <w:tcPr>
                  <w:tcW w:w="1140" w:type="dxa"/>
                  <w:noWrap/>
                </w:tcPr>
                <w:p w:rsidRPr="00A406E2" w:rsidR="00E176AC" w:rsidP="00E176AC" w:rsidRDefault="00E176AC" w14:paraId="59681565" w14:textId="77777777">
                  <w:pPr>
                    <w:spacing w:before="0" w:after="0"/>
                    <w:rPr>
                      <w:color w:val="000000"/>
                      <w:sz w:val="18"/>
                      <w:szCs w:val="18"/>
                    </w:rPr>
                  </w:pPr>
                  <w:r w:rsidRPr="00A406E2">
                    <w:rPr>
                      <w:color w:val="000000"/>
                      <w:sz w:val="18"/>
                      <w:szCs w:val="18"/>
                    </w:rPr>
                    <w:t>95</w:t>
                  </w:r>
                </w:p>
              </w:tc>
              <w:tc>
                <w:tcPr>
                  <w:tcW w:w="3840" w:type="dxa"/>
                </w:tcPr>
                <w:p w:rsidRPr="00A406E2" w:rsidR="00E176AC" w:rsidP="00E176AC" w:rsidRDefault="00E176AC" w14:paraId="0909BB6E" w14:textId="77777777">
                  <w:pPr>
                    <w:spacing w:before="0" w:after="0"/>
                    <w:rPr>
                      <w:color w:val="000000"/>
                      <w:sz w:val="18"/>
                      <w:szCs w:val="18"/>
                    </w:rPr>
                  </w:pPr>
                  <w:r w:rsidRPr="00A406E2">
                    <w:rPr>
                      <w:color w:val="000000"/>
                      <w:sz w:val="18"/>
                      <w:szCs w:val="18"/>
                    </w:rPr>
                    <w:t>Regeringsvliegtuig OCW-aandeel</w:t>
                  </w:r>
                </w:p>
              </w:tc>
              <w:tc>
                <w:tcPr>
                  <w:tcW w:w="1140" w:type="dxa"/>
                  <w:noWrap/>
                </w:tcPr>
                <w:p w:rsidRPr="00A406E2" w:rsidR="00E176AC" w:rsidP="00E176AC" w:rsidRDefault="00E176AC" w14:paraId="5568287A" w14:textId="77777777">
                  <w:pPr>
                    <w:spacing w:before="0" w:after="0"/>
                    <w:jc w:val="right"/>
                    <w:rPr>
                      <w:color w:val="000000"/>
                      <w:sz w:val="18"/>
                      <w:szCs w:val="18"/>
                    </w:rPr>
                  </w:pPr>
                  <w:r w:rsidRPr="00A406E2">
                    <w:rPr>
                      <w:color w:val="000000"/>
                      <w:sz w:val="18"/>
                      <w:szCs w:val="18"/>
                    </w:rPr>
                    <w:t>269</w:t>
                  </w:r>
                </w:p>
              </w:tc>
            </w:tr>
            <w:tr w:rsidRPr="00A406E2" w:rsidR="00E176AC" w:rsidTr="009638D7" w14:paraId="6AC16827" w14:textId="77777777">
              <w:trPr>
                <w:trHeight w:val="248"/>
              </w:trPr>
              <w:tc>
                <w:tcPr>
                  <w:tcW w:w="1140" w:type="dxa"/>
                  <w:noWrap/>
                  <w:hideMark/>
                </w:tcPr>
                <w:p w:rsidRPr="00A406E2" w:rsidR="00E176AC" w:rsidP="00E176AC" w:rsidRDefault="00E176AC" w14:paraId="61789029" w14:textId="77777777">
                  <w:pPr>
                    <w:spacing w:before="0" w:after="0"/>
                    <w:rPr>
                      <w:color w:val="000000"/>
                      <w:sz w:val="18"/>
                      <w:szCs w:val="18"/>
                    </w:rPr>
                  </w:pPr>
                  <w:r w:rsidRPr="00A406E2">
                    <w:rPr>
                      <w:color w:val="000000"/>
                      <w:sz w:val="18"/>
                      <w:szCs w:val="18"/>
                    </w:rPr>
                    <w:t>8</w:t>
                  </w:r>
                </w:p>
              </w:tc>
              <w:tc>
                <w:tcPr>
                  <w:tcW w:w="3840" w:type="dxa"/>
                  <w:hideMark/>
                </w:tcPr>
                <w:p w:rsidRPr="00A406E2" w:rsidR="00E176AC" w:rsidP="00E176AC" w:rsidRDefault="00E176AC" w14:paraId="693F4EF5" w14:textId="77777777">
                  <w:pPr>
                    <w:spacing w:before="0" w:after="0"/>
                    <w:rPr>
                      <w:color w:val="000000"/>
                      <w:sz w:val="18"/>
                      <w:szCs w:val="18"/>
                    </w:rPr>
                  </w:pPr>
                  <w:r w:rsidRPr="00A406E2">
                    <w:rPr>
                      <w:color w:val="000000"/>
                      <w:sz w:val="18"/>
                      <w:szCs w:val="18"/>
                    </w:rPr>
                    <w:t>EU-voorzitterschap 2029</w:t>
                  </w:r>
                </w:p>
              </w:tc>
              <w:tc>
                <w:tcPr>
                  <w:tcW w:w="1140" w:type="dxa"/>
                  <w:noWrap/>
                  <w:hideMark/>
                </w:tcPr>
                <w:p w:rsidRPr="00A406E2" w:rsidR="00E176AC" w:rsidP="00E176AC" w:rsidRDefault="00E176AC" w14:paraId="3CC4F395" w14:textId="77777777">
                  <w:pPr>
                    <w:spacing w:before="0" w:after="0"/>
                    <w:jc w:val="right"/>
                    <w:rPr>
                      <w:color w:val="000000"/>
                      <w:sz w:val="18"/>
                      <w:szCs w:val="18"/>
                    </w:rPr>
                  </w:pPr>
                  <w:r w:rsidRPr="00A406E2">
                    <w:rPr>
                      <w:color w:val="000000"/>
                      <w:sz w:val="18"/>
                      <w:szCs w:val="18"/>
                    </w:rPr>
                    <w:t>30</w:t>
                  </w:r>
                </w:p>
              </w:tc>
            </w:tr>
            <w:tr w:rsidRPr="00A406E2" w:rsidR="00E176AC" w:rsidTr="009638D7" w14:paraId="0BE4B926" w14:textId="77777777">
              <w:trPr>
                <w:trHeight w:val="248"/>
              </w:trPr>
              <w:tc>
                <w:tcPr>
                  <w:tcW w:w="1140" w:type="dxa"/>
                  <w:noWrap/>
                  <w:hideMark/>
                </w:tcPr>
                <w:p w:rsidRPr="00A406E2" w:rsidR="00E176AC" w:rsidP="00E176AC" w:rsidRDefault="00E176AC" w14:paraId="18C595E2" w14:textId="77777777">
                  <w:pPr>
                    <w:spacing w:before="0" w:after="0"/>
                    <w:jc w:val="right"/>
                    <w:rPr>
                      <w:color w:val="000000"/>
                      <w:sz w:val="18"/>
                      <w:szCs w:val="18"/>
                    </w:rPr>
                  </w:pPr>
                </w:p>
              </w:tc>
              <w:tc>
                <w:tcPr>
                  <w:tcW w:w="3840" w:type="dxa"/>
                  <w:hideMark/>
                </w:tcPr>
                <w:p w:rsidRPr="00A406E2" w:rsidR="00E176AC" w:rsidP="00E176AC" w:rsidRDefault="00E176AC" w14:paraId="6F13C049" w14:textId="77777777">
                  <w:pPr>
                    <w:spacing w:before="0" w:after="0"/>
                    <w:rPr>
                      <w:b/>
                      <w:bCs/>
                      <w:color w:val="000000"/>
                      <w:sz w:val="18"/>
                      <w:szCs w:val="18"/>
                    </w:rPr>
                  </w:pPr>
                  <w:r w:rsidRPr="00A406E2">
                    <w:rPr>
                      <w:b/>
                      <w:bCs/>
                      <w:color w:val="000000"/>
                      <w:sz w:val="18"/>
                      <w:szCs w:val="18"/>
                    </w:rPr>
                    <w:t>Totaal overige intensiveringen</w:t>
                  </w:r>
                </w:p>
              </w:tc>
              <w:tc>
                <w:tcPr>
                  <w:tcW w:w="1140" w:type="dxa"/>
                  <w:noWrap/>
                  <w:hideMark/>
                </w:tcPr>
                <w:p w:rsidRPr="00A406E2" w:rsidR="00E176AC" w:rsidP="00E176AC" w:rsidRDefault="00E176AC" w14:paraId="63C4B1C5" w14:textId="77777777">
                  <w:pPr>
                    <w:spacing w:before="0" w:after="0"/>
                    <w:jc w:val="right"/>
                    <w:rPr>
                      <w:b/>
                      <w:bCs/>
                      <w:color w:val="000000"/>
                      <w:sz w:val="18"/>
                      <w:szCs w:val="18"/>
                    </w:rPr>
                  </w:pPr>
                  <w:r w:rsidRPr="00A406E2">
                    <w:rPr>
                      <w:b/>
                      <w:bCs/>
                      <w:color w:val="000000"/>
                      <w:sz w:val="18"/>
                      <w:szCs w:val="18"/>
                    </w:rPr>
                    <w:t>10.348</w:t>
                  </w:r>
                </w:p>
              </w:tc>
            </w:tr>
          </w:tbl>
          <w:p w:rsidRPr="00A406E2" w:rsidR="00E176AC" w:rsidP="00552EC0" w:rsidRDefault="00E176AC" w14:paraId="1328055B" w14:textId="7343AB4B">
            <w:pPr>
              <w:rPr>
                <w:sz w:val="24"/>
                <w:szCs w:val="24"/>
              </w:rPr>
            </w:pPr>
          </w:p>
        </w:tc>
        <w:tc>
          <w:tcPr>
            <w:tcW w:w="850" w:type="dxa"/>
          </w:tcPr>
          <w:p w:rsidRPr="00A406E2" w:rsidR="00552EC0" w:rsidP="00552EC0" w:rsidRDefault="00552EC0" w14:paraId="01622271" w14:textId="0B426230">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552EC0" w14:paraId="2CD00D3D" w14:textId="1B7CAD06">
            <w:pPr>
              <w:jc w:val="right"/>
              <w:rPr>
                <w:sz w:val="24"/>
                <w:szCs w:val="24"/>
              </w:rPr>
            </w:pPr>
            <w:r w:rsidRPr="00A406E2">
              <w:rPr>
                <w:sz w:val="24"/>
                <w:szCs w:val="24"/>
              </w:rPr>
              <w:t>4</w:t>
            </w:r>
          </w:p>
        </w:tc>
        <w:tc>
          <w:tcPr>
            <w:tcW w:w="567" w:type="dxa"/>
          </w:tcPr>
          <w:p w:rsidRPr="00A406E2" w:rsidR="00552EC0" w:rsidP="00552EC0" w:rsidRDefault="00552EC0" w14:paraId="44989BE0" w14:textId="77777777">
            <w:pPr>
              <w:jc w:val="right"/>
              <w:rPr>
                <w:sz w:val="24"/>
                <w:szCs w:val="24"/>
              </w:rPr>
            </w:pPr>
          </w:p>
        </w:tc>
      </w:tr>
      <w:tr w:rsidRPr="00A406E2" w:rsidR="00552EC0" w:rsidTr="00B90BBB" w14:paraId="68B887D7" w14:textId="77777777">
        <w:tc>
          <w:tcPr>
            <w:tcW w:w="567" w:type="dxa"/>
          </w:tcPr>
          <w:p w:rsidRPr="00A406E2" w:rsidR="00552EC0" w:rsidP="00552EC0" w:rsidRDefault="00552EC0" w14:paraId="6B0FE016" w14:textId="30EC5D89">
            <w:pPr>
              <w:rPr>
                <w:sz w:val="24"/>
                <w:szCs w:val="24"/>
              </w:rPr>
            </w:pPr>
            <w:r w:rsidRPr="00A406E2">
              <w:rPr>
                <w:sz w:val="24"/>
                <w:szCs w:val="24"/>
              </w:rPr>
              <w:t>6</w:t>
            </w:r>
          </w:p>
        </w:tc>
        <w:tc>
          <w:tcPr>
            <w:tcW w:w="6521" w:type="dxa"/>
          </w:tcPr>
          <w:p w:rsidRPr="00A406E2" w:rsidR="00552EC0" w:rsidP="00552EC0" w:rsidRDefault="00CF496C" w14:paraId="14087A87" w14:textId="77777777">
            <w:pPr>
              <w:rPr>
                <w:sz w:val="24"/>
                <w:szCs w:val="24"/>
              </w:rPr>
            </w:pPr>
            <w:r w:rsidRPr="00A406E2">
              <w:rPr>
                <w:sz w:val="24"/>
                <w:szCs w:val="24"/>
              </w:rPr>
              <w:t>Wat is de reden van de incidentele verhoging van het budget met €19,1 miljoen in 2027 voor de regeling schoolmaaltijden om de huidige zomer- en winterpakketten te continueren in 2027?</w:t>
            </w:r>
          </w:p>
          <w:p w:rsidRPr="00A406E2" w:rsidR="00145239" w:rsidP="00552EC0" w:rsidRDefault="00145239" w14:paraId="5B148A40" w14:textId="6293CC2B">
            <w:pPr>
              <w:rPr>
                <w:sz w:val="24"/>
                <w:szCs w:val="24"/>
              </w:rPr>
            </w:pPr>
            <w:r w:rsidRPr="00A406E2">
              <w:rPr>
                <w:sz w:val="24"/>
                <w:szCs w:val="24"/>
              </w:rPr>
              <w:t xml:space="preserve">De verhoging van het </w:t>
            </w:r>
            <w:r w:rsidRPr="00A406E2" w:rsidR="00894378">
              <w:rPr>
                <w:sz w:val="24"/>
                <w:szCs w:val="24"/>
              </w:rPr>
              <w:t xml:space="preserve">was gebaseerd op de prognoses uit december 2025 vanuit het Jeugdeducatiefonds (JEF) van het aantal leerlingen en de verwachte kosten van de pakketten. </w:t>
            </w:r>
          </w:p>
        </w:tc>
        <w:tc>
          <w:tcPr>
            <w:tcW w:w="850" w:type="dxa"/>
          </w:tcPr>
          <w:p w:rsidRPr="00A406E2" w:rsidR="00552EC0" w:rsidP="00552EC0" w:rsidRDefault="00CF496C" w14:paraId="3E08A692" w14:textId="42DA8C11">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CF496C" w14:paraId="6CEB0966" w14:textId="553C4C81">
            <w:pPr>
              <w:jc w:val="right"/>
              <w:rPr>
                <w:sz w:val="24"/>
                <w:szCs w:val="24"/>
              </w:rPr>
            </w:pPr>
            <w:r w:rsidRPr="00A406E2">
              <w:rPr>
                <w:sz w:val="24"/>
                <w:szCs w:val="24"/>
              </w:rPr>
              <w:t>4</w:t>
            </w:r>
          </w:p>
        </w:tc>
        <w:tc>
          <w:tcPr>
            <w:tcW w:w="567" w:type="dxa"/>
          </w:tcPr>
          <w:p w:rsidRPr="00A406E2" w:rsidR="00552EC0" w:rsidP="00552EC0" w:rsidRDefault="00552EC0" w14:paraId="0FD49082" w14:textId="77777777">
            <w:pPr>
              <w:jc w:val="right"/>
              <w:rPr>
                <w:sz w:val="24"/>
                <w:szCs w:val="24"/>
              </w:rPr>
            </w:pPr>
          </w:p>
        </w:tc>
      </w:tr>
      <w:tr w:rsidRPr="00A406E2" w:rsidR="00552EC0" w:rsidTr="00B90BBB" w14:paraId="38C98B35" w14:textId="77777777">
        <w:tc>
          <w:tcPr>
            <w:tcW w:w="567" w:type="dxa"/>
          </w:tcPr>
          <w:p w:rsidRPr="00A406E2" w:rsidR="00552EC0" w:rsidP="00552EC0" w:rsidRDefault="00552EC0" w14:paraId="2AB87DD2" w14:textId="3400215A">
            <w:pPr>
              <w:rPr>
                <w:sz w:val="24"/>
                <w:szCs w:val="24"/>
              </w:rPr>
            </w:pPr>
            <w:r w:rsidRPr="00A406E2">
              <w:rPr>
                <w:sz w:val="24"/>
                <w:szCs w:val="24"/>
              </w:rPr>
              <w:t>7</w:t>
            </w:r>
          </w:p>
        </w:tc>
        <w:tc>
          <w:tcPr>
            <w:tcW w:w="6521" w:type="dxa"/>
          </w:tcPr>
          <w:p w:rsidRPr="00A406E2" w:rsidR="00552EC0" w:rsidP="00552EC0" w:rsidRDefault="00552EC0" w14:paraId="3B4886CD" w14:textId="77777777">
            <w:pPr>
              <w:rPr>
                <w:sz w:val="24"/>
                <w:szCs w:val="24"/>
              </w:rPr>
            </w:pPr>
            <w:r w:rsidRPr="00A406E2">
              <w:rPr>
                <w:sz w:val="24"/>
                <w:szCs w:val="24"/>
              </w:rPr>
              <w:t>Op welke termijn zullen de onderwijsbezuinigingen van het kabinet</w:t>
            </w:r>
            <w:r w:rsidRPr="00A406E2" w:rsidR="00A56BB2">
              <w:rPr>
                <w:sz w:val="24"/>
                <w:szCs w:val="24"/>
              </w:rPr>
              <w:t>-</w:t>
            </w:r>
            <w:r w:rsidRPr="00A406E2">
              <w:rPr>
                <w:sz w:val="24"/>
                <w:szCs w:val="24"/>
              </w:rPr>
              <w:t>Schoof volledig teruggedraaid zijn en hoeveel geld zijn onderwijs en wetenschap tegen die tijd misgelopen door staande bezuinigingen die tot die tijd niet of slechts deels teruggedraaid zullen worden?</w:t>
            </w:r>
          </w:p>
          <w:p w:rsidRPr="00A406E2" w:rsidR="0065367A" w:rsidP="00552EC0" w:rsidRDefault="00DB1079" w14:paraId="02BFA5DA" w14:textId="2E50DD1A">
            <w:pPr>
              <w:rPr>
                <w:sz w:val="24"/>
                <w:szCs w:val="24"/>
              </w:rPr>
            </w:pPr>
            <w:r w:rsidRPr="00A406E2">
              <w:rPr>
                <w:sz w:val="24"/>
                <w:szCs w:val="24"/>
              </w:rPr>
              <w:t xml:space="preserve">In de </w:t>
            </w:r>
            <w:hyperlink w:history="1" r:id="rId12">
              <w:r w:rsidRPr="00A406E2">
                <w:rPr>
                  <w:rStyle w:val="Hyperlink"/>
                  <w:sz w:val="24"/>
                  <w:szCs w:val="24"/>
                </w:rPr>
                <w:t xml:space="preserve">beantwoording van de Kamervragen van de leden Moorman, </w:t>
              </w:r>
              <w:proofErr w:type="spellStart"/>
              <w:r w:rsidRPr="00A406E2">
                <w:rPr>
                  <w:rStyle w:val="Hyperlink"/>
                  <w:sz w:val="24"/>
                  <w:szCs w:val="24"/>
                </w:rPr>
                <w:t>Abdi</w:t>
              </w:r>
              <w:proofErr w:type="spellEnd"/>
              <w:r w:rsidRPr="00A406E2">
                <w:rPr>
                  <w:rStyle w:val="Hyperlink"/>
                  <w:sz w:val="24"/>
                  <w:szCs w:val="24"/>
                </w:rPr>
                <w:t xml:space="preserve"> en </w:t>
              </w:r>
              <w:proofErr w:type="spellStart"/>
              <w:r w:rsidRPr="00A406E2">
                <w:rPr>
                  <w:rStyle w:val="Hyperlink"/>
                  <w:sz w:val="24"/>
                  <w:szCs w:val="24"/>
                </w:rPr>
                <w:t>Tseggai</w:t>
              </w:r>
              <w:proofErr w:type="spellEnd"/>
            </w:hyperlink>
            <w:r w:rsidRPr="00A406E2">
              <w:rPr>
                <w:sz w:val="24"/>
                <w:szCs w:val="24"/>
              </w:rPr>
              <w:t xml:space="preserve"> is een vergelijking gemaakt tussen bezuinigingen van het kabinet Schoof en de investeringen van het kabinet </w:t>
            </w:r>
            <w:proofErr w:type="spellStart"/>
            <w:r w:rsidRPr="00A406E2">
              <w:rPr>
                <w:sz w:val="24"/>
                <w:szCs w:val="24"/>
              </w:rPr>
              <w:t>Jetten</w:t>
            </w:r>
            <w:proofErr w:type="spellEnd"/>
            <w:r w:rsidRPr="00A406E2">
              <w:rPr>
                <w:sz w:val="24"/>
                <w:szCs w:val="24"/>
              </w:rPr>
              <w:t xml:space="preserve">. In die vergelijking is rekening gehouden met het terugdraaien van bezuinigingen van het kabinet Schoof met de amendementen </w:t>
            </w:r>
            <w:hyperlink w:history="1" r:id="rId13">
              <w:r w:rsidRPr="00A406E2">
                <w:rPr>
                  <w:rStyle w:val="Hyperlink"/>
                  <w:sz w:val="24"/>
                  <w:szCs w:val="24"/>
                </w:rPr>
                <w:t>Bontenbal c.s.</w:t>
              </w:r>
            </w:hyperlink>
            <w:r w:rsidRPr="00A406E2">
              <w:rPr>
                <w:sz w:val="24"/>
                <w:szCs w:val="24"/>
              </w:rPr>
              <w:t xml:space="preserve"> en </w:t>
            </w:r>
            <w:hyperlink w:history="1" r:id="rId14">
              <w:r w:rsidRPr="00A406E2">
                <w:rPr>
                  <w:rStyle w:val="Hyperlink"/>
                  <w:sz w:val="24"/>
                  <w:szCs w:val="24"/>
                </w:rPr>
                <w:t>Eerdmans c.s</w:t>
              </w:r>
            </w:hyperlink>
            <w:r w:rsidRPr="00A406E2">
              <w:rPr>
                <w:sz w:val="24"/>
                <w:szCs w:val="24"/>
              </w:rPr>
              <w:t xml:space="preserve">. Daaruit blijkt dat het kabinet </w:t>
            </w:r>
            <w:proofErr w:type="spellStart"/>
            <w:r w:rsidRPr="00A406E2">
              <w:rPr>
                <w:sz w:val="24"/>
                <w:szCs w:val="24"/>
              </w:rPr>
              <w:t>Jetten</w:t>
            </w:r>
            <w:proofErr w:type="spellEnd"/>
            <w:r w:rsidRPr="00A406E2">
              <w:rPr>
                <w:sz w:val="24"/>
                <w:szCs w:val="24"/>
              </w:rPr>
              <w:t xml:space="preserve"> vanaf 2027 per saldo meer investeert dan dat het kabinet Schoof heeft bezuinigd. Het is daarbij wel mogelijk dat niet alle bezuinigingen een op een worden teruggedraaid, maar dat voor andere investeringen of instrumenten wordt gekozen.</w:t>
            </w:r>
            <w:r w:rsidRPr="00A406E2" w:rsidR="009E7A68">
              <w:t xml:space="preserve"> </w:t>
            </w:r>
            <w:r w:rsidRPr="00A406E2" w:rsidR="009E7A68">
              <w:rPr>
                <w:sz w:val="24"/>
                <w:szCs w:val="24"/>
              </w:rPr>
              <w:t xml:space="preserve">In de </w:t>
            </w:r>
            <w:r w:rsidRPr="00A406E2" w:rsidR="006455AA">
              <w:rPr>
                <w:sz w:val="24"/>
                <w:szCs w:val="24"/>
              </w:rPr>
              <w:t>beleidsbrief van OCW die</w:t>
            </w:r>
            <w:r w:rsidRPr="00A406E2" w:rsidR="009E7A68">
              <w:rPr>
                <w:sz w:val="24"/>
                <w:szCs w:val="24"/>
              </w:rPr>
              <w:t xml:space="preserve"> uw Kamer </w:t>
            </w:r>
            <w:r w:rsidRPr="00A406E2" w:rsidR="006455AA">
              <w:rPr>
                <w:sz w:val="24"/>
                <w:szCs w:val="24"/>
              </w:rPr>
              <w:t>binnenkort zal ontvangen</w:t>
            </w:r>
            <w:r w:rsidRPr="00A406E2" w:rsidR="009E7A68">
              <w:rPr>
                <w:sz w:val="24"/>
                <w:szCs w:val="24"/>
              </w:rPr>
              <w:t xml:space="preserve"> wordt dit toegelicht. De verdeling wordt </w:t>
            </w:r>
            <w:r w:rsidRPr="00A406E2" w:rsidR="00A2321B">
              <w:rPr>
                <w:sz w:val="24"/>
                <w:szCs w:val="24"/>
              </w:rPr>
              <w:t xml:space="preserve">voor de zomer van 2026 </w:t>
            </w:r>
            <w:r w:rsidRPr="00A406E2" w:rsidR="009E7A68">
              <w:rPr>
                <w:sz w:val="24"/>
                <w:szCs w:val="24"/>
              </w:rPr>
              <w:t>nader uitgewerkt, mede in overleg met uw Kamer en sectoren</w:t>
            </w:r>
            <w:r w:rsidRPr="00A406E2" w:rsidR="000567E9">
              <w:rPr>
                <w:sz w:val="24"/>
                <w:szCs w:val="24"/>
              </w:rPr>
              <w:t>, richting verwerking van de middelen in de Ontwerpbegroting 2027</w:t>
            </w:r>
            <w:r w:rsidRPr="00A406E2" w:rsidR="008549EB">
              <w:rPr>
                <w:sz w:val="24"/>
                <w:szCs w:val="24"/>
              </w:rPr>
              <w:t xml:space="preserve"> van OCW</w:t>
            </w:r>
            <w:r w:rsidRPr="00A406E2" w:rsidR="000567E9">
              <w:rPr>
                <w:sz w:val="24"/>
                <w:szCs w:val="24"/>
              </w:rPr>
              <w:t>.</w:t>
            </w:r>
          </w:p>
        </w:tc>
        <w:tc>
          <w:tcPr>
            <w:tcW w:w="850" w:type="dxa"/>
          </w:tcPr>
          <w:p w:rsidRPr="00A406E2" w:rsidR="00552EC0" w:rsidP="00552EC0" w:rsidRDefault="00552EC0" w14:paraId="0D4A5764" w14:textId="38983E76">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552EC0" w14:paraId="78075DD6" w14:textId="77777777">
            <w:pPr>
              <w:jc w:val="right"/>
              <w:rPr>
                <w:sz w:val="24"/>
                <w:szCs w:val="24"/>
              </w:rPr>
            </w:pPr>
            <w:r w:rsidRPr="00A406E2">
              <w:rPr>
                <w:sz w:val="24"/>
                <w:szCs w:val="24"/>
              </w:rPr>
              <w:t>4</w:t>
            </w:r>
          </w:p>
        </w:tc>
        <w:tc>
          <w:tcPr>
            <w:tcW w:w="567" w:type="dxa"/>
          </w:tcPr>
          <w:p w:rsidRPr="00A406E2" w:rsidR="00552EC0" w:rsidP="00552EC0" w:rsidRDefault="00552EC0" w14:paraId="4DA7C8A7" w14:textId="77777777">
            <w:pPr>
              <w:jc w:val="right"/>
              <w:rPr>
                <w:sz w:val="24"/>
                <w:szCs w:val="24"/>
              </w:rPr>
            </w:pPr>
            <w:r w:rsidRPr="00A406E2">
              <w:rPr>
                <w:sz w:val="24"/>
                <w:szCs w:val="24"/>
              </w:rPr>
              <w:t xml:space="preserve"> </w:t>
            </w:r>
          </w:p>
        </w:tc>
      </w:tr>
      <w:tr w:rsidRPr="00A406E2" w:rsidR="00552EC0" w:rsidTr="00B90BBB" w14:paraId="477AD430" w14:textId="77777777">
        <w:tc>
          <w:tcPr>
            <w:tcW w:w="567" w:type="dxa"/>
          </w:tcPr>
          <w:p w:rsidRPr="00A406E2" w:rsidR="00552EC0" w:rsidP="00552EC0" w:rsidRDefault="00552EC0" w14:paraId="70A05E56" w14:textId="6455A9D3">
            <w:pPr>
              <w:rPr>
                <w:sz w:val="24"/>
                <w:szCs w:val="24"/>
              </w:rPr>
            </w:pPr>
            <w:r w:rsidRPr="00A406E2">
              <w:rPr>
                <w:sz w:val="24"/>
                <w:szCs w:val="24"/>
              </w:rPr>
              <w:t>8</w:t>
            </w:r>
          </w:p>
        </w:tc>
        <w:tc>
          <w:tcPr>
            <w:tcW w:w="6521" w:type="dxa"/>
          </w:tcPr>
          <w:p w:rsidRPr="00A406E2" w:rsidR="00552EC0" w:rsidP="00552EC0" w:rsidRDefault="00552EC0" w14:paraId="00610C02" w14:textId="77777777">
            <w:pPr>
              <w:rPr>
                <w:sz w:val="24"/>
                <w:szCs w:val="24"/>
              </w:rPr>
            </w:pPr>
            <w:r w:rsidRPr="00A406E2">
              <w:rPr>
                <w:sz w:val="24"/>
                <w:szCs w:val="24"/>
              </w:rPr>
              <w:t>Hoe wordt de tegenvaller van €88,092 miljoen vanwege de afhandeling van de zaak rond indirecte discriminatie bij DUO gedekt?</w:t>
            </w:r>
          </w:p>
          <w:p w:rsidRPr="00A406E2" w:rsidR="006D5935" w:rsidP="00552EC0" w:rsidRDefault="006D5935" w14:paraId="53500493" w14:textId="348C220B">
            <w:pPr>
              <w:rPr>
                <w:sz w:val="24"/>
                <w:szCs w:val="24"/>
              </w:rPr>
            </w:pPr>
            <w:r w:rsidRPr="00A406E2">
              <w:rPr>
                <w:sz w:val="24"/>
                <w:szCs w:val="24"/>
              </w:rPr>
              <w:lastRenderedPageBreak/>
              <w:t>Het bedrag van € 88,092 miljoen is een tegenvaller op de totale studiefinancieringsraming</w:t>
            </w:r>
            <w:r w:rsidRPr="00A406E2" w:rsidR="00175070">
              <w:rPr>
                <w:sz w:val="24"/>
                <w:szCs w:val="24"/>
              </w:rPr>
              <w:t xml:space="preserve"> en wordt gedekt uit de Eindejaarsmarge. Deze tegenvaller staat los van de herstelopgave rondom de controles op de uitwonendenbeurs (CUB)</w:t>
            </w:r>
            <w:r w:rsidRPr="00A406E2">
              <w:rPr>
                <w:sz w:val="24"/>
                <w:szCs w:val="24"/>
              </w:rPr>
              <w:t xml:space="preserve">. In deze tegenvaller </w:t>
            </w:r>
            <w:r w:rsidRPr="00A406E2" w:rsidR="00175070">
              <w:rPr>
                <w:sz w:val="24"/>
                <w:szCs w:val="24"/>
              </w:rPr>
              <w:t xml:space="preserve">op de studiefinanciering van € 88,092 miljoen </w:t>
            </w:r>
            <w:r w:rsidRPr="00A406E2">
              <w:rPr>
                <w:sz w:val="24"/>
                <w:szCs w:val="24"/>
              </w:rPr>
              <w:t>zitten geen kosten vanwege de</w:t>
            </w:r>
            <w:r w:rsidRPr="00A406E2" w:rsidR="00175070">
              <w:rPr>
                <w:sz w:val="24"/>
                <w:szCs w:val="24"/>
              </w:rPr>
              <w:t xml:space="preserve"> herzieningen of schade</w:t>
            </w:r>
            <w:r w:rsidRPr="00A406E2">
              <w:rPr>
                <w:sz w:val="24"/>
                <w:szCs w:val="24"/>
              </w:rPr>
              <w:t xml:space="preserve">afhandeling van de zaak rondom de controles op de uitwonendenbeurs. Specifiek met betrekking tot de hersteloperatie rondom de controles op de uitwonendenbeurs is er een tegenvaller van totaal € 29,1 miljoen vanwege de herzieningen. Dit bedrag wordt meegenomen in het totaal aan saldo mee- en tegenvallers op de OCW-begroting die terug zijn te vinden in tabel 1 </w:t>
            </w:r>
            <w:r w:rsidRPr="00A406E2" w:rsidR="00B3135A">
              <w:rPr>
                <w:sz w:val="24"/>
                <w:szCs w:val="24"/>
              </w:rPr>
              <w:t>van de Memorie van Toelichting</w:t>
            </w:r>
            <w:r w:rsidRPr="00A406E2">
              <w:rPr>
                <w:sz w:val="24"/>
                <w:szCs w:val="24"/>
              </w:rPr>
              <w:t xml:space="preserve"> Eerste suppletoire begroting 2026 OCW.</w:t>
            </w:r>
          </w:p>
        </w:tc>
        <w:tc>
          <w:tcPr>
            <w:tcW w:w="850" w:type="dxa"/>
          </w:tcPr>
          <w:p w:rsidRPr="00A406E2" w:rsidR="00552EC0" w:rsidP="00552EC0" w:rsidRDefault="00552EC0" w14:paraId="3FCC54A4" w14:textId="6510E20F">
            <w:pPr>
              <w:jc w:val="right"/>
              <w:rPr>
                <w:sz w:val="24"/>
                <w:szCs w:val="24"/>
              </w:rPr>
            </w:pPr>
            <w:r w:rsidRPr="00A406E2">
              <w:rPr>
                <w:sz w:val="24"/>
                <w:szCs w:val="24"/>
              </w:rPr>
              <w:lastRenderedPageBreak/>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552EC0" w14:paraId="1CD7FE3B" w14:textId="28FE82D1">
            <w:pPr>
              <w:jc w:val="right"/>
              <w:rPr>
                <w:sz w:val="24"/>
                <w:szCs w:val="24"/>
              </w:rPr>
            </w:pPr>
            <w:r w:rsidRPr="00A406E2">
              <w:rPr>
                <w:sz w:val="24"/>
                <w:szCs w:val="24"/>
              </w:rPr>
              <w:t>4</w:t>
            </w:r>
          </w:p>
        </w:tc>
        <w:tc>
          <w:tcPr>
            <w:tcW w:w="567" w:type="dxa"/>
          </w:tcPr>
          <w:p w:rsidRPr="00A406E2" w:rsidR="00552EC0" w:rsidP="00552EC0" w:rsidRDefault="00552EC0" w14:paraId="2540F16E" w14:textId="77777777">
            <w:pPr>
              <w:jc w:val="right"/>
              <w:rPr>
                <w:sz w:val="24"/>
                <w:szCs w:val="24"/>
              </w:rPr>
            </w:pPr>
          </w:p>
        </w:tc>
      </w:tr>
      <w:tr w:rsidRPr="00A406E2" w:rsidR="00552EC0" w:rsidTr="00B90BBB" w14:paraId="48E2E260" w14:textId="77777777">
        <w:tc>
          <w:tcPr>
            <w:tcW w:w="567" w:type="dxa"/>
          </w:tcPr>
          <w:p w:rsidRPr="00A406E2" w:rsidR="00552EC0" w:rsidP="00552EC0" w:rsidRDefault="00552EC0" w14:paraId="26EE303F" w14:textId="3234A464">
            <w:pPr>
              <w:rPr>
                <w:sz w:val="24"/>
                <w:szCs w:val="24"/>
              </w:rPr>
            </w:pPr>
            <w:r w:rsidRPr="00A406E2">
              <w:rPr>
                <w:sz w:val="24"/>
                <w:szCs w:val="24"/>
              </w:rPr>
              <w:t>9</w:t>
            </w:r>
          </w:p>
        </w:tc>
        <w:tc>
          <w:tcPr>
            <w:tcW w:w="6521" w:type="dxa"/>
          </w:tcPr>
          <w:p w:rsidRPr="00A406E2" w:rsidR="00552EC0" w:rsidP="00552EC0" w:rsidRDefault="00552EC0" w14:paraId="3F49F50A" w14:textId="77777777">
            <w:pPr>
              <w:rPr>
                <w:sz w:val="24"/>
                <w:szCs w:val="24"/>
              </w:rPr>
            </w:pPr>
            <w:r w:rsidRPr="00A406E2">
              <w:rPr>
                <w:sz w:val="24"/>
                <w:szCs w:val="24"/>
              </w:rPr>
              <w:t xml:space="preserve">Kunt u nader toelichten wat de achtergrond is van de intensivering, alsmede de exacte omvang, van de in de Voorjaarsnota genoemde uiteenlopende bedragen voor de intensivering van de Einstein </w:t>
            </w:r>
            <w:proofErr w:type="spellStart"/>
            <w:r w:rsidRPr="00A406E2">
              <w:rPr>
                <w:sz w:val="24"/>
                <w:szCs w:val="24"/>
              </w:rPr>
              <w:t>Telescope</w:t>
            </w:r>
            <w:proofErr w:type="spellEnd"/>
            <w:r w:rsidRPr="00A406E2">
              <w:rPr>
                <w:sz w:val="24"/>
                <w:szCs w:val="24"/>
              </w:rPr>
              <w:t>, variërend van €6 miljoen tot €9 miljoen?</w:t>
            </w:r>
          </w:p>
          <w:p w:rsidRPr="00A406E2" w:rsidR="007E2F58" w:rsidP="00552EC0" w:rsidRDefault="007E2F58" w14:paraId="1ABD9903" w14:textId="3C9AAB65">
            <w:pPr>
              <w:rPr>
                <w:sz w:val="24"/>
                <w:szCs w:val="24"/>
              </w:rPr>
            </w:pPr>
            <w:r w:rsidRPr="00A406E2">
              <w:rPr>
                <w:sz w:val="24"/>
                <w:szCs w:val="24"/>
              </w:rPr>
              <w:t xml:space="preserve">OCW stelt in 2026 maximaal </w:t>
            </w:r>
            <w:r w:rsidRPr="00A406E2" w:rsidR="00692B05">
              <w:rPr>
                <w:sz w:val="24"/>
                <w:szCs w:val="24"/>
              </w:rPr>
              <w:t xml:space="preserve">€ </w:t>
            </w:r>
            <w:r w:rsidRPr="00A406E2">
              <w:rPr>
                <w:sz w:val="24"/>
                <w:szCs w:val="24"/>
              </w:rPr>
              <w:t>6,0 miljoen beschikbaar voor versterking van het ET-EMR projectbureau en aanvullend geologisch en seismisch onderzoek. Daarnaast loopt de eerder – vanuit Nederland, België en Noordrijn-Westfalen - toegekende financiering voor het ET-EMR projectbureau eind 2026 af, terwijl de besluitvorming voor de locatie pas in het derde kwartaal van 2027 voorzien is. OCW stelt daar</w:t>
            </w:r>
            <w:r w:rsidRPr="00A406E2" w:rsidR="00F9178D">
              <w:rPr>
                <w:sz w:val="24"/>
                <w:szCs w:val="24"/>
              </w:rPr>
              <w:t>om</w:t>
            </w:r>
            <w:r w:rsidRPr="00A406E2">
              <w:rPr>
                <w:sz w:val="24"/>
                <w:szCs w:val="24"/>
              </w:rPr>
              <w:t xml:space="preserve"> in 2027 en 2028 een bedrag van </w:t>
            </w:r>
            <w:r w:rsidRPr="00A406E2" w:rsidR="00692B05">
              <w:rPr>
                <w:sz w:val="24"/>
                <w:szCs w:val="24"/>
              </w:rPr>
              <w:t xml:space="preserve">€ </w:t>
            </w:r>
            <w:r w:rsidRPr="00A406E2">
              <w:rPr>
                <w:sz w:val="24"/>
                <w:szCs w:val="24"/>
              </w:rPr>
              <w:t>1,5 miljoen per jaar beschikbaar voor de instandhouding en doorontwikkeling van het projectbureau, in afwachting van het locatiebesluit en de vervolgstappen.</w:t>
            </w:r>
          </w:p>
        </w:tc>
        <w:tc>
          <w:tcPr>
            <w:tcW w:w="850" w:type="dxa"/>
          </w:tcPr>
          <w:p w:rsidRPr="00A406E2" w:rsidR="00552EC0" w:rsidP="00552EC0" w:rsidRDefault="00552EC0" w14:paraId="76A3BD70" w14:textId="145C4BD3">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552EC0" w14:paraId="02A7581E" w14:textId="77777777">
            <w:pPr>
              <w:jc w:val="right"/>
              <w:rPr>
                <w:sz w:val="24"/>
                <w:szCs w:val="24"/>
              </w:rPr>
            </w:pPr>
            <w:r w:rsidRPr="00A406E2">
              <w:rPr>
                <w:sz w:val="24"/>
                <w:szCs w:val="24"/>
              </w:rPr>
              <w:t>4</w:t>
            </w:r>
          </w:p>
        </w:tc>
        <w:tc>
          <w:tcPr>
            <w:tcW w:w="567" w:type="dxa"/>
          </w:tcPr>
          <w:p w:rsidRPr="00A406E2" w:rsidR="00552EC0" w:rsidP="00552EC0" w:rsidRDefault="00552EC0" w14:paraId="68EC3610" w14:textId="77777777">
            <w:pPr>
              <w:jc w:val="right"/>
              <w:rPr>
                <w:sz w:val="24"/>
                <w:szCs w:val="24"/>
              </w:rPr>
            </w:pPr>
            <w:r w:rsidRPr="00A406E2">
              <w:rPr>
                <w:sz w:val="24"/>
                <w:szCs w:val="24"/>
              </w:rPr>
              <w:t xml:space="preserve">5 </w:t>
            </w:r>
          </w:p>
        </w:tc>
      </w:tr>
      <w:tr w:rsidRPr="00A406E2" w:rsidR="00552EC0" w:rsidTr="00B90BBB" w14:paraId="7692E38F" w14:textId="77777777">
        <w:tc>
          <w:tcPr>
            <w:tcW w:w="567" w:type="dxa"/>
          </w:tcPr>
          <w:p w:rsidRPr="00A406E2" w:rsidR="00552EC0" w:rsidP="00552EC0" w:rsidRDefault="00552EC0" w14:paraId="43135032" w14:textId="3A6844C7">
            <w:pPr>
              <w:rPr>
                <w:sz w:val="24"/>
                <w:szCs w:val="24"/>
              </w:rPr>
            </w:pPr>
            <w:r w:rsidRPr="00A406E2">
              <w:rPr>
                <w:sz w:val="24"/>
                <w:szCs w:val="24"/>
              </w:rPr>
              <w:t>10</w:t>
            </w:r>
          </w:p>
        </w:tc>
        <w:tc>
          <w:tcPr>
            <w:tcW w:w="6521" w:type="dxa"/>
          </w:tcPr>
          <w:p w:rsidRPr="00A406E2" w:rsidR="00552EC0" w:rsidP="00552EC0" w:rsidRDefault="00552EC0" w14:paraId="2284AD05" w14:textId="77777777">
            <w:pPr>
              <w:rPr>
                <w:sz w:val="24"/>
                <w:szCs w:val="24"/>
              </w:rPr>
            </w:pPr>
            <w:r w:rsidRPr="00A406E2">
              <w:rPr>
                <w:sz w:val="24"/>
                <w:szCs w:val="24"/>
              </w:rPr>
              <w:t>Kunt u een overzicht geven van alle subsidies waarop, op basis van de subsidietaakstelling, per 2027 wordt bezuinigd, inclusief het desbetreffende bedrag waarop deze subsidie wordt gekort?</w:t>
            </w:r>
          </w:p>
          <w:p w:rsidRPr="00A406E2" w:rsidR="003E634A" w:rsidP="003E634A" w:rsidRDefault="003E634A" w14:paraId="113C108A" w14:textId="7F8B2A3B">
            <w:pPr>
              <w:rPr>
                <w:sz w:val="24"/>
                <w:szCs w:val="24"/>
              </w:rPr>
            </w:pPr>
            <w:r w:rsidRPr="00A406E2">
              <w:rPr>
                <w:sz w:val="24"/>
                <w:szCs w:val="24"/>
              </w:rPr>
              <w:t xml:space="preserve">Hieronder treft u een overzicht van alle subsidies waarop, op basis van de subsidietaakstelling, wordt bezuinigd, inclusief het betreffende bedrag. </w:t>
            </w:r>
          </w:p>
          <w:tbl>
            <w:tblPr>
              <w:tblStyle w:val="Tabelraster"/>
              <w:tblW w:w="6230" w:type="dxa"/>
              <w:tblLook w:val="04A0" w:firstRow="1" w:lastRow="0" w:firstColumn="1" w:lastColumn="0" w:noHBand="0" w:noVBand="1"/>
            </w:tblPr>
            <w:tblGrid>
              <w:gridCol w:w="701"/>
              <w:gridCol w:w="1985"/>
              <w:gridCol w:w="709"/>
              <w:gridCol w:w="708"/>
              <w:gridCol w:w="709"/>
              <w:gridCol w:w="709"/>
              <w:gridCol w:w="709"/>
            </w:tblGrid>
            <w:tr w:rsidRPr="00A406E2" w:rsidR="002A4563" w:rsidTr="009638D7" w14:paraId="538E5FD9" w14:textId="77777777">
              <w:trPr>
                <w:trHeight w:val="180"/>
              </w:trPr>
              <w:tc>
                <w:tcPr>
                  <w:tcW w:w="2686" w:type="dxa"/>
                  <w:gridSpan w:val="2"/>
                  <w:noWrap/>
                  <w:hideMark/>
                </w:tcPr>
                <w:p w:rsidRPr="00A406E2" w:rsidR="002A4563" w:rsidP="002A4563" w:rsidRDefault="002A4563" w14:paraId="75DB2D3C" w14:textId="77777777">
                  <w:pPr>
                    <w:spacing w:before="0" w:after="0"/>
                    <w:rPr>
                      <w:i/>
                      <w:iCs/>
                      <w:color w:val="000000"/>
                      <w:sz w:val="18"/>
                      <w:szCs w:val="18"/>
                    </w:rPr>
                  </w:pPr>
                  <w:r w:rsidRPr="00A406E2">
                    <w:rPr>
                      <w:i/>
                      <w:iCs/>
                      <w:color w:val="000000"/>
                      <w:sz w:val="18"/>
                      <w:szCs w:val="18"/>
                    </w:rPr>
                    <w:t>bedragen x € 1.000</w:t>
                  </w:r>
                </w:p>
              </w:tc>
              <w:tc>
                <w:tcPr>
                  <w:tcW w:w="709" w:type="dxa"/>
                  <w:noWrap/>
                  <w:hideMark/>
                </w:tcPr>
                <w:p w:rsidRPr="00A406E2" w:rsidR="002A4563" w:rsidP="002A4563" w:rsidRDefault="002A4563" w14:paraId="74633D72" w14:textId="77777777">
                  <w:pPr>
                    <w:spacing w:before="0" w:after="0"/>
                    <w:rPr>
                      <w:i/>
                      <w:iCs/>
                      <w:color w:val="000000"/>
                      <w:sz w:val="18"/>
                      <w:szCs w:val="18"/>
                    </w:rPr>
                  </w:pPr>
                </w:p>
              </w:tc>
              <w:tc>
                <w:tcPr>
                  <w:tcW w:w="708" w:type="dxa"/>
                  <w:noWrap/>
                  <w:hideMark/>
                </w:tcPr>
                <w:p w:rsidRPr="00A406E2" w:rsidR="002A4563" w:rsidP="002A4563" w:rsidRDefault="002A4563" w14:paraId="1E3938ED" w14:textId="77777777">
                  <w:pPr>
                    <w:spacing w:before="0" w:after="0"/>
                    <w:rPr>
                      <w:sz w:val="18"/>
                      <w:szCs w:val="18"/>
                    </w:rPr>
                  </w:pPr>
                </w:p>
              </w:tc>
              <w:tc>
                <w:tcPr>
                  <w:tcW w:w="709" w:type="dxa"/>
                  <w:noWrap/>
                  <w:hideMark/>
                </w:tcPr>
                <w:p w:rsidRPr="00A406E2" w:rsidR="002A4563" w:rsidP="002A4563" w:rsidRDefault="002A4563" w14:paraId="14498EFA" w14:textId="77777777">
                  <w:pPr>
                    <w:spacing w:before="0" w:after="0"/>
                    <w:rPr>
                      <w:sz w:val="18"/>
                      <w:szCs w:val="18"/>
                    </w:rPr>
                  </w:pPr>
                </w:p>
              </w:tc>
              <w:tc>
                <w:tcPr>
                  <w:tcW w:w="709" w:type="dxa"/>
                  <w:noWrap/>
                  <w:hideMark/>
                </w:tcPr>
                <w:p w:rsidRPr="00A406E2" w:rsidR="002A4563" w:rsidP="002A4563" w:rsidRDefault="002A4563" w14:paraId="64FECD1B" w14:textId="77777777">
                  <w:pPr>
                    <w:spacing w:before="0" w:after="0"/>
                    <w:rPr>
                      <w:sz w:val="18"/>
                      <w:szCs w:val="18"/>
                    </w:rPr>
                  </w:pPr>
                </w:p>
              </w:tc>
              <w:tc>
                <w:tcPr>
                  <w:tcW w:w="709" w:type="dxa"/>
                  <w:noWrap/>
                  <w:hideMark/>
                </w:tcPr>
                <w:p w:rsidRPr="00A406E2" w:rsidR="002A4563" w:rsidP="002A4563" w:rsidRDefault="002A4563" w14:paraId="1E0F7F2B" w14:textId="77777777">
                  <w:pPr>
                    <w:spacing w:before="0" w:after="0"/>
                    <w:rPr>
                      <w:sz w:val="18"/>
                      <w:szCs w:val="18"/>
                    </w:rPr>
                  </w:pPr>
                </w:p>
              </w:tc>
            </w:tr>
            <w:tr w:rsidRPr="00A406E2" w:rsidR="002A4563" w:rsidTr="009638D7" w14:paraId="4A14C20F" w14:textId="77777777">
              <w:trPr>
                <w:trHeight w:val="180"/>
              </w:trPr>
              <w:tc>
                <w:tcPr>
                  <w:tcW w:w="701" w:type="dxa"/>
                  <w:hideMark/>
                </w:tcPr>
                <w:p w:rsidRPr="00A406E2" w:rsidR="002A4563" w:rsidP="002A4563" w:rsidRDefault="002A4563" w14:paraId="17FFEFC3" w14:textId="77777777">
                  <w:pPr>
                    <w:spacing w:before="0" w:after="0"/>
                    <w:rPr>
                      <w:b/>
                      <w:bCs/>
                      <w:color w:val="000000"/>
                      <w:sz w:val="18"/>
                      <w:szCs w:val="18"/>
                    </w:rPr>
                  </w:pPr>
                  <w:r w:rsidRPr="00A406E2">
                    <w:rPr>
                      <w:b/>
                      <w:bCs/>
                      <w:color w:val="000000"/>
                      <w:sz w:val="18"/>
                      <w:szCs w:val="18"/>
                    </w:rPr>
                    <w:t>Art.</w:t>
                  </w:r>
                </w:p>
              </w:tc>
              <w:tc>
                <w:tcPr>
                  <w:tcW w:w="1985" w:type="dxa"/>
                  <w:hideMark/>
                </w:tcPr>
                <w:p w:rsidRPr="00A406E2" w:rsidR="002A4563" w:rsidP="002A4563" w:rsidRDefault="002A4563" w14:paraId="509DBCD8" w14:textId="77777777">
                  <w:pPr>
                    <w:spacing w:before="0" w:after="0"/>
                    <w:rPr>
                      <w:b/>
                      <w:bCs/>
                      <w:color w:val="000000"/>
                      <w:sz w:val="18"/>
                      <w:szCs w:val="18"/>
                    </w:rPr>
                  </w:pPr>
                  <w:r w:rsidRPr="00A406E2">
                    <w:rPr>
                      <w:b/>
                      <w:bCs/>
                      <w:color w:val="000000"/>
                      <w:sz w:val="18"/>
                      <w:szCs w:val="18"/>
                    </w:rPr>
                    <w:t>Subsidie</w:t>
                  </w:r>
                </w:p>
              </w:tc>
              <w:tc>
                <w:tcPr>
                  <w:tcW w:w="709" w:type="dxa"/>
                  <w:hideMark/>
                </w:tcPr>
                <w:p w:rsidRPr="00A406E2" w:rsidR="002A4563" w:rsidP="002A4563" w:rsidRDefault="002A4563" w14:paraId="4E627C5D" w14:textId="77777777">
                  <w:pPr>
                    <w:spacing w:before="0" w:after="0"/>
                    <w:jc w:val="right"/>
                    <w:rPr>
                      <w:b/>
                      <w:bCs/>
                      <w:color w:val="000000"/>
                      <w:sz w:val="18"/>
                      <w:szCs w:val="18"/>
                    </w:rPr>
                  </w:pPr>
                  <w:r w:rsidRPr="00A406E2">
                    <w:rPr>
                      <w:b/>
                      <w:bCs/>
                      <w:color w:val="000000"/>
                      <w:sz w:val="18"/>
                      <w:szCs w:val="18"/>
                    </w:rPr>
                    <w:t>2027</w:t>
                  </w:r>
                </w:p>
              </w:tc>
              <w:tc>
                <w:tcPr>
                  <w:tcW w:w="708" w:type="dxa"/>
                  <w:hideMark/>
                </w:tcPr>
                <w:p w:rsidRPr="00A406E2" w:rsidR="002A4563" w:rsidP="002A4563" w:rsidRDefault="002A4563" w14:paraId="3349EA15" w14:textId="77777777">
                  <w:pPr>
                    <w:spacing w:before="0" w:after="0"/>
                    <w:jc w:val="right"/>
                    <w:rPr>
                      <w:b/>
                      <w:bCs/>
                      <w:color w:val="000000"/>
                      <w:sz w:val="18"/>
                      <w:szCs w:val="18"/>
                    </w:rPr>
                  </w:pPr>
                  <w:r w:rsidRPr="00A406E2">
                    <w:rPr>
                      <w:b/>
                      <w:bCs/>
                      <w:color w:val="000000"/>
                      <w:sz w:val="18"/>
                      <w:szCs w:val="18"/>
                    </w:rPr>
                    <w:t>2028</w:t>
                  </w:r>
                </w:p>
              </w:tc>
              <w:tc>
                <w:tcPr>
                  <w:tcW w:w="709" w:type="dxa"/>
                  <w:hideMark/>
                </w:tcPr>
                <w:p w:rsidRPr="00A406E2" w:rsidR="002A4563" w:rsidP="002A4563" w:rsidRDefault="002A4563" w14:paraId="35A5E97E" w14:textId="77777777">
                  <w:pPr>
                    <w:spacing w:before="0" w:after="0"/>
                    <w:jc w:val="right"/>
                    <w:rPr>
                      <w:b/>
                      <w:bCs/>
                      <w:color w:val="000000"/>
                      <w:sz w:val="18"/>
                      <w:szCs w:val="18"/>
                    </w:rPr>
                  </w:pPr>
                  <w:r w:rsidRPr="00A406E2">
                    <w:rPr>
                      <w:b/>
                      <w:bCs/>
                      <w:color w:val="000000"/>
                      <w:sz w:val="18"/>
                      <w:szCs w:val="18"/>
                    </w:rPr>
                    <w:t>2029</w:t>
                  </w:r>
                </w:p>
              </w:tc>
              <w:tc>
                <w:tcPr>
                  <w:tcW w:w="709" w:type="dxa"/>
                  <w:hideMark/>
                </w:tcPr>
                <w:p w:rsidRPr="00A406E2" w:rsidR="002A4563" w:rsidP="002A4563" w:rsidRDefault="002A4563" w14:paraId="38FB53A7" w14:textId="77777777">
                  <w:pPr>
                    <w:spacing w:before="0" w:after="0"/>
                    <w:jc w:val="right"/>
                    <w:rPr>
                      <w:b/>
                      <w:bCs/>
                      <w:color w:val="000000"/>
                      <w:sz w:val="18"/>
                      <w:szCs w:val="18"/>
                    </w:rPr>
                  </w:pPr>
                  <w:r w:rsidRPr="00A406E2">
                    <w:rPr>
                      <w:b/>
                      <w:bCs/>
                      <w:color w:val="000000"/>
                      <w:sz w:val="18"/>
                      <w:szCs w:val="18"/>
                    </w:rPr>
                    <w:t>2030</w:t>
                  </w:r>
                </w:p>
              </w:tc>
              <w:tc>
                <w:tcPr>
                  <w:tcW w:w="709" w:type="dxa"/>
                  <w:hideMark/>
                </w:tcPr>
                <w:p w:rsidRPr="00A406E2" w:rsidR="002A4563" w:rsidP="002A4563" w:rsidRDefault="002A4563" w14:paraId="1CC4EF15" w14:textId="77777777">
                  <w:pPr>
                    <w:spacing w:before="0" w:after="0"/>
                    <w:jc w:val="right"/>
                    <w:rPr>
                      <w:b/>
                      <w:bCs/>
                      <w:color w:val="000000"/>
                      <w:sz w:val="18"/>
                      <w:szCs w:val="18"/>
                    </w:rPr>
                  </w:pPr>
                  <w:r w:rsidRPr="00A406E2">
                    <w:rPr>
                      <w:b/>
                      <w:bCs/>
                      <w:color w:val="000000"/>
                      <w:sz w:val="18"/>
                      <w:szCs w:val="18"/>
                    </w:rPr>
                    <w:t>2031</w:t>
                  </w:r>
                </w:p>
              </w:tc>
            </w:tr>
            <w:tr w:rsidRPr="00A406E2" w:rsidR="002A4563" w:rsidTr="009638D7" w14:paraId="72F7CC2B" w14:textId="77777777">
              <w:trPr>
                <w:trHeight w:val="360"/>
              </w:trPr>
              <w:tc>
                <w:tcPr>
                  <w:tcW w:w="701" w:type="dxa"/>
                  <w:hideMark/>
                </w:tcPr>
                <w:p w:rsidRPr="00A406E2" w:rsidR="002A4563" w:rsidP="002A4563" w:rsidRDefault="002A4563" w14:paraId="19659397" w14:textId="77777777">
                  <w:pPr>
                    <w:spacing w:before="0" w:after="0"/>
                    <w:rPr>
                      <w:color w:val="000000"/>
                      <w:sz w:val="18"/>
                      <w:szCs w:val="18"/>
                    </w:rPr>
                  </w:pPr>
                  <w:r w:rsidRPr="00A406E2">
                    <w:rPr>
                      <w:color w:val="000000"/>
                      <w:sz w:val="18"/>
                      <w:szCs w:val="18"/>
                    </w:rPr>
                    <w:t>1</w:t>
                  </w:r>
                </w:p>
              </w:tc>
              <w:tc>
                <w:tcPr>
                  <w:tcW w:w="1985" w:type="dxa"/>
                  <w:hideMark/>
                </w:tcPr>
                <w:p w:rsidRPr="00A406E2" w:rsidR="002A4563" w:rsidP="002A4563" w:rsidRDefault="002A4563" w14:paraId="68DBCF09" w14:textId="77777777">
                  <w:pPr>
                    <w:spacing w:before="0" w:after="0"/>
                    <w:rPr>
                      <w:color w:val="000000"/>
                      <w:sz w:val="18"/>
                      <w:szCs w:val="18"/>
                    </w:rPr>
                  </w:pPr>
                  <w:r w:rsidRPr="00A406E2">
                    <w:rPr>
                      <w:color w:val="000000"/>
                      <w:sz w:val="18"/>
                      <w:szCs w:val="18"/>
                    </w:rPr>
                    <w:t>Nederlands onderwijs buitenland (NOB) i.v.m. verschil tussen budget en aangevraagde instellingssubsidie</w:t>
                  </w:r>
                </w:p>
              </w:tc>
              <w:tc>
                <w:tcPr>
                  <w:tcW w:w="709" w:type="dxa"/>
                  <w:hideMark/>
                </w:tcPr>
                <w:p w:rsidRPr="00A406E2" w:rsidR="002A4563" w:rsidP="002A4563" w:rsidRDefault="002A4563" w14:paraId="53A27B8A" w14:textId="77777777">
                  <w:pPr>
                    <w:spacing w:before="0" w:after="0"/>
                    <w:jc w:val="right"/>
                    <w:rPr>
                      <w:color w:val="000000"/>
                      <w:sz w:val="18"/>
                      <w:szCs w:val="18"/>
                    </w:rPr>
                  </w:pPr>
                  <w:r w:rsidRPr="00A406E2">
                    <w:rPr>
                      <w:color w:val="000000"/>
                      <w:sz w:val="18"/>
                      <w:szCs w:val="18"/>
                    </w:rPr>
                    <w:t>-1.700</w:t>
                  </w:r>
                </w:p>
              </w:tc>
              <w:tc>
                <w:tcPr>
                  <w:tcW w:w="708" w:type="dxa"/>
                  <w:hideMark/>
                </w:tcPr>
                <w:p w:rsidRPr="00A406E2" w:rsidR="002A4563" w:rsidP="002A4563" w:rsidRDefault="002A4563" w14:paraId="1B6A2CDC" w14:textId="77777777">
                  <w:pPr>
                    <w:spacing w:before="0" w:after="0"/>
                    <w:jc w:val="right"/>
                    <w:rPr>
                      <w:color w:val="000000"/>
                      <w:sz w:val="18"/>
                      <w:szCs w:val="18"/>
                    </w:rPr>
                  </w:pPr>
                  <w:r w:rsidRPr="00A406E2">
                    <w:rPr>
                      <w:color w:val="000000"/>
                      <w:sz w:val="18"/>
                      <w:szCs w:val="18"/>
                    </w:rPr>
                    <w:t>-1.700</w:t>
                  </w:r>
                </w:p>
              </w:tc>
              <w:tc>
                <w:tcPr>
                  <w:tcW w:w="709" w:type="dxa"/>
                  <w:hideMark/>
                </w:tcPr>
                <w:p w:rsidRPr="00A406E2" w:rsidR="002A4563" w:rsidP="002A4563" w:rsidRDefault="002A4563" w14:paraId="5347B196" w14:textId="77777777">
                  <w:pPr>
                    <w:spacing w:before="0" w:after="0"/>
                    <w:jc w:val="right"/>
                    <w:rPr>
                      <w:color w:val="000000"/>
                      <w:sz w:val="18"/>
                      <w:szCs w:val="18"/>
                    </w:rPr>
                  </w:pPr>
                  <w:r w:rsidRPr="00A406E2">
                    <w:rPr>
                      <w:color w:val="000000"/>
                      <w:sz w:val="18"/>
                      <w:szCs w:val="18"/>
                    </w:rPr>
                    <w:t>-1.700</w:t>
                  </w:r>
                </w:p>
              </w:tc>
              <w:tc>
                <w:tcPr>
                  <w:tcW w:w="709" w:type="dxa"/>
                  <w:hideMark/>
                </w:tcPr>
                <w:p w:rsidRPr="00A406E2" w:rsidR="002A4563" w:rsidP="002A4563" w:rsidRDefault="002A4563" w14:paraId="0074B424" w14:textId="77777777">
                  <w:pPr>
                    <w:spacing w:before="0" w:after="0"/>
                    <w:jc w:val="right"/>
                    <w:rPr>
                      <w:color w:val="000000"/>
                      <w:sz w:val="18"/>
                      <w:szCs w:val="18"/>
                    </w:rPr>
                  </w:pPr>
                  <w:r w:rsidRPr="00A406E2">
                    <w:rPr>
                      <w:color w:val="000000"/>
                      <w:sz w:val="18"/>
                      <w:szCs w:val="18"/>
                    </w:rPr>
                    <w:t>-1.700</w:t>
                  </w:r>
                </w:p>
              </w:tc>
              <w:tc>
                <w:tcPr>
                  <w:tcW w:w="709" w:type="dxa"/>
                  <w:hideMark/>
                </w:tcPr>
                <w:p w:rsidRPr="00A406E2" w:rsidR="002A4563" w:rsidP="002A4563" w:rsidRDefault="002A4563" w14:paraId="182F8B18" w14:textId="77777777">
                  <w:pPr>
                    <w:spacing w:before="0" w:after="0"/>
                    <w:jc w:val="right"/>
                    <w:rPr>
                      <w:color w:val="000000"/>
                      <w:sz w:val="18"/>
                      <w:szCs w:val="18"/>
                    </w:rPr>
                  </w:pPr>
                  <w:r w:rsidRPr="00A406E2">
                    <w:rPr>
                      <w:color w:val="000000"/>
                      <w:sz w:val="18"/>
                      <w:szCs w:val="18"/>
                    </w:rPr>
                    <w:t>-1.700</w:t>
                  </w:r>
                </w:p>
              </w:tc>
            </w:tr>
            <w:tr w:rsidRPr="00A406E2" w:rsidR="002A4563" w:rsidTr="009638D7" w14:paraId="38F59A0A" w14:textId="77777777">
              <w:trPr>
                <w:trHeight w:val="180"/>
              </w:trPr>
              <w:tc>
                <w:tcPr>
                  <w:tcW w:w="701" w:type="dxa"/>
                  <w:hideMark/>
                </w:tcPr>
                <w:p w:rsidRPr="00A406E2" w:rsidR="002A4563" w:rsidP="002A4563" w:rsidRDefault="002A4563" w14:paraId="276078A8" w14:textId="77777777">
                  <w:pPr>
                    <w:spacing w:before="0" w:after="0"/>
                    <w:rPr>
                      <w:color w:val="000000"/>
                      <w:sz w:val="18"/>
                      <w:szCs w:val="18"/>
                    </w:rPr>
                  </w:pPr>
                  <w:r w:rsidRPr="00A406E2">
                    <w:rPr>
                      <w:color w:val="000000"/>
                      <w:sz w:val="18"/>
                      <w:szCs w:val="18"/>
                    </w:rPr>
                    <w:t>1</w:t>
                  </w:r>
                </w:p>
              </w:tc>
              <w:tc>
                <w:tcPr>
                  <w:tcW w:w="1985" w:type="dxa"/>
                  <w:hideMark/>
                </w:tcPr>
                <w:p w:rsidRPr="00A406E2" w:rsidR="002A4563" w:rsidP="002A4563" w:rsidRDefault="002A4563" w14:paraId="3B019DF9" w14:textId="77777777">
                  <w:pPr>
                    <w:spacing w:before="0" w:after="0"/>
                    <w:rPr>
                      <w:color w:val="000000"/>
                      <w:sz w:val="18"/>
                      <w:szCs w:val="18"/>
                    </w:rPr>
                  </w:pPr>
                  <w:proofErr w:type="spellStart"/>
                  <w:r w:rsidRPr="00A406E2">
                    <w:rPr>
                      <w:color w:val="000000"/>
                      <w:sz w:val="18"/>
                      <w:szCs w:val="18"/>
                    </w:rPr>
                    <w:t>Meerurenmaatwerk</w:t>
                  </w:r>
                  <w:proofErr w:type="spellEnd"/>
                  <w:r w:rsidRPr="00A406E2">
                    <w:rPr>
                      <w:color w:val="000000"/>
                      <w:sz w:val="18"/>
                      <w:szCs w:val="18"/>
                    </w:rPr>
                    <w:t xml:space="preserve"> omdat er minder aanvragen zijn ingediend dan waar budget voor beschikbaar was</w:t>
                  </w:r>
                </w:p>
              </w:tc>
              <w:tc>
                <w:tcPr>
                  <w:tcW w:w="709" w:type="dxa"/>
                  <w:hideMark/>
                </w:tcPr>
                <w:p w:rsidRPr="00A406E2" w:rsidR="002A4563" w:rsidP="002A4563" w:rsidRDefault="002A4563" w14:paraId="4816243C" w14:textId="77777777">
                  <w:pPr>
                    <w:spacing w:before="0" w:after="0"/>
                    <w:jc w:val="right"/>
                    <w:rPr>
                      <w:color w:val="000000"/>
                      <w:sz w:val="18"/>
                      <w:szCs w:val="18"/>
                    </w:rPr>
                  </w:pPr>
                  <w:r w:rsidRPr="00A406E2">
                    <w:rPr>
                      <w:color w:val="000000"/>
                      <w:sz w:val="18"/>
                      <w:szCs w:val="18"/>
                    </w:rPr>
                    <w:t>-2.400</w:t>
                  </w:r>
                </w:p>
              </w:tc>
              <w:tc>
                <w:tcPr>
                  <w:tcW w:w="708" w:type="dxa"/>
                  <w:hideMark/>
                </w:tcPr>
                <w:p w:rsidRPr="00A406E2" w:rsidR="002A4563" w:rsidP="002A4563" w:rsidRDefault="002A4563" w14:paraId="1478F647" w14:textId="77777777">
                  <w:pPr>
                    <w:spacing w:before="0" w:after="0"/>
                    <w:jc w:val="right"/>
                    <w:rPr>
                      <w:color w:val="000000"/>
                      <w:sz w:val="18"/>
                      <w:szCs w:val="18"/>
                    </w:rPr>
                  </w:pPr>
                  <w:r w:rsidRPr="00A406E2">
                    <w:rPr>
                      <w:color w:val="000000"/>
                      <w:sz w:val="18"/>
                      <w:szCs w:val="18"/>
                    </w:rPr>
                    <w:t>-1.900</w:t>
                  </w:r>
                </w:p>
              </w:tc>
              <w:tc>
                <w:tcPr>
                  <w:tcW w:w="709" w:type="dxa"/>
                  <w:hideMark/>
                </w:tcPr>
                <w:p w:rsidRPr="00A406E2" w:rsidR="002A4563" w:rsidP="002A4563" w:rsidRDefault="002A4563" w14:paraId="7F8CCB85" w14:textId="77777777">
                  <w:pPr>
                    <w:spacing w:before="0" w:after="0"/>
                    <w:jc w:val="right"/>
                    <w:rPr>
                      <w:color w:val="000000"/>
                      <w:sz w:val="18"/>
                      <w:szCs w:val="18"/>
                    </w:rPr>
                  </w:pPr>
                  <w:r w:rsidRPr="00A406E2">
                    <w:rPr>
                      <w:color w:val="000000"/>
                      <w:sz w:val="18"/>
                      <w:szCs w:val="18"/>
                    </w:rPr>
                    <w:t>0</w:t>
                  </w:r>
                </w:p>
              </w:tc>
              <w:tc>
                <w:tcPr>
                  <w:tcW w:w="709" w:type="dxa"/>
                  <w:hideMark/>
                </w:tcPr>
                <w:p w:rsidRPr="00A406E2" w:rsidR="002A4563" w:rsidP="002A4563" w:rsidRDefault="002A4563" w14:paraId="5768A354" w14:textId="77777777">
                  <w:pPr>
                    <w:spacing w:before="0" w:after="0"/>
                    <w:jc w:val="right"/>
                    <w:rPr>
                      <w:color w:val="000000"/>
                      <w:sz w:val="18"/>
                      <w:szCs w:val="18"/>
                    </w:rPr>
                  </w:pPr>
                  <w:r w:rsidRPr="00A406E2">
                    <w:rPr>
                      <w:color w:val="000000"/>
                      <w:sz w:val="18"/>
                      <w:szCs w:val="18"/>
                    </w:rPr>
                    <w:t>0</w:t>
                  </w:r>
                </w:p>
              </w:tc>
              <w:tc>
                <w:tcPr>
                  <w:tcW w:w="709" w:type="dxa"/>
                  <w:hideMark/>
                </w:tcPr>
                <w:p w:rsidRPr="00A406E2" w:rsidR="002A4563" w:rsidP="002A4563" w:rsidRDefault="002A4563" w14:paraId="644EAAA6" w14:textId="77777777">
                  <w:pPr>
                    <w:spacing w:before="0" w:after="0"/>
                    <w:jc w:val="right"/>
                    <w:rPr>
                      <w:color w:val="000000"/>
                      <w:sz w:val="18"/>
                      <w:szCs w:val="18"/>
                    </w:rPr>
                  </w:pPr>
                  <w:r w:rsidRPr="00A406E2">
                    <w:rPr>
                      <w:color w:val="000000"/>
                      <w:sz w:val="18"/>
                      <w:szCs w:val="18"/>
                    </w:rPr>
                    <w:t>0</w:t>
                  </w:r>
                </w:p>
              </w:tc>
            </w:tr>
            <w:tr w:rsidRPr="00A406E2" w:rsidR="002A4563" w:rsidTr="009638D7" w14:paraId="0472992E" w14:textId="77777777">
              <w:trPr>
                <w:trHeight w:val="180"/>
              </w:trPr>
              <w:tc>
                <w:tcPr>
                  <w:tcW w:w="701" w:type="dxa"/>
                  <w:hideMark/>
                </w:tcPr>
                <w:p w:rsidRPr="00A406E2" w:rsidR="002A4563" w:rsidP="002A4563" w:rsidRDefault="002A4563" w14:paraId="41235583" w14:textId="77777777">
                  <w:pPr>
                    <w:spacing w:before="0" w:after="0"/>
                    <w:rPr>
                      <w:color w:val="000000"/>
                      <w:sz w:val="18"/>
                      <w:szCs w:val="18"/>
                    </w:rPr>
                  </w:pPr>
                  <w:r w:rsidRPr="00A406E2">
                    <w:rPr>
                      <w:color w:val="000000"/>
                      <w:sz w:val="18"/>
                      <w:szCs w:val="18"/>
                    </w:rPr>
                    <w:t>4</w:t>
                  </w:r>
                </w:p>
              </w:tc>
              <w:tc>
                <w:tcPr>
                  <w:tcW w:w="1985" w:type="dxa"/>
                  <w:hideMark/>
                </w:tcPr>
                <w:p w:rsidRPr="00A406E2" w:rsidR="002A4563" w:rsidP="002A4563" w:rsidRDefault="002A4563" w14:paraId="0394614E" w14:textId="77777777">
                  <w:pPr>
                    <w:spacing w:before="0" w:after="0"/>
                    <w:rPr>
                      <w:color w:val="000000"/>
                      <w:sz w:val="18"/>
                      <w:szCs w:val="18"/>
                    </w:rPr>
                  </w:pPr>
                  <w:r w:rsidRPr="00A406E2">
                    <w:rPr>
                      <w:color w:val="000000"/>
                      <w:sz w:val="18"/>
                      <w:szCs w:val="18"/>
                    </w:rPr>
                    <w:t>Loopbaanoriëntatie</w:t>
                  </w:r>
                </w:p>
              </w:tc>
              <w:tc>
                <w:tcPr>
                  <w:tcW w:w="709" w:type="dxa"/>
                  <w:hideMark/>
                </w:tcPr>
                <w:p w:rsidRPr="00A406E2" w:rsidR="002A4563" w:rsidP="002A4563" w:rsidRDefault="002A4563" w14:paraId="6E659139" w14:textId="77777777">
                  <w:pPr>
                    <w:spacing w:before="0" w:after="0"/>
                    <w:jc w:val="right"/>
                    <w:rPr>
                      <w:color w:val="000000"/>
                      <w:sz w:val="18"/>
                      <w:szCs w:val="18"/>
                    </w:rPr>
                  </w:pPr>
                  <w:r w:rsidRPr="00A406E2">
                    <w:rPr>
                      <w:color w:val="000000"/>
                      <w:sz w:val="18"/>
                      <w:szCs w:val="18"/>
                    </w:rPr>
                    <w:t>-717</w:t>
                  </w:r>
                </w:p>
              </w:tc>
              <w:tc>
                <w:tcPr>
                  <w:tcW w:w="708" w:type="dxa"/>
                  <w:hideMark/>
                </w:tcPr>
                <w:p w:rsidRPr="00A406E2" w:rsidR="002A4563" w:rsidP="002A4563" w:rsidRDefault="002A4563" w14:paraId="49813822" w14:textId="77777777">
                  <w:pPr>
                    <w:spacing w:before="0" w:after="0"/>
                    <w:jc w:val="right"/>
                    <w:rPr>
                      <w:color w:val="000000"/>
                      <w:sz w:val="18"/>
                      <w:szCs w:val="18"/>
                    </w:rPr>
                  </w:pPr>
                  <w:r w:rsidRPr="00A406E2">
                    <w:rPr>
                      <w:color w:val="000000"/>
                      <w:sz w:val="18"/>
                      <w:szCs w:val="18"/>
                    </w:rPr>
                    <w:t>0</w:t>
                  </w:r>
                </w:p>
              </w:tc>
              <w:tc>
                <w:tcPr>
                  <w:tcW w:w="709" w:type="dxa"/>
                  <w:hideMark/>
                </w:tcPr>
                <w:p w:rsidRPr="00A406E2" w:rsidR="002A4563" w:rsidP="002A4563" w:rsidRDefault="002A4563" w14:paraId="7D535713" w14:textId="77777777">
                  <w:pPr>
                    <w:spacing w:before="0" w:after="0"/>
                    <w:jc w:val="right"/>
                    <w:rPr>
                      <w:color w:val="000000"/>
                      <w:sz w:val="18"/>
                      <w:szCs w:val="18"/>
                    </w:rPr>
                  </w:pPr>
                  <w:r w:rsidRPr="00A406E2">
                    <w:rPr>
                      <w:color w:val="000000"/>
                      <w:sz w:val="18"/>
                      <w:szCs w:val="18"/>
                    </w:rPr>
                    <w:t>0</w:t>
                  </w:r>
                </w:p>
              </w:tc>
              <w:tc>
                <w:tcPr>
                  <w:tcW w:w="709" w:type="dxa"/>
                  <w:hideMark/>
                </w:tcPr>
                <w:p w:rsidRPr="00A406E2" w:rsidR="002A4563" w:rsidP="002A4563" w:rsidRDefault="002A4563" w14:paraId="0140753C" w14:textId="77777777">
                  <w:pPr>
                    <w:spacing w:before="0" w:after="0"/>
                    <w:jc w:val="right"/>
                    <w:rPr>
                      <w:color w:val="000000"/>
                      <w:sz w:val="18"/>
                      <w:szCs w:val="18"/>
                    </w:rPr>
                  </w:pPr>
                  <w:r w:rsidRPr="00A406E2">
                    <w:rPr>
                      <w:color w:val="000000"/>
                      <w:sz w:val="18"/>
                      <w:szCs w:val="18"/>
                    </w:rPr>
                    <w:t>0</w:t>
                  </w:r>
                </w:p>
              </w:tc>
              <w:tc>
                <w:tcPr>
                  <w:tcW w:w="709" w:type="dxa"/>
                  <w:hideMark/>
                </w:tcPr>
                <w:p w:rsidRPr="00A406E2" w:rsidR="002A4563" w:rsidP="002A4563" w:rsidRDefault="002A4563" w14:paraId="20DE1FB1" w14:textId="77777777">
                  <w:pPr>
                    <w:spacing w:before="0" w:after="0"/>
                    <w:jc w:val="right"/>
                    <w:rPr>
                      <w:color w:val="000000"/>
                      <w:sz w:val="18"/>
                      <w:szCs w:val="18"/>
                    </w:rPr>
                  </w:pPr>
                  <w:r w:rsidRPr="00A406E2">
                    <w:rPr>
                      <w:color w:val="000000"/>
                      <w:sz w:val="18"/>
                      <w:szCs w:val="18"/>
                    </w:rPr>
                    <w:t>0</w:t>
                  </w:r>
                </w:p>
              </w:tc>
            </w:tr>
            <w:tr w:rsidRPr="00A406E2" w:rsidR="002A4563" w:rsidTr="009638D7" w14:paraId="7E753568" w14:textId="77777777">
              <w:trPr>
                <w:trHeight w:val="180"/>
              </w:trPr>
              <w:tc>
                <w:tcPr>
                  <w:tcW w:w="701" w:type="dxa"/>
                  <w:hideMark/>
                </w:tcPr>
                <w:p w:rsidRPr="00A406E2" w:rsidR="002A4563" w:rsidP="002A4563" w:rsidRDefault="002A4563" w14:paraId="3B6B2A74" w14:textId="77777777">
                  <w:pPr>
                    <w:spacing w:before="0" w:after="0"/>
                    <w:rPr>
                      <w:color w:val="000000"/>
                      <w:sz w:val="18"/>
                      <w:szCs w:val="18"/>
                    </w:rPr>
                  </w:pPr>
                  <w:r w:rsidRPr="00A406E2">
                    <w:rPr>
                      <w:color w:val="000000"/>
                      <w:sz w:val="18"/>
                      <w:szCs w:val="18"/>
                    </w:rPr>
                    <w:t>1,4,6</w:t>
                  </w:r>
                </w:p>
              </w:tc>
              <w:tc>
                <w:tcPr>
                  <w:tcW w:w="1985" w:type="dxa"/>
                  <w:hideMark/>
                </w:tcPr>
                <w:p w:rsidRPr="00A406E2" w:rsidR="002A4563" w:rsidP="002A4563" w:rsidRDefault="002A4563" w14:paraId="194870D5" w14:textId="77777777">
                  <w:pPr>
                    <w:spacing w:before="0" w:after="0"/>
                    <w:rPr>
                      <w:color w:val="000000"/>
                      <w:sz w:val="18"/>
                      <w:szCs w:val="18"/>
                    </w:rPr>
                  </w:pPr>
                  <w:r w:rsidRPr="00A406E2">
                    <w:rPr>
                      <w:color w:val="000000"/>
                      <w:sz w:val="18"/>
                      <w:szCs w:val="18"/>
                    </w:rPr>
                    <w:t>Doorstroom Beroepskolom</w:t>
                  </w:r>
                </w:p>
              </w:tc>
              <w:tc>
                <w:tcPr>
                  <w:tcW w:w="709" w:type="dxa"/>
                  <w:hideMark/>
                </w:tcPr>
                <w:p w:rsidRPr="00A406E2" w:rsidR="002A4563" w:rsidP="002A4563" w:rsidRDefault="002A4563" w14:paraId="0B1D5E85" w14:textId="77777777">
                  <w:pPr>
                    <w:spacing w:before="0" w:after="0"/>
                    <w:jc w:val="right"/>
                    <w:rPr>
                      <w:color w:val="000000"/>
                      <w:sz w:val="18"/>
                      <w:szCs w:val="18"/>
                    </w:rPr>
                  </w:pPr>
                  <w:r w:rsidRPr="00A406E2">
                    <w:rPr>
                      <w:color w:val="000000"/>
                      <w:sz w:val="18"/>
                      <w:szCs w:val="18"/>
                    </w:rPr>
                    <w:t>-5.133</w:t>
                  </w:r>
                </w:p>
              </w:tc>
              <w:tc>
                <w:tcPr>
                  <w:tcW w:w="708" w:type="dxa"/>
                  <w:hideMark/>
                </w:tcPr>
                <w:p w:rsidRPr="00A406E2" w:rsidR="002A4563" w:rsidP="002A4563" w:rsidRDefault="002A4563" w14:paraId="00BFBE35" w14:textId="77777777">
                  <w:pPr>
                    <w:spacing w:before="0" w:after="0"/>
                    <w:jc w:val="right"/>
                    <w:rPr>
                      <w:color w:val="000000"/>
                      <w:sz w:val="18"/>
                      <w:szCs w:val="18"/>
                    </w:rPr>
                  </w:pPr>
                  <w:r w:rsidRPr="00A406E2">
                    <w:rPr>
                      <w:color w:val="000000"/>
                      <w:sz w:val="18"/>
                      <w:szCs w:val="18"/>
                    </w:rPr>
                    <w:t>-4.328</w:t>
                  </w:r>
                </w:p>
              </w:tc>
              <w:tc>
                <w:tcPr>
                  <w:tcW w:w="709" w:type="dxa"/>
                  <w:hideMark/>
                </w:tcPr>
                <w:p w:rsidRPr="00A406E2" w:rsidR="002A4563" w:rsidP="002A4563" w:rsidRDefault="002A4563" w14:paraId="56F098F8" w14:textId="77777777">
                  <w:pPr>
                    <w:spacing w:before="0" w:after="0"/>
                    <w:jc w:val="right"/>
                    <w:rPr>
                      <w:color w:val="000000"/>
                      <w:sz w:val="18"/>
                      <w:szCs w:val="18"/>
                    </w:rPr>
                  </w:pPr>
                  <w:r w:rsidRPr="00A406E2">
                    <w:rPr>
                      <w:color w:val="000000"/>
                      <w:sz w:val="18"/>
                      <w:szCs w:val="18"/>
                    </w:rPr>
                    <w:t>-4.328</w:t>
                  </w:r>
                </w:p>
              </w:tc>
              <w:tc>
                <w:tcPr>
                  <w:tcW w:w="709" w:type="dxa"/>
                  <w:hideMark/>
                </w:tcPr>
                <w:p w:rsidRPr="00A406E2" w:rsidR="002A4563" w:rsidP="002A4563" w:rsidRDefault="002A4563" w14:paraId="67295841" w14:textId="77777777">
                  <w:pPr>
                    <w:spacing w:before="0" w:after="0"/>
                    <w:jc w:val="right"/>
                    <w:rPr>
                      <w:color w:val="000000"/>
                      <w:sz w:val="18"/>
                      <w:szCs w:val="18"/>
                    </w:rPr>
                  </w:pPr>
                  <w:r w:rsidRPr="00A406E2">
                    <w:rPr>
                      <w:color w:val="000000"/>
                      <w:sz w:val="18"/>
                      <w:szCs w:val="18"/>
                    </w:rPr>
                    <w:t>-4.828</w:t>
                  </w:r>
                </w:p>
              </w:tc>
              <w:tc>
                <w:tcPr>
                  <w:tcW w:w="709" w:type="dxa"/>
                  <w:hideMark/>
                </w:tcPr>
                <w:p w:rsidRPr="00A406E2" w:rsidR="002A4563" w:rsidP="002A4563" w:rsidRDefault="002A4563" w14:paraId="382BAC13" w14:textId="77777777">
                  <w:pPr>
                    <w:spacing w:before="0" w:after="0"/>
                    <w:jc w:val="right"/>
                    <w:rPr>
                      <w:color w:val="000000"/>
                      <w:sz w:val="18"/>
                      <w:szCs w:val="18"/>
                    </w:rPr>
                  </w:pPr>
                  <w:r w:rsidRPr="00A406E2">
                    <w:rPr>
                      <w:color w:val="000000"/>
                      <w:sz w:val="18"/>
                      <w:szCs w:val="18"/>
                    </w:rPr>
                    <w:t>-3.828</w:t>
                  </w:r>
                </w:p>
              </w:tc>
            </w:tr>
            <w:tr w:rsidRPr="00A406E2" w:rsidR="002A4563" w:rsidTr="009638D7" w14:paraId="599B0163" w14:textId="77777777">
              <w:trPr>
                <w:trHeight w:val="180"/>
              </w:trPr>
              <w:tc>
                <w:tcPr>
                  <w:tcW w:w="701" w:type="dxa"/>
                  <w:hideMark/>
                </w:tcPr>
                <w:p w:rsidRPr="00A406E2" w:rsidR="002A4563" w:rsidP="002A4563" w:rsidRDefault="002A4563" w14:paraId="718ED52F" w14:textId="77777777">
                  <w:pPr>
                    <w:spacing w:before="0" w:after="0"/>
                    <w:rPr>
                      <w:color w:val="000000"/>
                      <w:sz w:val="18"/>
                      <w:szCs w:val="18"/>
                    </w:rPr>
                  </w:pPr>
                  <w:r w:rsidRPr="00A406E2">
                    <w:rPr>
                      <w:color w:val="000000"/>
                      <w:sz w:val="18"/>
                      <w:szCs w:val="18"/>
                    </w:rPr>
                    <w:t>9</w:t>
                  </w:r>
                </w:p>
              </w:tc>
              <w:tc>
                <w:tcPr>
                  <w:tcW w:w="1985" w:type="dxa"/>
                  <w:hideMark/>
                </w:tcPr>
                <w:p w:rsidRPr="00A406E2" w:rsidR="002A4563" w:rsidP="002A4563" w:rsidRDefault="002A4563" w14:paraId="0F955667" w14:textId="77777777">
                  <w:pPr>
                    <w:spacing w:before="0" w:after="0"/>
                    <w:rPr>
                      <w:color w:val="000000"/>
                      <w:sz w:val="18"/>
                      <w:szCs w:val="18"/>
                    </w:rPr>
                  </w:pPr>
                  <w:r w:rsidRPr="00A406E2">
                    <w:rPr>
                      <w:color w:val="000000"/>
                      <w:sz w:val="18"/>
                      <w:szCs w:val="18"/>
                    </w:rPr>
                    <w:t>Lerarenbeurs i.v.m. een verschil tussen verwachte aantal aanvragen en subsidiebudget</w:t>
                  </w:r>
                </w:p>
              </w:tc>
              <w:tc>
                <w:tcPr>
                  <w:tcW w:w="709" w:type="dxa"/>
                  <w:hideMark/>
                </w:tcPr>
                <w:p w:rsidRPr="00A406E2" w:rsidR="002A4563" w:rsidP="002A4563" w:rsidRDefault="002A4563" w14:paraId="6F20574D" w14:textId="77777777">
                  <w:pPr>
                    <w:spacing w:before="0" w:after="0"/>
                    <w:jc w:val="right"/>
                    <w:rPr>
                      <w:color w:val="000000"/>
                      <w:sz w:val="18"/>
                      <w:szCs w:val="18"/>
                    </w:rPr>
                  </w:pPr>
                  <w:r w:rsidRPr="00A406E2">
                    <w:rPr>
                      <w:color w:val="000000"/>
                      <w:sz w:val="18"/>
                      <w:szCs w:val="18"/>
                    </w:rPr>
                    <w:t>0</w:t>
                  </w:r>
                </w:p>
              </w:tc>
              <w:tc>
                <w:tcPr>
                  <w:tcW w:w="708" w:type="dxa"/>
                  <w:hideMark/>
                </w:tcPr>
                <w:p w:rsidRPr="00A406E2" w:rsidR="002A4563" w:rsidP="002A4563" w:rsidRDefault="002A4563" w14:paraId="46C2136B" w14:textId="77777777">
                  <w:pPr>
                    <w:spacing w:before="0" w:after="0"/>
                    <w:jc w:val="right"/>
                    <w:rPr>
                      <w:color w:val="000000"/>
                      <w:sz w:val="18"/>
                      <w:szCs w:val="18"/>
                    </w:rPr>
                  </w:pPr>
                  <w:r w:rsidRPr="00A406E2">
                    <w:rPr>
                      <w:color w:val="000000"/>
                      <w:sz w:val="18"/>
                      <w:szCs w:val="18"/>
                    </w:rPr>
                    <w:t>-2.000</w:t>
                  </w:r>
                </w:p>
              </w:tc>
              <w:tc>
                <w:tcPr>
                  <w:tcW w:w="709" w:type="dxa"/>
                  <w:hideMark/>
                </w:tcPr>
                <w:p w:rsidRPr="00A406E2" w:rsidR="002A4563" w:rsidP="002A4563" w:rsidRDefault="002A4563" w14:paraId="1E6FBFD2" w14:textId="77777777">
                  <w:pPr>
                    <w:spacing w:before="0" w:after="0"/>
                    <w:jc w:val="right"/>
                    <w:rPr>
                      <w:color w:val="000000"/>
                      <w:sz w:val="18"/>
                      <w:szCs w:val="18"/>
                    </w:rPr>
                  </w:pPr>
                  <w:r w:rsidRPr="00A406E2">
                    <w:rPr>
                      <w:color w:val="000000"/>
                      <w:sz w:val="18"/>
                      <w:szCs w:val="18"/>
                    </w:rPr>
                    <w:t>-2.000</w:t>
                  </w:r>
                </w:p>
              </w:tc>
              <w:tc>
                <w:tcPr>
                  <w:tcW w:w="709" w:type="dxa"/>
                  <w:hideMark/>
                </w:tcPr>
                <w:p w:rsidRPr="00A406E2" w:rsidR="002A4563" w:rsidP="002A4563" w:rsidRDefault="002A4563" w14:paraId="401EADDC" w14:textId="77777777">
                  <w:pPr>
                    <w:spacing w:before="0" w:after="0"/>
                    <w:jc w:val="right"/>
                    <w:rPr>
                      <w:color w:val="000000"/>
                      <w:sz w:val="18"/>
                      <w:szCs w:val="18"/>
                    </w:rPr>
                  </w:pPr>
                  <w:r w:rsidRPr="00A406E2">
                    <w:rPr>
                      <w:color w:val="000000"/>
                      <w:sz w:val="18"/>
                      <w:szCs w:val="18"/>
                    </w:rPr>
                    <w:t>-2.000</w:t>
                  </w:r>
                </w:p>
              </w:tc>
              <w:tc>
                <w:tcPr>
                  <w:tcW w:w="709" w:type="dxa"/>
                  <w:hideMark/>
                </w:tcPr>
                <w:p w:rsidRPr="00A406E2" w:rsidR="002A4563" w:rsidP="002A4563" w:rsidRDefault="002A4563" w14:paraId="7400B134" w14:textId="77777777">
                  <w:pPr>
                    <w:spacing w:before="0" w:after="0"/>
                    <w:jc w:val="right"/>
                    <w:rPr>
                      <w:color w:val="000000"/>
                      <w:sz w:val="18"/>
                      <w:szCs w:val="18"/>
                    </w:rPr>
                  </w:pPr>
                  <w:r w:rsidRPr="00A406E2">
                    <w:rPr>
                      <w:color w:val="000000"/>
                      <w:sz w:val="18"/>
                      <w:szCs w:val="18"/>
                    </w:rPr>
                    <w:t>-2.000</w:t>
                  </w:r>
                </w:p>
              </w:tc>
            </w:tr>
            <w:tr w:rsidRPr="00A406E2" w:rsidR="002A4563" w:rsidTr="009638D7" w14:paraId="1752EE85" w14:textId="77777777">
              <w:trPr>
                <w:trHeight w:val="180"/>
              </w:trPr>
              <w:tc>
                <w:tcPr>
                  <w:tcW w:w="701" w:type="dxa"/>
                  <w:hideMark/>
                </w:tcPr>
                <w:p w:rsidRPr="00A406E2" w:rsidR="002A4563" w:rsidP="002A4563" w:rsidRDefault="002A4563" w14:paraId="2A912994" w14:textId="77777777">
                  <w:pPr>
                    <w:spacing w:before="0" w:after="0"/>
                    <w:rPr>
                      <w:color w:val="000000"/>
                      <w:sz w:val="18"/>
                      <w:szCs w:val="18"/>
                    </w:rPr>
                  </w:pPr>
                  <w:r w:rsidRPr="00A406E2">
                    <w:rPr>
                      <w:color w:val="000000"/>
                      <w:sz w:val="18"/>
                      <w:szCs w:val="18"/>
                    </w:rPr>
                    <w:lastRenderedPageBreak/>
                    <w:t>15</w:t>
                  </w:r>
                </w:p>
              </w:tc>
              <w:tc>
                <w:tcPr>
                  <w:tcW w:w="1985" w:type="dxa"/>
                  <w:hideMark/>
                </w:tcPr>
                <w:p w:rsidRPr="00A406E2" w:rsidR="002A4563" w:rsidP="002A4563" w:rsidRDefault="002A4563" w14:paraId="1DF4DAD9" w14:textId="77777777">
                  <w:pPr>
                    <w:spacing w:before="0" w:after="0"/>
                    <w:rPr>
                      <w:color w:val="000000"/>
                      <w:sz w:val="18"/>
                      <w:szCs w:val="18"/>
                    </w:rPr>
                  </w:pPr>
                  <w:r w:rsidRPr="00A406E2">
                    <w:rPr>
                      <w:color w:val="000000"/>
                      <w:sz w:val="18"/>
                      <w:szCs w:val="18"/>
                    </w:rPr>
                    <w:t>Onderzoeksjournalistiek</w:t>
                  </w:r>
                </w:p>
              </w:tc>
              <w:tc>
                <w:tcPr>
                  <w:tcW w:w="709" w:type="dxa"/>
                  <w:hideMark/>
                </w:tcPr>
                <w:p w:rsidRPr="00A406E2" w:rsidR="002A4563" w:rsidP="002A4563" w:rsidRDefault="002A4563" w14:paraId="557C86A1" w14:textId="77777777">
                  <w:pPr>
                    <w:spacing w:before="0" w:after="0"/>
                    <w:jc w:val="right"/>
                    <w:rPr>
                      <w:color w:val="000000"/>
                      <w:sz w:val="18"/>
                      <w:szCs w:val="18"/>
                    </w:rPr>
                  </w:pPr>
                  <w:r w:rsidRPr="00A406E2">
                    <w:rPr>
                      <w:color w:val="000000"/>
                      <w:sz w:val="18"/>
                      <w:szCs w:val="18"/>
                    </w:rPr>
                    <w:t>-223</w:t>
                  </w:r>
                </w:p>
              </w:tc>
              <w:tc>
                <w:tcPr>
                  <w:tcW w:w="708" w:type="dxa"/>
                  <w:hideMark/>
                </w:tcPr>
                <w:p w:rsidRPr="00A406E2" w:rsidR="002A4563" w:rsidP="002A4563" w:rsidRDefault="002A4563" w14:paraId="2545B97D" w14:textId="77777777">
                  <w:pPr>
                    <w:spacing w:before="0" w:after="0"/>
                    <w:jc w:val="right"/>
                    <w:rPr>
                      <w:color w:val="000000"/>
                      <w:sz w:val="18"/>
                      <w:szCs w:val="18"/>
                    </w:rPr>
                  </w:pPr>
                  <w:r w:rsidRPr="00A406E2">
                    <w:rPr>
                      <w:color w:val="000000"/>
                      <w:sz w:val="18"/>
                      <w:szCs w:val="18"/>
                    </w:rPr>
                    <w:t>-223</w:t>
                  </w:r>
                </w:p>
              </w:tc>
              <w:tc>
                <w:tcPr>
                  <w:tcW w:w="709" w:type="dxa"/>
                  <w:hideMark/>
                </w:tcPr>
                <w:p w:rsidRPr="00A406E2" w:rsidR="002A4563" w:rsidP="002A4563" w:rsidRDefault="002A4563" w14:paraId="7EE9B291" w14:textId="77777777">
                  <w:pPr>
                    <w:spacing w:before="0" w:after="0"/>
                    <w:jc w:val="right"/>
                    <w:rPr>
                      <w:color w:val="000000"/>
                      <w:sz w:val="18"/>
                      <w:szCs w:val="18"/>
                    </w:rPr>
                  </w:pPr>
                  <w:r w:rsidRPr="00A406E2">
                    <w:rPr>
                      <w:color w:val="000000"/>
                      <w:sz w:val="18"/>
                      <w:szCs w:val="18"/>
                    </w:rPr>
                    <w:t>-223</w:t>
                  </w:r>
                </w:p>
              </w:tc>
              <w:tc>
                <w:tcPr>
                  <w:tcW w:w="709" w:type="dxa"/>
                  <w:hideMark/>
                </w:tcPr>
                <w:p w:rsidRPr="00A406E2" w:rsidR="002A4563" w:rsidP="002A4563" w:rsidRDefault="002A4563" w14:paraId="667473C9" w14:textId="77777777">
                  <w:pPr>
                    <w:spacing w:before="0" w:after="0"/>
                    <w:jc w:val="right"/>
                    <w:rPr>
                      <w:color w:val="000000"/>
                      <w:sz w:val="18"/>
                      <w:szCs w:val="18"/>
                    </w:rPr>
                  </w:pPr>
                  <w:r w:rsidRPr="00A406E2">
                    <w:rPr>
                      <w:color w:val="000000"/>
                      <w:sz w:val="18"/>
                      <w:szCs w:val="18"/>
                    </w:rPr>
                    <w:t>-223</w:t>
                  </w:r>
                </w:p>
              </w:tc>
              <w:tc>
                <w:tcPr>
                  <w:tcW w:w="709" w:type="dxa"/>
                  <w:hideMark/>
                </w:tcPr>
                <w:p w:rsidRPr="00A406E2" w:rsidR="002A4563" w:rsidP="002A4563" w:rsidRDefault="002A4563" w14:paraId="1C8AE3D4" w14:textId="77777777">
                  <w:pPr>
                    <w:spacing w:before="0" w:after="0"/>
                    <w:jc w:val="right"/>
                    <w:rPr>
                      <w:color w:val="000000"/>
                      <w:sz w:val="18"/>
                      <w:szCs w:val="18"/>
                    </w:rPr>
                  </w:pPr>
                  <w:r w:rsidRPr="00A406E2">
                    <w:rPr>
                      <w:color w:val="000000"/>
                      <w:sz w:val="18"/>
                      <w:szCs w:val="18"/>
                    </w:rPr>
                    <w:t>-223</w:t>
                  </w:r>
                </w:p>
              </w:tc>
            </w:tr>
            <w:tr w:rsidRPr="00A406E2" w:rsidR="002A4563" w:rsidTr="009638D7" w14:paraId="61FFBE88" w14:textId="77777777">
              <w:trPr>
                <w:trHeight w:val="180"/>
              </w:trPr>
              <w:tc>
                <w:tcPr>
                  <w:tcW w:w="701" w:type="dxa"/>
                  <w:hideMark/>
                </w:tcPr>
                <w:p w:rsidRPr="00A406E2" w:rsidR="002A4563" w:rsidP="002A4563" w:rsidRDefault="002A4563" w14:paraId="63952820" w14:textId="77777777">
                  <w:pPr>
                    <w:spacing w:before="0" w:after="0"/>
                    <w:rPr>
                      <w:color w:val="000000"/>
                      <w:sz w:val="18"/>
                      <w:szCs w:val="18"/>
                    </w:rPr>
                  </w:pPr>
                  <w:r w:rsidRPr="00A406E2">
                    <w:rPr>
                      <w:color w:val="000000"/>
                      <w:sz w:val="18"/>
                      <w:szCs w:val="18"/>
                    </w:rPr>
                    <w:t>16</w:t>
                  </w:r>
                </w:p>
              </w:tc>
              <w:tc>
                <w:tcPr>
                  <w:tcW w:w="1985" w:type="dxa"/>
                  <w:hideMark/>
                </w:tcPr>
                <w:p w:rsidRPr="00A406E2" w:rsidR="002A4563" w:rsidP="002A4563" w:rsidRDefault="002A4563" w14:paraId="6C313C39" w14:textId="77777777">
                  <w:pPr>
                    <w:spacing w:before="0" w:after="0"/>
                    <w:rPr>
                      <w:color w:val="000000"/>
                      <w:sz w:val="18"/>
                      <w:szCs w:val="18"/>
                    </w:rPr>
                  </w:pPr>
                  <w:r w:rsidRPr="00A406E2">
                    <w:rPr>
                      <w:color w:val="000000"/>
                      <w:sz w:val="18"/>
                      <w:szCs w:val="18"/>
                    </w:rPr>
                    <w:t xml:space="preserve">Naturalis </w:t>
                  </w:r>
                  <w:proofErr w:type="spellStart"/>
                  <w:r w:rsidRPr="00A406E2">
                    <w:rPr>
                      <w:color w:val="000000"/>
                      <w:sz w:val="18"/>
                      <w:szCs w:val="18"/>
                    </w:rPr>
                    <w:t>Biodiversity</w:t>
                  </w:r>
                  <w:proofErr w:type="spellEnd"/>
                  <w:r w:rsidRPr="00A406E2">
                    <w:rPr>
                      <w:color w:val="000000"/>
                      <w:sz w:val="18"/>
                      <w:szCs w:val="18"/>
                    </w:rPr>
                    <w:t xml:space="preserve"> Center</w:t>
                  </w:r>
                </w:p>
              </w:tc>
              <w:tc>
                <w:tcPr>
                  <w:tcW w:w="709" w:type="dxa"/>
                  <w:hideMark/>
                </w:tcPr>
                <w:p w:rsidRPr="00A406E2" w:rsidR="002A4563" w:rsidP="002A4563" w:rsidRDefault="002A4563" w14:paraId="37E0466D" w14:textId="77777777">
                  <w:pPr>
                    <w:spacing w:before="0" w:after="0"/>
                    <w:jc w:val="right"/>
                    <w:rPr>
                      <w:color w:val="000000"/>
                      <w:sz w:val="18"/>
                      <w:szCs w:val="18"/>
                    </w:rPr>
                  </w:pPr>
                  <w:r w:rsidRPr="00A406E2">
                    <w:rPr>
                      <w:color w:val="000000"/>
                      <w:sz w:val="18"/>
                      <w:szCs w:val="18"/>
                    </w:rPr>
                    <w:t>-227</w:t>
                  </w:r>
                </w:p>
              </w:tc>
              <w:tc>
                <w:tcPr>
                  <w:tcW w:w="708" w:type="dxa"/>
                  <w:hideMark/>
                </w:tcPr>
                <w:p w:rsidRPr="00A406E2" w:rsidR="002A4563" w:rsidP="002A4563" w:rsidRDefault="002A4563" w14:paraId="31FA96D8" w14:textId="77777777">
                  <w:pPr>
                    <w:spacing w:before="0" w:after="0"/>
                    <w:jc w:val="right"/>
                    <w:rPr>
                      <w:color w:val="000000"/>
                      <w:sz w:val="18"/>
                      <w:szCs w:val="18"/>
                    </w:rPr>
                  </w:pPr>
                  <w:r w:rsidRPr="00A406E2">
                    <w:rPr>
                      <w:color w:val="000000"/>
                      <w:sz w:val="18"/>
                      <w:szCs w:val="18"/>
                    </w:rPr>
                    <w:t>-227</w:t>
                  </w:r>
                </w:p>
              </w:tc>
              <w:tc>
                <w:tcPr>
                  <w:tcW w:w="709" w:type="dxa"/>
                  <w:hideMark/>
                </w:tcPr>
                <w:p w:rsidRPr="00A406E2" w:rsidR="002A4563" w:rsidP="002A4563" w:rsidRDefault="002A4563" w14:paraId="7579AEBD" w14:textId="77777777">
                  <w:pPr>
                    <w:spacing w:before="0" w:after="0"/>
                    <w:jc w:val="right"/>
                    <w:rPr>
                      <w:color w:val="000000"/>
                      <w:sz w:val="18"/>
                      <w:szCs w:val="18"/>
                    </w:rPr>
                  </w:pPr>
                  <w:r w:rsidRPr="00A406E2">
                    <w:rPr>
                      <w:color w:val="000000"/>
                      <w:sz w:val="18"/>
                      <w:szCs w:val="18"/>
                    </w:rPr>
                    <w:t>-227</w:t>
                  </w:r>
                </w:p>
              </w:tc>
              <w:tc>
                <w:tcPr>
                  <w:tcW w:w="709" w:type="dxa"/>
                  <w:hideMark/>
                </w:tcPr>
                <w:p w:rsidRPr="00A406E2" w:rsidR="002A4563" w:rsidP="002A4563" w:rsidRDefault="002A4563" w14:paraId="5831736F" w14:textId="77777777">
                  <w:pPr>
                    <w:spacing w:before="0" w:after="0"/>
                    <w:jc w:val="right"/>
                    <w:rPr>
                      <w:color w:val="000000"/>
                      <w:sz w:val="18"/>
                      <w:szCs w:val="18"/>
                    </w:rPr>
                  </w:pPr>
                  <w:r w:rsidRPr="00A406E2">
                    <w:rPr>
                      <w:color w:val="000000"/>
                      <w:sz w:val="18"/>
                      <w:szCs w:val="18"/>
                    </w:rPr>
                    <w:t>-227</w:t>
                  </w:r>
                </w:p>
              </w:tc>
              <w:tc>
                <w:tcPr>
                  <w:tcW w:w="709" w:type="dxa"/>
                  <w:hideMark/>
                </w:tcPr>
                <w:p w:rsidRPr="00A406E2" w:rsidR="002A4563" w:rsidP="002A4563" w:rsidRDefault="002A4563" w14:paraId="7C263D04" w14:textId="77777777">
                  <w:pPr>
                    <w:spacing w:before="0" w:after="0"/>
                    <w:jc w:val="right"/>
                    <w:rPr>
                      <w:color w:val="000000"/>
                      <w:sz w:val="18"/>
                      <w:szCs w:val="18"/>
                    </w:rPr>
                  </w:pPr>
                  <w:r w:rsidRPr="00A406E2">
                    <w:rPr>
                      <w:color w:val="000000"/>
                      <w:sz w:val="18"/>
                      <w:szCs w:val="18"/>
                    </w:rPr>
                    <w:t>-218</w:t>
                  </w:r>
                </w:p>
              </w:tc>
            </w:tr>
            <w:tr w:rsidRPr="00A406E2" w:rsidR="002A4563" w:rsidTr="009638D7" w14:paraId="2B356892" w14:textId="77777777">
              <w:trPr>
                <w:trHeight w:val="360"/>
              </w:trPr>
              <w:tc>
                <w:tcPr>
                  <w:tcW w:w="701" w:type="dxa"/>
                  <w:hideMark/>
                </w:tcPr>
                <w:p w:rsidRPr="00A406E2" w:rsidR="002A4563" w:rsidP="002A4563" w:rsidRDefault="002A4563" w14:paraId="2B3D5FD1" w14:textId="77777777">
                  <w:pPr>
                    <w:spacing w:before="0" w:after="0"/>
                    <w:rPr>
                      <w:color w:val="000000"/>
                      <w:sz w:val="18"/>
                      <w:szCs w:val="18"/>
                    </w:rPr>
                  </w:pPr>
                  <w:r w:rsidRPr="00A406E2">
                    <w:rPr>
                      <w:color w:val="000000"/>
                      <w:sz w:val="18"/>
                      <w:szCs w:val="18"/>
                    </w:rPr>
                    <w:t>16</w:t>
                  </w:r>
                </w:p>
              </w:tc>
              <w:tc>
                <w:tcPr>
                  <w:tcW w:w="1985" w:type="dxa"/>
                  <w:hideMark/>
                </w:tcPr>
                <w:p w:rsidRPr="00A406E2" w:rsidR="002A4563" w:rsidP="002A4563" w:rsidRDefault="002A4563" w14:paraId="6C91AACB" w14:textId="77777777">
                  <w:pPr>
                    <w:spacing w:before="0" w:after="0"/>
                    <w:rPr>
                      <w:color w:val="000000"/>
                      <w:sz w:val="18"/>
                      <w:szCs w:val="18"/>
                      <w:lang w:val="en-US"/>
                    </w:rPr>
                  </w:pPr>
                  <w:r w:rsidRPr="00A406E2">
                    <w:rPr>
                      <w:color w:val="000000"/>
                      <w:sz w:val="18"/>
                      <w:szCs w:val="18"/>
                      <w:lang w:val="en-US"/>
                    </w:rPr>
                    <w:t>Biomedical Primate Research Centre (BPRC)</w:t>
                  </w:r>
                </w:p>
              </w:tc>
              <w:tc>
                <w:tcPr>
                  <w:tcW w:w="709" w:type="dxa"/>
                  <w:hideMark/>
                </w:tcPr>
                <w:p w:rsidRPr="00A406E2" w:rsidR="002A4563" w:rsidP="002A4563" w:rsidRDefault="002A4563" w14:paraId="2B520DBB" w14:textId="77777777">
                  <w:pPr>
                    <w:spacing w:before="0" w:after="0"/>
                    <w:jc w:val="right"/>
                    <w:rPr>
                      <w:color w:val="000000"/>
                      <w:sz w:val="18"/>
                      <w:szCs w:val="18"/>
                    </w:rPr>
                  </w:pPr>
                  <w:r w:rsidRPr="00A406E2">
                    <w:rPr>
                      <w:color w:val="000000"/>
                      <w:sz w:val="18"/>
                      <w:szCs w:val="18"/>
                    </w:rPr>
                    <w:t>-273</w:t>
                  </w:r>
                </w:p>
              </w:tc>
              <w:tc>
                <w:tcPr>
                  <w:tcW w:w="708" w:type="dxa"/>
                  <w:hideMark/>
                </w:tcPr>
                <w:p w:rsidRPr="00A406E2" w:rsidR="002A4563" w:rsidP="002A4563" w:rsidRDefault="002A4563" w14:paraId="05E58CA3" w14:textId="77777777">
                  <w:pPr>
                    <w:spacing w:before="0" w:after="0"/>
                    <w:jc w:val="right"/>
                    <w:rPr>
                      <w:color w:val="000000"/>
                      <w:sz w:val="18"/>
                      <w:szCs w:val="18"/>
                    </w:rPr>
                  </w:pPr>
                  <w:r w:rsidRPr="00A406E2">
                    <w:rPr>
                      <w:color w:val="000000"/>
                      <w:sz w:val="18"/>
                      <w:szCs w:val="18"/>
                    </w:rPr>
                    <w:t>-273</w:t>
                  </w:r>
                </w:p>
              </w:tc>
              <w:tc>
                <w:tcPr>
                  <w:tcW w:w="709" w:type="dxa"/>
                  <w:hideMark/>
                </w:tcPr>
                <w:p w:rsidRPr="00A406E2" w:rsidR="002A4563" w:rsidP="002A4563" w:rsidRDefault="002A4563" w14:paraId="52510A8D" w14:textId="77777777">
                  <w:pPr>
                    <w:spacing w:before="0" w:after="0"/>
                    <w:jc w:val="right"/>
                    <w:rPr>
                      <w:color w:val="000000"/>
                      <w:sz w:val="18"/>
                      <w:szCs w:val="18"/>
                    </w:rPr>
                  </w:pPr>
                  <w:r w:rsidRPr="00A406E2">
                    <w:rPr>
                      <w:color w:val="000000"/>
                      <w:sz w:val="18"/>
                      <w:szCs w:val="18"/>
                    </w:rPr>
                    <w:t>-273</w:t>
                  </w:r>
                </w:p>
              </w:tc>
              <w:tc>
                <w:tcPr>
                  <w:tcW w:w="709" w:type="dxa"/>
                  <w:hideMark/>
                </w:tcPr>
                <w:p w:rsidRPr="00A406E2" w:rsidR="002A4563" w:rsidP="002A4563" w:rsidRDefault="002A4563" w14:paraId="0A0EAC0D" w14:textId="77777777">
                  <w:pPr>
                    <w:spacing w:before="0" w:after="0"/>
                    <w:jc w:val="right"/>
                    <w:rPr>
                      <w:color w:val="000000"/>
                      <w:sz w:val="18"/>
                      <w:szCs w:val="18"/>
                    </w:rPr>
                  </w:pPr>
                  <w:r w:rsidRPr="00A406E2">
                    <w:rPr>
                      <w:color w:val="000000"/>
                      <w:sz w:val="18"/>
                      <w:szCs w:val="18"/>
                    </w:rPr>
                    <w:t>-273</w:t>
                  </w:r>
                </w:p>
              </w:tc>
              <w:tc>
                <w:tcPr>
                  <w:tcW w:w="709" w:type="dxa"/>
                  <w:hideMark/>
                </w:tcPr>
                <w:p w:rsidRPr="00A406E2" w:rsidR="002A4563" w:rsidP="002A4563" w:rsidRDefault="002A4563" w14:paraId="6FEB269E" w14:textId="77777777">
                  <w:pPr>
                    <w:spacing w:before="0" w:after="0"/>
                    <w:jc w:val="right"/>
                    <w:rPr>
                      <w:color w:val="000000"/>
                      <w:sz w:val="18"/>
                      <w:szCs w:val="18"/>
                    </w:rPr>
                  </w:pPr>
                  <w:r w:rsidRPr="00A406E2">
                    <w:rPr>
                      <w:color w:val="000000"/>
                      <w:sz w:val="18"/>
                      <w:szCs w:val="18"/>
                    </w:rPr>
                    <w:t>-263</w:t>
                  </w:r>
                </w:p>
              </w:tc>
            </w:tr>
            <w:tr w:rsidRPr="00A406E2" w:rsidR="002A4563" w:rsidTr="009638D7" w14:paraId="78651C9F" w14:textId="77777777">
              <w:trPr>
                <w:trHeight w:val="180"/>
              </w:trPr>
              <w:tc>
                <w:tcPr>
                  <w:tcW w:w="701" w:type="dxa"/>
                  <w:hideMark/>
                </w:tcPr>
                <w:p w:rsidRPr="00A406E2" w:rsidR="002A4563" w:rsidP="002A4563" w:rsidRDefault="002A4563" w14:paraId="3AF9758B" w14:textId="77777777">
                  <w:pPr>
                    <w:spacing w:before="0" w:after="0"/>
                    <w:rPr>
                      <w:color w:val="000000"/>
                      <w:sz w:val="18"/>
                      <w:szCs w:val="18"/>
                    </w:rPr>
                  </w:pPr>
                  <w:r w:rsidRPr="00A406E2">
                    <w:rPr>
                      <w:color w:val="000000"/>
                      <w:sz w:val="18"/>
                      <w:szCs w:val="18"/>
                    </w:rPr>
                    <w:t>16</w:t>
                  </w:r>
                </w:p>
              </w:tc>
              <w:tc>
                <w:tcPr>
                  <w:tcW w:w="1985" w:type="dxa"/>
                  <w:hideMark/>
                </w:tcPr>
                <w:p w:rsidRPr="00A406E2" w:rsidR="002A4563" w:rsidP="002A4563" w:rsidRDefault="002A4563" w14:paraId="0F1F1A6F" w14:textId="77777777">
                  <w:pPr>
                    <w:spacing w:before="0" w:after="0"/>
                    <w:rPr>
                      <w:color w:val="000000"/>
                      <w:sz w:val="18"/>
                      <w:szCs w:val="18"/>
                    </w:rPr>
                  </w:pPr>
                  <w:r w:rsidRPr="00A406E2">
                    <w:rPr>
                      <w:color w:val="000000"/>
                      <w:sz w:val="18"/>
                      <w:szCs w:val="18"/>
                    </w:rPr>
                    <w:t xml:space="preserve">NEMO </w:t>
                  </w:r>
                  <w:proofErr w:type="spellStart"/>
                  <w:r w:rsidRPr="00A406E2">
                    <w:rPr>
                      <w:color w:val="000000"/>
                      <w:sz w:val="18"/>
                      <w:szCs w:val="18"/>
                    </w:rPr>
                    <w:t>Science</w:t>
                  </w:r>
                  <w:proofErr w:type="spellEnd"/>
                  <w:r w:rsidRPr="00A406E2">
                    <w:rPr>
                      <w:color w:val="000000"/>
                      <w:sz w:val="18"/>
                      <w:szCs w:val="18"/>
                    </w:rPr>
                    <w:t xml:space="preserve"> Museum</w:t>
                  </w:r>
                </w:p>
              </w:tc>
              <w:tc>
                <w:tcPr>
                  <w:tcW w:w="709" w:type="dxa"/>
                  <w:hideMark/>
                </w:tcPr>
                <w:p w:rsidRPr="00A406E2" w:rsidR="002A4563" w:rsidP="002A4563" w:rsidRDefault="002A4563" w14:paraId="3745CBFF" w14:textId="77777777">
                  <w:pPr>
                    <w:spacing w:before="0" w:after="0"/>
                    <w:jc w:val="right"/>
                    <w:rPr>
                      <w:color w:val="000000"/>
                      <w:sz w:val="18"/>
                      <w:szCs w:val="18"/>
                    </w:rPr>
                  </w:pPr>
                  <w:r w:rsidRPr="00A406E2">
                    <w:rPr>
                      <w:color w:val="000000"/>
                      <w:sz w:val="18"/>
                      <w:szCs w:val="18"/>
                    </w:rPr>
                    <w:t>-89</w:t>
                  </w:r>
                </w:p>
              </w:tc>
              <w:tc>
                <w:tcPr>
                  <w:tcW w:w="708" w:type="dxa"/>
                  <w:hideMark/>
                </w:tcPr>
                <w:p w:rsidRPr="00A406E2" w:rsidR="002A4563" w:rsidP="002A4563" w:rsidRDefault="002A4563" w14:paraId="0BAFCDE8" w14:textId="77777777">
                  <w:pPr>
                    <w:spacing w:before="0" w:after="0"/>
                    <w:jc w:val="right"/>
                    <w:rPr>
                      <w:color w:val="000000"/>
                      <w:sz w:val="18"/>
                      <w:szCs w:val="18"/>
                    </w:rPr>
                  </w:pPr>
                  <w:r w:rsidRPr="00A406E2">
                    <w:rPr>
                      <w:color w:val="000000"/>
                      <w:sz w:val="18"/>
                      <w:szCs w:val="18"/>
                    </w:rPr>
                    <w:t>-89</w:t>
                  </w:r>
                </w:p>
              </w:tc>
              <w:tc>
                <w:tcPr>
                  <w:tcW w:w="709" w:type="dxa"/>
                  <w:hideMark/>
                </w:tcPr>
                <w:p w:rsidRPr="00A406E2" w:rsidR="002A4563" w:rsidP="002A4563" w:rsidRDefault="002A4563" w14:paraId="727AEFB5" w14:textId="77777777">
                  <w:pPr>
                    <w:spacing w:before="0" w:after="0"/>
                    <w:jc w:val="right"/>
                    <w:rPr>
                      <w:color w:val="000000"/>
                      <w:sz w:val="18"/>
                      <w:szCs w:val="18"/>
                    </w:rPr>
                  </w:pPr>
                  <w:r w:rsidRPr="00A406E2">
                    <w:rPr>
                      <w:color w:val="000000"/>
                      <w:sz w:val="18"/>
                      <w:szCs w:val="18"/>
                    </w:rPr>
                    <w:t>-89</w:t>
                  </w:r>
                </w:p>
              </w:tc>
              <w:tc>
                <w:tcPr>
                  <w:tcW w:w="709" w:type="dxa"/>
                  <w:hideMark/>
                </w:tcPr>
                <w:p w:rsidRPr="00A406E2" w:rsidR="002A4563" w:rsidP="002A4563" w:rsidRDefault="002A4563" w14:paraId="714AD5F5" w14:textId="77777777">
                  <w:pPr>
                    <w:spacing w:before="0" w:after="0"/>
                    <w:jc w:val="right"/>
                    <w:rPr>
                      <w:color w:val="000000"/>
                      <w:sz w:val="18"/>
                      <w:szCs w:val="18"/>
                    </w:rPr>
                  </w:pPr>
                  <w:r w:rsidRPr="00A406E2">
                    <w:rPr>
                      <w:color w:val="000000"/>
                      <w:sz w:val="18"/>
                      <w:szCs w:val="18"/>
                    </w:rPr>
                    <w:t>-89</w:t>
                  </w:r>
                </w:p>
              </w:tc>
              <w:tc>
                <w:tcPr>
                  <w:tcW w:w="709" w:type="dxa"/>
                  <w:hideMark/>
                </w:tcPr>
                <w:p w:rsidRPr="00A406E2" w:rsidR="002A4563" w:rsidP="002A4563" w:rsidRDefault="002A4563" w14:paraId="5EFF04B9" w14:textId="77777777">
                  <w:pPr>
                    <w:spacing w:before="0" w:after="0"/>
                    <w:jc w:val="right"/>
                    <w:rPr>
                      <w:color w:val="000000"/>
                      <w:sz w:val="18"/>
                      <w:szCs w:val="18"/>
                    </w:rPr>
                  </w:pPr>
                  <w:r w:rsidRPr="00A406E2">
                    <w:rPr>
                      <w:color w:val="000000"/>
                      <w:sz w:val="18"/>
                      <w:szCs w:val="18"/>
                    </w:rPr>
                    <w:t>-85</w:t>
                  </w:r>
                </w:p>
              </w:tc>
            </w:tr>
            <w:tr w:rsidRPr="00A406E2" w:rsidR="002A4563" w:rsidTr="009638D7" w14:paraId="2C7D3B3C" w14:textId="77777777">
              <w:trPr>
                <w:trHeight w:val="360"/>
              </w:trPr>
              <w:tc>
                <w:tcPr>
                  <w:tcW w:w="701" w:type="dxa"/>
                  <w:hideMark/>
                </w:tcPr>
                <w:p w:rsidRPr="00A406E2" w:rsidR="002A4563" w:rsidP="002A4563" w:rsidRDefault="002A4563" w14:paraId="5A0803C9" w14:textId="77777777">
                  <w:pPr>
                    <w:spacing w:before="0" w:after="0"/>
                    <w:rPr>
                      <w:color w:val="000000"/>
                      <w:sz w:val="18"/>
                      <w:szCs w:val="18"/>
                    </w:rPr>
                  </w:pPr>
                  <w:r w:rsidRPr="00A406E2">
                    <w:rPr>
                      <w:color w:val="000000"/>
                      <w:sz w:val="18"/>
                      <w:szCs w:val="18"/>
                    </w:rPr>
                    <w:t>16</w:t>
                  </w:r>
                </w:p>
              </w:tc>
              <w:tc>
                <w:tcPr>
                  <w:tcW w:w="1985" w:type="dxa"/>
                  <w:hideMark/>
                </w:tcPr>
                <w:p w:rsidRPr="00A406E2" w:rsidR="002A4563" w:rsidP="002A4563" w:rsidRDefault="002A4563" w14:paraId="008611F6" w14:textId="77777777">
                  <w:pPr>
                    <w:spacing w:before="0" w:after="0"/>
                    <w:rPr>
                      <w:color w:val="000000"/>
                      <w:sz w:val="18"/>
                      <w:szCs w:val="18"/>
                    </w:rPr>
                  </w:pPr>
                  <w:r w:rsidRPr="00A406E2">
                    <w:rPr>
                      <w:color w:val="000000"/>
                      <w:sz w:val="18"/>
                      <w:szCs w:val="18"/>
                    </w:rPr>
                    <w:t>Stichting Toekomstbeeld der Techniek (STT)</w:t>
                  </w:r>
                </w:p>
              </w:tc>
              <w:tc>
                <w:tcPr>
                  <w:tcW w:w="709" w:type="dxa"/>
                  <w:hideMark/>
                </w:tcPr>
                <w:p w:rsidRPr="00A406E2" w:rsidR="002A4563" w:rsidP="002A4563" w:rsidRDefault="002A4563" w14:paraId="326BB8F9" w14:textId="77777777">
                  <w:pPr>
                    <w:spacing w:before="0" w:after="0"/>
                    <w:jc w:val="right"/>
                    <w:rPr>
                      <w:color w:val="000000"/>
                      <w:sz w:val="18"/>
                      <w:szCs w:val="18"/>
                    </w:rPr>
                  </w:pPr>
                  <w:r w:rsidRPr="00A406E2">
                    <w:rPr>
                      <w:color w:val="000000"/>
                      <w:sz w:val="18"/>
                      <w:szCs w:val="18"/>
                    </w:rPr>
                    <w:t>-6</w:t>
                  </w:r>
                </w:p>
              </w:tc>
              <w:tc>
                <w:tcPr>
                  <w:tcW w:w="708" w:type="dxa"/>
                  <w:hideMark/>
                </w:tcPr>
                <w:p w:rsidRPr="00A406E2" w:rsidR="002A4563" w:rsidP="002A4563" w:rsidRDefault="002A4563" w14:paraId="69A4018C" w14:textId="77777777">
                  <w:pPr>
                    <w:spacing w:before="0" w:after="0"/>
                    <w:jc w:val="right"/>
                    <w:rPr>
                      <w:color w:val="000000"/>
                      <w:sz w:val="18"/>
                      <w:szCs w:val="18"/>
                    </w:rPr>
                  </w:pPr>
                  <w:r w:rsidRPr="00A406E2">
                    <w:rPr>
                      <w:color w:val="000000"/>
                      <w:sz w:val="18"/>
                      <w:szCs w:val="18"/>
                    </w:rPr>
                    <w:t>-6</w:t>
                  </w:r>
                </w:p>
              </w:tc>
              <w:tc>
                <w:tcPr>
                  <w:tcW w:w="709" w:type="dxa"/>
                  <w:hideMark/>
                </w:tcPr>
                <w:p w:rsidRPr="00A406E2" w:rsidR="002A4563" w:rsidP="002A4563" w:rsidRDefault="002A4563" w14:paraId="53DC3C13" w14:textId="77777777">
                  <w:pPr>
                    <w:spacing w:before="0" w:after="0"/>
                    <w:jc w:val="right"/>
                    <w:rPr>
                      <w:color w:val="000000"/>
                      <w:sz w:val="18"/>
                      <w:szCs w:val="18"/>
                    </w:rPr>
                  </w:pPr>
                  <w:r w:rsidRPr="00A406E2">
                    <w:rPr>
                      <w:color w:val="000000"/>
                      <w:sz w:val="18"/>
                      <w:szCs w:val="18"/>
                    </w:rPr>
                    <w:t>-278</w:t>
                  </w:r>
                </w:p>
              </w:tc>
              <w:tc>
                <w:tcPr>
                  <w:tcW w:w="709" w:type="dxa"/>
                  <w:hideMark/>
                </w:tcPr>
                <w:p w:rsidRPr="00A406E2" w:rsidR="002A4563" w:rsidP="002A4563" w:rsidRDefault="002A4563" w14:paraId="42F98FC0" w14:textId="77777777">
                  <w:pPr>
                    <w:spacing w:before="0" w:after="0"/>
                    <w:jc w:val="right"/>
                    <w:rPr>
                      <w:color w:val="000000"/>
                      <w:sz w:val="18"/>
                      <w:szCs w:val="18"/>
                    </w:rPr>
                  </w:pPr>
                  <w:r w:rsidRPr="00A406E2">
                    <w:rPr>
                      <w:color w:val="000000"/>
                      <w:sz w:val="18"/>
                      <w:szCs w:val="18"/>
                    </w:rPr>
                    <w:t>-278</w:t>
                  </w:r>
                </w:p>
              </w:tc>
              <w:tc>
                <w:tcPr>
                  <w:tcW w:w="709" w:type="dxa"/>
                  <w:hideMark/>
                </w:tcPr>
                <w:p w:rsidRPr="00A406E2" w:rsidR="002A4563" w:rsidP="002A4563" w:rsidRDefault="002A4563" w14:paraId="7B0C9356" w14:textId="77777777">
                  <w:pPr>
                    <w:spacing w:before="0" w:after="0"/>
                    <w:jc w:val="right"/>
                    <w:rPr>
                      <w:color w:val="000000"/>
                      <w:sz w:val="18"/>
                      <w:szCs w:val="18"/>
                    </w:rPr>
                  </w:pPr>
                  <w:r w:rsidRPr="00A406E2">
                    <w:rPr>
                      <w:color w:val="000000"/>
                      <w:sz w:val="18"/>
                      <w:szCs w:val="18"/>
                    </w:rPr>
                    <w:t>-278</w:t>
                  </w:r>
                </w:p>
              </w:tc>
            </w:tr>
            <w:tr w:rsidRPr="00A406E2" w:rsidR="002A4563" w:rsidTr="009638D7" w14:paraId="7D9E8D28" w14:textId="77777777">
              <w:trPr>
                <w:trHeight w:val="180"/>
              </w:trPr>
              <w:tc>
                <w:tcPr>
                  <w:tcW w:w="701" w:type="dxa"/>
                  <w:hideMark/>
                </w:tcPr>
                <w:p w:rsidRPr="00A406E2" w:rsidR="002A4563" w:rsidP="002A4563" w:rsidRDefault="002A4563" w14:paraId="5B564356" w14:textId="77777777">
                  <w:pPr>
                    <w:spacing w:before="0" w:after="0"/>
                    <w:rPr>
                      <w:color w:val="000000"/>
                      <w:sz w:val="18"/>
                      <w:szCs w:val="18"/>
                    </w:rPr>
                  </w:pPr>
                  <w:r w:rsidRPr="00A406E2">
                    <w:rPr>
                      <w:color w:val="000000"/>
                      <w:sz w:val="18"/>
                      <w:szCs w:val="18"/>
                    </w:rPr>
                    <w:t>16</w:t>
                  </w:r>
                </w:p>
              </w:tc>
              <w:tc>
                <w:tcPr>
                  <w:tcW w:w="1985" w:type="dxa"/>
                  <w:hideMark/>
                </w:tcPr>
                <w:p w:rsidRPr="00A406E2" w:rsidR="002A4563" w:rsidP="002A4563" w:rsidRDefault="002A4563" w14:paraId="17623294" w14:textId="77777777">
                  <w:pPr>
                    <w:spacing w:before="0" w:after="0"/>
                    <w:rPr>
                      <w:color w:val="000000"/>
                      <w:sz w:val="18"/>
                      <w:szCs w:val="18"/>
                    </w:rPr>
                  </w:pPr>
                  <w:r w:rsidRPr="00A406E2">
                    <w:rPr>
                      <w:color w:val="000000"/>
                      <w:sz w:val="18"/>
                      <w:szCs w:val="18"/>
                    </w:rPr>
                    <w:t>Stichting AAP</w:t>
                  </w:r>
                </w:p>
              </w:tc>
              <w:tc>
                <w:tcPr>
                  <w:tcW w:w="709" w:type="dxa"/>
                  <w:hideMark/>
                </w:tcPr>
                <w:p w:rsidRPr="00A406E2" w:rsidR="002A4563" w:rsidP="002A4563" w:rsidRDefault="002A4563" w14:paraId="2D3B26AB" w14:textId="77777777">
                  <w:pPr>
                    <w:spacing w:before="0" w:after="0"/>
                    <w:jc w:val="right"/>
                    <w:rPr>
                      <w:color w:val="000000"/>
                      <w:sz w:val="18"/>
                      <w:szCs w:val="18"/>
                    </w:rPr>
                  </w:pPr>
                  <w:r w:rsidRPr="00A406E2">
                    <w:rPr>
                      <w:color w:val="000000"/>
                      <w:sz w:val="18"/>
                      <w:szCs w:val="18"/>
                    </w:rPr>
                    <w:t>-27</w:t>
                  </w:r>
                </w:p>
              </w:tc>
              <w:tc>
                <w:tcPr>
                  <w:tcW w:w="708" w:type="dxa"/>
                  <w:hideMark/>
                </w:tcPr>
                <w:p w:rsidRPr="00A406E2" w:rsidR="002A4563" w:rsidP="002A4563" w:rsidRDefault="002A4563" w14:paraId="51472BDC" w14:textId="77777777">
                  <w:pPr>
                    <w:spacing w:before="0" w:after="0"/>
                    <w:jc w:val="right"/>
                    <w:rPr>
                      <w:color w:val="000000"/>
                      <w:sz w:val="18"/>
                      <w:szCs w:val="18"/>
                    </w:rPr>
                  </w:pPr>
                  <w:r w:rsidRPr="00A406E2">
                    <w:rPr>
                      <w:color w:val="000000"/>
                      <w:sz w:val="18"/>
                      <w:szCs w:val="18"/>
                    </w:rPr>
                    <w:t>-27</w:t>
                  </w:r>
                </w:p>
              </w:tc>
              <w:tc>
                <w:tcPr>
                  <w:tcW w:w="709" w:type="dxa"/>
                  <w:hideMark/>
                </w:tcPr>
                <w:p w:rsidRPr="00A406E2" w:rsidR="002A4563" w:rsidP="002A4563" w:rsidRDefault="002A4563" w14:paraId="326A8A8A" w14:textId="77777777">
                  <w:pPr>
                    <w:spacing w:before="0" w:after="0"/>
                    <w:jc w:val="right"/>
                    <w:rPr>
                      <w:color w:val="000000"/>
                      <w:sz w:val="18"/>
                      <w:szCs w:val="18"/>
                    </w:rPr>
                  </w:pPr>
                  <w:r w:rsidRPr="00A406E2">
                    <w:rPr>
                      <w:color w:val="000000"/>
                      <w:sz w:val="18"/>
                      <w:szCs w:val="18"/>
                    </w:rPr>
                    <w:t>-27</w:t>
                  </w:r>
                </w:p>
              </w:tc>
              <w:tc>
                <w:tcPr>
                  <w:tcW w:w="709" w:type="dxa"/>
                  <w:hideMark/>
                </w:tcPr>
                <w:p w:rsidRPr="00A406E2" w:rsidR="002A4563" w:rsidP="002A4563" w:rsidRDefault="002A4563" w14:paraId="3C518E06" w14:textId="77777777">
                  <w:pPr>
                    <w:spacing w:before="0" w:after="0"/>
                    <w:jc w:val="right"/>
                    <w:rPr>
                      <w:color w:val="000000"/>
                      <w:sz w:val="18"/>
                      <w:szCs w:val="18"/>
                    </w:rPr>
                  </w:pPr>
                  <w:r w:rsidRPr="00A406E2">
                    <w:rPr>
                      <w:color w:val="000000"/>
                      <w:sz w:val="18"/>
                      <w:szCs w:val="18"/>
                    </w:rPr>
                    <w:t>-27</w:t>
                  </w:r>
                </w:p>
              </w:tc>
              <w:tc>
                <w:tcPr>
                  <w:tcW w:w="709" w:type="dxa"/>
                  <w:hideMark/>
                </w:tcPr>
                <w:p w:rsidRPr="00A406E2" w:rsidR="002A4563" w:rsidP="002A4563" w:rsidRDefault="002A4563" w14:paraId="1FC2575F" w14:textId="77777777">
                  <w:pPr>
                    <w:spacing w:before="0" w:after="0"/>
                    <w:jc w:val="right"/>
                    <w:rPr>
                      <w:color w:val="000000"/>
                      <w:sz w:val="18"/>
                      <w:szCs w:val="18"/>
                    </w:rPr>
                  </w:pPr>
                  <w:r w:rsidRPr="00A406E2">
                    <w:rPr>
                      <w:color w:val="000000"/>
                      <w:sz w:val="18"/>
                      <w:szCs w:val="18"/>
                    </w:rPr>
                    <w:t>-26</w:t>
                  </w:r>
                </w:p>
              </w:tc>
            </w:tr>
            <w:tr w:rsidRPr="00A406E2" w:rsidR="002A4563" w:rsidTr="009638D7" w14:paraId="69E1D506" w14:textId="77777777">
              <w:trPr>
                <w:trHeight w:val="360"/>
              </w:trPr>
              <w:tc>
                <w:tcPr>
                  <w:tcW w:w="701" w:type="dxa"/>
                  <w:hideMark/>
                </w:tcPr>
                <w:p w:rsidRPr="00A406E2" w:rsidR="002A4563" w:rsidP="002A4563" w:rsidRDefault="002A4563" w14:paraId="469A39D5" w14:textId="77777777">
                  <w:pPr>
                    <w:spacing w:before="0" w:after="0"/>
                    <w:rPr>
                      <w:color w:val="000000"/>
                      <w:sz w:val="18"/>
                      <w:szCs w:val="18"/>
                    </w:rPr>
                  </w:pPr>
                  <w:r w:rsidRPr="00A406E2">
                    <w:rPr>
                      <w:color w:val="000000"/>
                      <w:sz w:val="18"/>
                      <w:szCs w:val="18"/>
                    </w:rPr>
                    <w:t>16</w:t>
                  </w:r>
                </w:p>
              </w:tc>
              <w:tc>
                <w:tcPr>
                  <w:tcW w:w="1985" w:type="dxa"/>
                  <w:hideMark/>
                </w:tcPr>
                <w:p w:rsidRPr="00A406E2" w:rsidR="002A4563" w:rsidP="002A4563" w:rsidRDefault="002A4563" w14:paraId="25A9756D" w14:textId="77777777">
                  <w:pPr>
                    <w:spacing w:before="0" w:after="0"/>
                    <w:rPr>
                      <w:color w:val="000000"/>
                      <w:sz w:val="18"/>
                      <w:szCs w:val="18"/>
                    </w:rPr>
                  </w:pPr>
                  <w:r w:rsidRPr="00A406E2">
                    <w:rPr>
                      <w:color w:val="000000"/>
                      <w:sz w:val="18"/>
                      <w:szCs w:val="18"/>
                    </w:rPr>
                    <w:t>Nationaal Expertisecentrum voor Wetenschap en Samenleving (NEWS)</w:t>
                  </w:r>
                </w:p>
              </w:tc>
              <w:tc>
                <w:tcPr>
                  <w:tcW w:w="709" w:type="dxa"/>
                  <w:hideMark/>
                </w:tcPr>
                <w:p w:rsidRPr="00A406E2" w:rsidR="002A4563" w:rsidP="002A4563" w:rsidRDefault="002A4563" w14:paraId="710A904A" w14:textId="77777777">
                  <w:pPr>
                    <w:spacing w:before="0" w:after="0"/>
                    <w:jc w:val="right"/>
                    <w:rPr>
                      <w:color w:val="000000"/>
                      <w:sz w:val="18"/>
                      <w:szCs w:val="18"/>
                    </w:rPr>
                  </w:pPr>
                  <w:r w:rsidRPr="00A406E2">
                    <w:rPr>
                      <w:color w:val="000000"/>
                      <w:sz w:val="18"/>
                      <w:szCs w:val="18"/>
                    </w:rPr>
                    <w:t>-24</w:t>
                  </w:r>
                </w:p>
              </w:tc>
              <w:tc>
                <w:tcPr>
                  <w:tcW w:w="708" w:type="dxa"/>
                  <w:hideMark/>
                </w:tcPr>
                <w:p w:rsidRPr="00A406E2" w:rsidR="002A4563" w:rsidP="002A4563" w:rsidRDefault="002A4563" w14:paraId="3D4E61D7" w14:textId="77777777">
                  <w:pPr>
                    <w:spacing w:before="0" w:after="0"/>
                    <w:jc w:val="right"/>
                    <w:rPr>
                      <w:color w:val="000000"/>
                      <w:sz w:val="18"/>
                      <w:szCs w:val="18"/>
                    </w:rPr>
                  </w:pPr>
                  <w:r w:rsidRPr="00A406E2">
                    <w:rPr>
                      <w:color w:val="000000"/>
                      <w:sz w:val="18"/>
                      <w:szCs w:val="18"/>
                    </w:rPr>
                    <w:t>-24</w:t>
                  </w:r>
                </w:p>
              </w:tc>
              <w:tc>
                <w:tcPr>
                  <w:tcW w:w="709" w:type="dxa"/>
                  <w:hideMark/>
                </w:tcPr>
                <w:p w:rsidRPr="00A406E2" w:rsidR="002A4563" w:rsidP="002A4563" w:rsidRDefault="002A4563" w14:paraId="030C51CC" w14:textId="77777777">
                  <w:pPr>
                    <w:spacing w:before="0" w:after="0"/>
                    <w:jc w:val="right"/>
                    <w:rPr>
                      <w:color w:val="000000"/>
                      <w:sz w:val="18"/>
                      <w:szCs w:val="18"/>
                    </w:rPr>
                  </w:pPr>
                  <w:r w:rsidRPr="00A406E2">
                    <w:rPr>
                      <w:color w:val="000000"/>
                      <w:sz w:val="18"/>
                      <w:szCs w:val="18"/>
                    </w:rPr>
                    <w:t>-24</w:t>
                  </w:r>
                </w:p>
              </w:tc>
              <w:tc>
                <w:tcPr>
                  <w:tcW w:w="709" w:type="dxa"/>
                  <w:hideMark/>
                </w:tcPr>
                <w:p w:rsidRPr="00A406E2" w:rsidR="002A4563" w:rsidP="002A4563" w:rsidRDefault="002A4563" w14:paraId="0AAAA6AD" w14:textId="77777777">
                  <w:pPr>
                    <w:spacing w:before="0" w:after="0"/>
                    <w:jc w:val="right"/>
                    <w:rPr>
                      <w:color w:val="000000"/>
                      <w:sz w:val="18"/>
                      <w:szCs w:val="18"/>
                    </w:rPr>
                  </w:pPr>
                  <w:r w:rsidRPr="00A406E2">
                    <w:rPr>
                      <w:color w:val="000000"/>
                      <w:sz w:val="18"/>
                      <w:szCs w:val="18"/>
                    </w:rPr>
                    <w:t>-24</w:t>
                  </w:r>
                </w:p>
              </w:tc>
              <w:tc>
                <w:tcPr>
                  <w:tcW w:w="709" w:type="dxa"/>
                  <w:hideMark/>
                </w:tcPr>
                <w:p w:rsidRPr="00A406E2" w:rsidR="002A4563" w:rsidP="002A4563" w:rsidRDefault="002A4563" w14:paraId="4FC8EABB" w14:textId="77777777">
                  <w:pPr>
                    <w:spacing w:before="0" w:after="0"/>
                    <w:jc w:val="right"/>
                    <w:rPr>
                      <w:color w:val="000000"/>
                      <w:sz w:val="18"/>
                      <w:szCs w:val="18"/>
                    </w:rPr>
                  </w:pPr>
                  <w:r w:rsidRPr="00A406E2">
                    <w:rPr>
                      <w:color w:val="000000"/>
                      <w:sz w:val="18"/>
                      <w:szCs w:val="18"/>
                    </w:rPr>
                    <w:t>-24</w:t>
                  </w:r>
                </w:p>
              </w:tc>
            </w:tr>
            <w:tr w:rsidRPr="00A406E2" w:rsidR="002A4563" w:rsidTr="009638D7" w14:paraId="568CBABF" w14:textId="77777777">
              <w:trPr>
                <w:trHeight w:val="180"/>
              </w:trPr>
              <w:tc>
                <w:tcPr>
                  <w:tcW w:w="701" w:type="dxa"/>
                  <w:hideMark/>
                </w:tcPr>
                <w:p w:rsidRPr="00A406E2" w:rsidR="002A4563" w:rsidP="002A4563" w:rsidRDefault="002A4563" w14:paraId="17B63494" w14:textId="77777777">
                  <w:pPr>
                    <w:spacing w:before="0" w:after="0"/>
                    <w:rPr>
                      <w:color w:val="000000"/>
                      <w:sz w:val="18"/>
                      <w:szCs w:val="18"/>
                    </w:rPr>
                  </w:pPr>
                  <w:r w:rsidRPr="00A406E2">
                    <w:rPr>
                      <w:color w:val="000000"/>
                      <w:sz w:val="18"/>
                      <w:szCs w:val="18"/>
                    </w:rPr>
                    <w:t>16</w:t>
                  </w:r>
                </w:p>
              </w:tc>
              <w:tc>
                <w:tcPr>
                  <w:tcW w:w="1985" w:type="dxa"/>
                  <w:hideMark/>
                </w:tcPr>
                <w:p w:rsidRPr="00A406E2" w:rsidR="002A4563" w:rsidP="002A4563" w:rsidRDefault="002A4563" w14:paraId="440BCCBC" w14:textId="77777777">
                  <w:pPr>
                    <w:spacing w:before="0" w:after="0"/>
                    <w:rPr>
                      <w:color w:val="000000"/>
                      <w:sz w:val="18"/>
                      <w:szCs w:val="18"/>
                    </w:rPr>
                  </w:pPr>
                  <w:r w:rsidRPr="00A406E2">
                    <w:rPr>
                      <w:color w:val="000000"/>
                      <w:sz w:val="18"/>
                      <w:szCs w:val="18"/>
                    </w:rPr>
                    <w:t xml:space="preserve">Vereniging van </w:t>
                  </w:r>
                  <w:proofErr w:type="spellStart"/>
                  <w:r w:rsidRPr="00A406E2">
                    <w:rPr>
                      <w:color w:val="000000"/>
                      <w:sz w:val="18"/>
                      <w:szCs w:val="18"/>
                    </w:rPr>
                    <w:t>Science</w:t>
                  </w:r>
                  <w:proofErr w:type="spellEnd"/>
                  <w:r w:rsidRPr="00A406E2">
                    <w:rPr>
                      <w:color w:val="000000"/>
                      <w:sz w:val="18"/>
                      <w:szCs w:val="18"/>
                    </w:rPr>
                    <w:t xml:space="preserve"> Centers (VSC)</w:t>
                  </w:r>
                </w:p>
              </w:tc>
              <w:tc>
                <w:tcPr>
                  <w:tcW w:w="709" w:type="dxa"/>
                  <w:hideMark/>
                </w:tcPr>
                <w:p w:rsidRPr="00A406E2" w:rsidR="002A4563" w:rsidP="002A4563" w:rsidRDefault="002A4563" w14:paraId="13BA2044" w14:textId="77777777">
                  <w:pPr>
                    <w:spacing w:before="0" w:after="0"/>
                    <w:jc w:val="right"/>
                    <w:rPr>
                      <w:color w:val="000000"/>
                      <w:sz w:val="18"/>
                      <w:szCs w:val="18"/>
                    </w:rPr>
                  </w:pPr>
                  <w:r w:rsidRPr="00A406E2">
                    <w:rPr>
                      <w:color w:val="000000"/>
                      <w:sz w:val="18"/>
                      <w:szCs w:val="18"/>
                    </w:rPr>
                    <w:t>-7</w:t>
                  </w:r>
                </w:p>
              </w:tc>
              <w:tc>
                <w:tcPr>
                  <w:tcW w:w="708" w:type="dxa"/>
                  <w:hideMark/>
                </w:tcPr>
                <w:p w:rsidRPr="00A406E2" w:rsidR="002A4563" w:rsidP="002A4563" w:rsidRDefault="002A4563" w14:paraId="66748D9E" w14:textId="77777777">
                  <w:pPr>
                    <w:spacing w:before="0" w:after="0"/>
                    <w:jc w:val="right"/>
                    <w:rPr>
                      <w:color w:val="000000"/>
                      <w:sz w:val="18"/>
                      <w:szCs w:val="18"/>
                    </w:rPr>
                  </w:pPr>
                  <w:r w:rsidRPr="00A406E2">
                    <w:rPr>
                      <w:color w:val="000000"/>
                      <w:sz w:val="18"/>
                      <w:szCs w:val="18"/>
                    </w:rPr>
                    <w:t>-7</w:t>
                  </w:r>
                </w:p>
              </w:tc>
              <w:tc>
                <w:tcPr>
                  <w:tcW w:w="709" w:type="dxa"/>
                  <w:hideMark/>
                </w:tcPr>
                <w:p w:rsidRPr="00A406E2" w:rsidR="002A4563" w:rsidP="002A4563" w:rsidRDefault="002A4563" w14:paraId="2069DA17" w14:textId="77777777">
                  <w:pPr>
                    <w:spacing w:before="0" w:after="0"/>
                    <w:jc w:val="right"/>
                    <w:rPr>
                      <w:color w:val="000000"/>
                      <w:sz w:val="18"/>
                      <w:szCs w:val="18"/>
                    </w:rPr>
                  </w:pPr>
                  <w:r w:rsidRPr="00A406E2">
                    <w:rPr>
                      <w:color w:val="000000"/>
                      <w:sz w:val="18"/>
                      <w:szCs w:val="18"/>
                    </w:rPr>
                    <w:t>-323</w:t>
                  </w:r>
                </w:p>
              </w:tc>
              <w:tc>
                <w:tcPr>
                  <w:tcW w:w="709" w:type="dxa"/>
                  <w:hideMark/>
                </w:tcPr>
                <w:p w:rsidRPr="00A406E2" w:rsidR="002A4563" w:rsidP="002A4563" w:rsidRDefault="002A4563" w14:paraId="17E06938" w14:textId="77777777">
                  <w:pPr>
                    <w:spacing w:before="0" w:after="0"/>
                    <w:jc w:val="right"/>
                    <w:rPr>
                      <w:color w:val="000000"/>
                      <w:sz w:val="18"/>
                      <w:szCs w:val="18"/>
                    </w:rPr>
                  </w:pPr>
                  <w:r w:rsidRPr="00A406E2">
                    <w:rPr>
                      <w:color w:val="000000"/>
                      <w:sz w:val="18"/>
                      <w:szCs w:val="18"/>
                    </w:rPr>
                    <w:t>-323</w:t>
                  </w:r>
                </w:p>
              </w:tc>
              <w:tc>
                <w:tcPr>
                  <w:tcW w:w="709" w:type="dxa"/>
                  <w:hideMark/>
                </w:tcPr>
                <w:p w:rsidRPr="00A406E2" w:rsidR="002A4563" w:rsidP="002A4563" w:rsidRDefault="002A4563" w14:paraId="17313A0D" w14:textId="77777777">
                  <w:pPr>
                    <w:spacing w:before="0" w:after="0"/>
                    <w:jc w:val="right"/>
                    <w:rPr>
                      <w:color w:val="000000"/>
                      <w:sz w:val="18"/>
                      <w:szCs w:val="18"/>
                    </w:rPr>
                  </w:pPr>
                  <w:r w:rsidRPr="00A406E2">
                    <w:rPr>
                      <w:color w:val="000000"/>
                      <w:sz w:val="18"/>
                      <w:szCs w:val="18"/>
                    </w:rPr>
                    <w:t>-323</w:t>
                  </w:r>
                </w:p>
              </w:tc>
            </w:tr>
            <w:tr w:rsidRPr="00A406E2" w:rsidR="002A4563" w:rsidTr="009638D7" w14:paraId="536D6C88" w14:textId="77777777">
              <w:trPr>
                <w:trHeight w:val="360"/>
              </w:trPr>
              <w:tc>
                <w:tcPr>
                  <w:tcW w:w="701" w:type="dxa"/>
                  <w:hideMark/>
                </w:tcPr>
                <w:p w:rsidRPr="00A406E2" w:rsidR="002A4563" w:rsidP="002A4563" w:rsidRDefault="002A4563" w14:paraId="6FE509CD" w14:textId="77777777">
                  <w:pPr>
                    <w:spacing w:before="0" w:after="0"/>
                    <w:rPr>
                      <w:color w:val="000000"/>
                      <w:sz w:val="18"/>
                      <w:szCs w:val="18"/>
                    </w:rPr>
                  </w:pPr>
                  <w:r w:rsidRPr="00A406E2">
                    <w:rPr>
                      <w:color w:val="000000"/>
                      <w:sz w:val="18"/>
                      <w:szCs w:val="18"/>
                    </w:rPr>
                    <w:t>16</w:t>
                  </w:r>
                </w:p>
              </w:tc>
              <w:tc>
                <w:tcPr>
                  <w:tcW w:w="1985" w:type="dxa"/>
                  <w:hideMark/>
                </w:tcPr>
                <w:p w:rsidRPr="00A406E2" w:rsidR="002A4563" w:rsidP="002A4563" w:rsidRDefault="002A4563" w14:paraId="40B5E433" w14:textId="77777777">
                  <w:pPr>
                    <w:spacing w:before="0" w:after="0"/>
                    <w:rPr>
                      <w:color w:val="000000"/>
                      <w:sz w:val="18"/>
                      <w:szCs w:val="18"/>
                      <w:lang w:val="en-US"/>
                    </w:rPr>
                  </w:pPr>
                  <w:r w:rsidRPr="00A406E2">
                    <w:rPr>
                      <w:color w:val="000000"/>
                      <w:sz w:val="18"/>
                      <w:szCs w:val="18"/>
                      <w:lang w:val="en-US"/>
                    </w:rPr>
                    <w:t>Netherlands Academy of Engineering (NAE)</w:t>
                  </w:r>
                </w:p>
              </w:tc>
              <w:tc>
                <w:tcPr>
                  <w:tcW w:w="709" w:type="dxa"/>
                  <w:hideMark/>
                </w:tcPr>
                <w:p w:rsidRPr="00A406E2" w:rsidR="002A4563" w:rsidP="002A4563" w:rsidRDefault="002A4563" w14:paraId="1D005391" w14:textId="77777777">
                  <w:pPr>
                    <w:spacing w:before="0" w:after="0"/>
                    <w:jc w:val="right"/>
                    <w:rPr>
                      <w:color w:val="000000"/>
                      <w:sz w:val="18"/>
                      <w:szCs w:val="18"/>
                    </w:rPr>
                  </w:pPr>
                  <w:r w:rsidRPr="00A406E2">
                    <w:rPr>
                      <w:color w:val="000000"/>
                      <w:sz w:val="18"/>
                      <w:szCs w:val="18"/>
                    </w:rPr>
                    <w:t>-11</w:t>
                  </w:r>
                </w:p>
              </w:tc>
              <w:tc>
                <w:tcPr>
                  <w:tcW w:w="708" w:type="dxa"/>
                  <w:hideMark/>
                </w:tcPr>
                <w:p w:rsidRPr="00A406E2" w:rsidR="002A4563" w:rsidP="002A4563" w:rsidRDefault="002A4563" w14:paraId="3092AFC1" w14:textId="77777777">
                  <w:pPr>
                    <w:spacing w:before="0" w:after="0"/>
                    <w:jc w:val="right"/>
                    <w:rPr>
                      <w:color w:val="000000"/>
                      <w:sz w:val="18"/>
                      <w:szCs w:val="18"/>
                    </w:rPr>
                  </w:pPr>
                  <w:r w:rsidRPr="00A406E2">
                    <w:rPr>
                      <w:color w:val="000000"/>
                      <w:sz w:val="18"/>
                      <w:szCs w:val="18"/>
                    </w:rPr>
                    <w:t>-11</w:t>
                  </w:r>
                </w:p>
              </w:tc>
              <w:tc>
                <w:tcPr>
                  <w:tcW w:w="709" w:type="dxa"/>
                  <w:hideMark/>
                </w:tcPr>
                <w:p w:rsidRPr="00A406E2" w:rsidR="002A4563" w:rsidP="002A4563" w:rsidRDefault="002A4563" w14:paraId="066D3CEF" w14:textId="77777777">
                  <w:pPr>
                    <w:spacing w:before="0" w:after="0"/>
                    <w:jc w:val="right"/>
                    <w:rPr>
                      <w:color w:val="000000"/>
                      <w:sz w:val="18"/>
                      <w:szCs w:val="18"/>
                    </w:rPr>
                  </w:pPr>
                  <w:r w:rsidRPr="00A406E2">
                    <w:rPr>
                      <w:color w:val="000000"/>
                      <w:sz w:val="18"/>
                      <w:szCs w:val="18"/>
                    </w:rPr>
                    <w:t>-11</w:t>
                  </w:r>
                </w:p>
              </w:tc>
              <w:tc>
                <w:tcPr>
                  <w:tcW w:w="709" w:type="dxa"/>
                  <w:hideMark/>
                </w:tcPr>
                <w:p w:rsidRPr="00A406E2" w:rsidR="002A4563" w:rsidP="002A4563" w:rsidRDefault="002A4563" w14:paraId="27C74AAF" w14:textId="77777777">
                  <w:pPr>
                    <w:spacing w:before="0" w:after="0"/>
                    <w:jc w:val="right"/>
                    <w:rPr>
                      <w:color w:val="000000"/>
                      <w:sz w:val="18"/>
                      <w:szCs w:val="18"/>
                    </w:rPr>
                  </w:pPr>
                  <w:r w:rsidRPr="00A406E2">
                    <w:rPr>
                      <w:color w:val="000000"/>
                      <w:sz w:val="18"/>
                      <w:szCs w:val="18"/>
                    </w:rPr>
                    <w:t>-11</w:t>
                  </w:r>
                </w:p>
              </w:tc>
              <w:tc>
                <w:tcPr>
                  <w:tcW w:w="709" w:type="dxa"/>
                  <w:hideMark/>
                </w:tcPr>
                <w:p w:rsidRPr="00A406E2" w:rsidR="002A4563" w:rsidP="002A4563" w:rsidRDefault="002A4563" w14:paraId="2388D559" w14:textId="77777777">
                  <w:pPr>
                    <w:spacing w:before="0" w:after="0"/>
                    <w:jc w:val="right"/>
                    <w:rPr>
                      <w:color w:val="000000"/>
                      <w:sz w:val="18"/>
                      <w:szCs w:val="18"/>
                    </w:rPr>
                  </w:pPr>
                  <w:r w:rsidRPr="00A406E2">
                    <w:rPr>
                      <w:color w:val="000000"/>
                      <w:sz w:val="18"/>
                      <w:szCs w:val="18"/>
                    </w:rPr>
                    <w:t>-546</w:t>
                  </w:r>
                </w:p>
              </w:tc>
            </w:tr>
          </w:tbl>
          <w:p w:rsidRPr="00A406E2" w:rsidR="003E634A" w:rsidP="00552EC0" w:rsidRDefault="003E634A" w14:paraId="43506DA5" w14:textId="77777777">
            <w:pPr>
              <w:rPr>
                <w:sz w:val="24"/>
                <w:szCs w:val="24"/>
              </w:rPr>
            </w:pPr>
          </w:p>
          <w:p w:rsidRPr="00A406E2" w:rsidR="003E634A" w:rsidP="00552EC0" w:rsidRDefault="003E634A" w14:paraId="56F86767" w14:textId="5E9CE029">
            <w:pPr>
              <w:rPr>
                <w:sz w:val="24"/>
                <w:szCs w:val="24"/>
              </w:rPr>
            </w:pPr>
            <w:r w:rsidRPr="00A406E2">
              <w:rPr>
                <w:sz w:val="24"/>
                <w:szCs w:val="24"/>
              </w:rPr>
              <w:t xml:space="preserve">Naast bovenstaande budgetten wordt de subsidietaakstelling ingevuld door een korting op het budget voor overige subsidies van verschillende artikelen (€ 8,8 miljoen structureel) en het budget voor opdrachten (€ 0,5 miljoen structureel) en het </w:t>
            </w:r>
            <w:proofErr w:type="spellStart"/>
            <w:r w:rsidRPr="00A406E2">
              <w:rPr>
                <w:sz w:val="24"/>
                <w:szCs w:val="24"/>
              </w:rPr>
              <w:t>onderzoeksdeel</w:t>
            </w:r>
            <w:proofErr w:type="spellEnd"/>
            <w:r w:rsidRPr="00A406E2">
              <w:rPr>
                <w:sz w:val="24"/>
                <w:szCs w:val="24"/>
              </w:rPr>
              <w:t xml:space="preserve"> van de bekostiging wo (totaal 3,2 miljoen in de periode 2026-2030).</w:t>
            </w:r>
          </w:p>
        </w:tc>
        <w:tc>
          <w:tcPr>
            <w:tcW w:w="850" w:type="dxa"/>
          </w:tcPr>
          <w:p w:rsidRPr="00A406E2" w:rsidR="00552EC0" w:rsidP="00552EC0" w:rsidRDefault="00552EC0" w14:paraId="12A3C113" w14:textId="26DC463E">
            <w:pPr>
              <w:jc w:val="right"/>
              <w:rPr>
                <w:sz w:val="24"/>
                <w:szCs w:val="24"/>
              </w:rPr>
            </w:pPr>
            <w:r w:rsidRPr="00A406E2">
              <w:rPr>
                <w:sz w:val="24"/>
                <w:szCs w:val="24"/>
              </w:rPr>
              <w:lastRenderedPageBreak/>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552EC0" w14:paraId="2F32A389" w14:textId="77777777">
            <w:pPr>
              <w:jc w:val="right"/>
              <w:rPr>
                <w:sz w:val="24"/>
                <w:szCs w:val="24"/>
              </w:rPr>
            </w:pPr>
            <w:r w:rsidRPr="00A406E2">
              <w:rPr>
                <w:sz w:val="24"/>
                <w:szCs w:val="24"/>
              </w:rPr>
              <w:t>5</w:t>
            </w:r>
          </w:p>
        </w:tc>
        <w:tc>
          <w:tcPr>
            <w:tcW w:w="567" w:type="dxa"/>
          </w:tcPr>
          <w:p w:rsidRPr="00A406E2" w:rsidR="00552EC0" w:rsidP="00552EC0" w:rsidRDefault="00552EC0" w14:paraId="44B889FF" w14:textId="77777777">
            <w:pPr>
              <w:jc w:val="right"/>
              <w:rPr>
                <w:sz w:val="24"/>
                <w:szCs w:val="24"/>
              </w:rPr>
            </w:pPr>
            <w:r w:rsidRPr="00A406E2">
              <w:rPr>
                <w:sz w:val="24"/>
                <w:szCs w:val="24"/>
              </w:rPr>
              <w:t xml:space="preserve"> </w:t>
            </w:r>
          </w:p>
        </w:tc>
      </w:tr>
      <w:tr w:rsidRPr="00A406E2" w:rsidR="00552EC0" w:rsidTr="00B90BBB" w14:paraId="101366E7" w14:textId="77777777">
        <w:tc>
          <w:tcPr>
            <w:tcW w:w="567" w:type="dxa"/>
          </w:tcPr>
          <w:p w:rsidRPr="00A406E2" w:rsidR="00552EC0" w:rsidP="00552EC0" w:rsidRDefault="00552EC0" w14:paraId="7C30E2AD" w14:textId="5EA22740">
            <w:pPr>
              <w:rPr>
                <w:sz w:val="24"/>
                <w:szCs w:val="24"/>
              </w:rPr>
            </w:pPr>
            <w:r w:rsidRPr="00A406E2">
              <w:rPr>
                <w:sz w:val="24"/>
                <w:szCs w:val="24"/>
              </w:rPr>
              <w:t>11</w:t>
            </w:r>
          </w:p>
        </w:tc>
        <w:tc>
          <w:tcPr>
            <w:tcW w:w="6521" w:type="dxa"/>
          </w:tcPr>
          <w:p w:rsidRPr="00A406E2" w:rsidR="00552EC0" w:rsidP="00552EC0" w:rsidRDefault="00552EC0" w14:paraId="1B9BBB70" w14:textId="77777777">
            <w:pPr>
              <w:rPr>
                <w:sz w:val="24"/>
                <w:szCs w:val="24"/>
              </w:rPr>
            </w:pPr>
            <w:r w:rsidRPr="00A406E2">
              <w:rPr>
                <w:sz w:val="24"/>
                <w:szCs w:val="24"/>
              </w:rPr>
              <w:t>Hoe verhoudt deze subsidietaakstelling zich ten opzichte van de eerdere (structurele) subsidietaakstelling uit 2025?</w:t>
            </w:r>
          </w:p>
          <w:p w:rsidRPr="00A406E2" w:rsidR="003E634A" w:rsidP="003E634A" w:rsidRDefault="003E634A" w14:paraId="40726758" w14:textId="7A02BFF5">
            <w:pPr>
              <w:rPr>
                <w:sz w:val="24"/>
                <w:szCs w:val="24"/>
              </w:rPr>
            </w:pPr>
            <w:r w:rsidRPr="00A406E2">
              <w:rPr>
                <w:sz w:val="24"/>
                <w:szCs w:val="24"/>
              </w:rPr>
              <w:t xml:space="preserve">De subsidietaakstelling uit 2025 waaraan wordt gerefereerd was een bezuinigingsmaatregel van het kabinet Schoof. Het betrof een </w:t>
            </w:r>
            <w:proofErr w:type="spellStart"/>
            <w:r w:rsidRPr="00A406E2">
              <w:rPr>
                <w:sz w:val="24"/>
                <w:szCs w:val="24"/>
              </w:rPr>
              <w:t>rijksbrede</w:t>
            </w:r>
            <w:proofErr w:type="spellEnd"/>
            <w:r w:rsidRPr="00A406E2">
              <w:rPr>
                <w:sz w:val="24"/>
                <w:szCs w:val="24"/>
              </w:rPr>
              <w:t xml:space="preserve"> subsidietaakstelling van € 1 miljard die is verdeeld over de departementen. Het aandeel van OCW hierin was structureel € 361 miljoen. De Tweede Kamer is op 24 oktober 2024 geïnformeerd over de invulling hiervan.</w:t>
            </w:r>
          </w:p>
          <w:p w:rsidRPr="00A406E2" w:rsidR="003E634A" w:rsidP="00552EC0" w:rsidRDefault="003E634A" w14:paraId="7A74FF41" w14:textId="1459F7E1">
            <w:pPr>
              <w:rPr>
                <w:sz w:val="24"/>
                <w:szCs w:val="24"/>
              </w:rPr>
            </w:pPr>
            <w:r w:rsidRPr="00A406E2">
              <w:rPr>
                <w:sz w:val="24"/>
                <w:szCs w:val="24"/>
              </w:rPr>
              <w:t xml:space="preserve">De subsidietaakstelling in de Eerste suppletoire begroting van OCW is een bezuinigingsmaatregel van het kabinet </w:t>
            </w:r>
            <w:proofErr w:type="spellStart"/>
            <w:r w:rsidRPr="00A406E2">
              <w:rPr>
                <w:sz w:val="24"/>
                <w:szCs w:val="24"/>
              </w:rPr>
              <w:t>Jetten</w:t>
            </w:r>
            <w:proofErr w:type="spellEnd"/>
            <w:r w:rsidRPr="00A406E2">
              <w:rPr>
                <w:sz w:val="24"/>
                <w:szCs w:val="24"/>
              </w:rPr>
              <w:t xml:space="preserve">. Het betreft een </w:t>
            </w:r>
            <w:proofErr w:type="spellStart"/>
            <w:r w:rsidRPr="00A406E2">
              <w:rPr>
                <w:sz w:val="24"/>
                <w:szCs w:val="24"/>
              </w:rPr>
              <w:t>rijksbrede</w:t>
            </w:r>
            <w:proofErr w:type="spellEnd"/>
            <w:r w:rsidRPr="00A406E2">
              <w:rPr>
                <w:sz w:val="24"/>
                <w:szCs w:val="24"/>
              </w:rPr>
              <w:t xml:space="preserve"> subsidietaakstelling van structureel € 189 miljoen die is verdeeld over de departementen. Het aandeel van OCW hierin is structureel € 18 miljoen.</w:t>
            </w:r>
          </w:p>
        </w:tc>
        <w:tc>
          <w:tcPr>
            <w:tcW w:w="850" w:type="dxa"/>
          </w:tcPr>
          <w:p w:rsidRPr="00A406E2" w:rsidR="00552EC0" w:rsidP="00552EC0" w:rsidRDefault="00552EC0" w14:paraId="75715CEB" w14:textId="16B49BC1">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552EC0" w14:paraId="19068A66" w14:textId="77777777">
            <w:pPr>
              <w:jc w:val="right"/>
              <w:rPr>
                <w:sz w:val="24"/>
                <w:szCs w:val="24"/>
              </w:rPr>
            </w:pPr>
            <w:r w:rsidRPr="00A406E2">
              <w:rPr>
                <w:sz w:val="24"/>
                <w:szCs w:val="24"/>
              </w:rPr>
              <w:t>5</w:t>
            </w:r>
          </w:p>
        </w:tc>
        <w:tc>
          <w:tcPr>
            <w:tcW w:w="567" w:type="dxa"/>
          </w:tcPr>
          <w:p w:rsidRPr="00A406E2" w:rsidR="00552EC0" w:rsidP="00552EC0" w:rsidRDefault="00552EC0" w14:paraId="2AF83B9B" w14:textId="77777777">
            <w:pPr>
              <w:jc w:val="right"/>
              <w:rPr>
                <w:sz w:val="24"/>
                <w:szCs w:val="24"/>
              </w:rPr>
            </w:pPr>
            <w:r w:rsidRPr="00A406E2">
              <w:rPr>
                <w:sz w:val="24"/>
                <w:szCs w:val="24"/>
              </w:rPr>
              <w:t xml:space="preserve"> </w:t>
            </w:r>
          </w:p>
        </w:tc>
      </w:tr>
      <w:tr w:rsidRPr="00A406E2" w:rsidR="00552EC0" w:rsidTr="00B90BBB" w14:paraId="4178BCBA" w14:textId="77777777">
        <w:tc>
          <w:tcPr>
            <w:tcW w:w="567" w:type="dxa"/>
          </w:tcPr>
          <w:p w:rsidRPr="00A406E2" w:rsidR="00552EC0" w:rsidP="00552EC0" w:rsidRDefault="00552EC0" w14:paraId="535F6B3B" w14:textId="659FDE70">
            <w:pPr>
              <w:rPr>
                <w:sz w:val="24"/>
                <w:szCs w:val="24"/>
              </w:rPr>
            </w:pPr>
            <w:r w:rsidRPr="00A406E2">
              <w:rPr>
                <w:sz w:val="24"/>
                <w:szCs w:val="24"/>
              </w:rPr>
              <w:t>12</w:t>
            </w:r>
          </w:p>
        </w:tc>
        <w:tc>
          <w:tcPr>
            <w:tcW w:w="6521" w:type="dxa"/>
          </w:tcPr>
          <w:p w:rsidRPr="00A406E2" w:rsidR="00552EC0" w:rsidP="00552EC0" w:rsidRDefault="00552EC0" w14:paraId="3B4B5C3F" w14:textId="77777777">
            <w:pPr>
              <w:rPr>
                <w:sz w:val="24"/>
                <w:szCs w:val="24"/>
              </w:rPr>
            </w:pPr>
            <w:r w:rsidRPr="00A406E2">
              <w:rPr>
                <w:sz w:val="24"/>
                <w:szCs w:val="24"/>
              </w:rPr>
              <w:t>Komt de subsidietaakstelling van 2027 bovenop die van 2025?</w:t>
            </w:r>
          </w:p>
          <w:p w:rsidRPr="00A406E2" w:rsidR="003E634A" w:rsidP="00552EC0" w:rsidRDefault="00246D28" w14:paraId="0EA1A2EF" w14:textId="22A99C90">
            <w:pPr>
              <w:rPr>
                <w:sz w:val="24"/>
                <w:szCs w:val="24"/>
              </w:rPr>
            </w:pPr>
            <w:r w:rsidRPr="00A406E2">
              <w:rPr>
                <w:sz w:val="24"/>
                <w:szCs w:val="24"/>
              </w:rPr>
              <w:t>Ja, z</w:t>
            </w:r>
            <w:r w:rsidRPr="00A406E2" w:rsidR="003E634A">
              <w:rPr>
                <w:sz w:val="24"/>
                <w:szCs w:val="24"/>
              </w:rPr>
              <w:t xml:space="preserve">ie ook het antwoord op vraag 11. </w:t>
            </w:r>
          </w:p>
        </w:tc>
        <w:tc>
          <w:tcPr>
            <w:tcW w:w="850" w:type="dxa"/>
          </w:tcPr>
          <w:p w:rsidRPr="00A406E2" w:rsidR="00552EC0" w:rsidP="00552EC0" w:rsidRDefault="00552EC0" w14:paraId="69F45EE6" w14:textId="791B45DD">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552EC0" w14:paraId="5EE9809C" w14:textId="77777777">
            <w:pPr>
              <w:jc w:val="right"/>
              <w:rPr>
                <w:sz w:val="24"/>
                <w:szCs w:val="24"/>
              </w:rPr>
            </w:pPr>
            <w:r w:rsidRPr="00A406E2">
              <w:rPr>
                <w:sz w:val="24"/>
                <w:szCs w:val="24"/>
              </w:rPr>
              <w:t>5</w:t>
            </w:r>
          </w:p>
        </w:tc>
        <w:tc>
          <w:tcPr>
            <w:tcW w:w="567" w:type="dxa"/>
          </w:tcPr>
          <w:p w:rsidRPr="00A406E2" w:rsidR="00552EC0" w:rsidP="00552EC0" w:rsidRDefault="00552EC0" w14:paraId="3EF7BF75" w14:textId="77777777">
            <w:pPr>
              <w:jc w:val="right"/>
              <w:rPr>
                <w:sz w:val="24"/>
                <w:szCs w:val="24"/>
              </w:rPr>
            </w:pPr>
            <w:r w:rsidRPr="00A406E2">
              <w:rPr>
                <w:sz w:val="24"/>
                <w:szCs w:val="24"/>
              </w:rPr>
              <w:t xml:space="preserve"> </w:t>
            </w:r>
          </w:p>
        </w:tc>
      </w:tr>
      <w:tr w:rsidRPr="00A406E2" w:rsidR="00552EC0" w:rsidTr="00B90BBB" w14:paraId="0D5B7C15" w14:textId="77777777">
        <w:tc>
          <w:tcPr>
            <w:tcW w:w="567" w:type="dxa"/>
          </w:tcPr>
          <w:p w:rsidRPr="00A406E2" w:rsidR="00552EC0" w:rsidP="00552EC0" w:rsidRDefault="00552EC0" w14:paraId="4FED0183" w14:textId="5089DBA0">
            <w:pPr>
              <w:rPr>
                <w:sz w:val="24"/>
                <w:szCs w:val="24"/>
              </w:rPr>
            </w:pPr>
            <w:r w:rsidRPr="00A406E2">
              <w:rPr>
                <w:sz w:val="24"/>
                <w:szCs w:val="24"/>
              </w:rPr>
              <w:t>13</w:t>
            </w:r>
          </w:p>
        </w:tc>
        <w:tc>
          <w:tcPr>
            <w:tcW w:w="6521" w:type="dxa"/>
          </w:tcPr>
          <w:p w:rsidRPr="00A406E2" w:rsidR="00552EC0" w:rsidP="00552EC0" w:rsidRDefault="00552EC0" w14:paraId="1CC8F843" w14:textId="77777777">
            <w:pPr>
              <w:rPr>
                <w:sz w:val="24"/>
                <w:szCs w:val="24"/>
              </w:rPr>
            </w:pPr>
            <w:r w:rsidRPr="00A406E2">
              <w:rPr>
                <w:sz w:val="24"/>
                <w:szCs w:val="24"/>
              </w:rPr>
              <w:t>Klopt het beeld dat ook de verhoging van de arbeidsongeschiktheidspremie (</w:t>
            </w:r>
            <w:proofErr w:type="spellStart"/>
            <w:r w:rsidRPr="00A406E2">
              <w:rPr>
                <w:sz w:val="24"/>
                <w:szCs w:val="24"/>
              </w:rPr>
              <w:t>AOf</w:t>
            </w:r>
            <w:proofErr w:type="spellEnd"/>
            <w:r w:rsidRPr="00A406E2">
              <w:rPr>
                <w:sz w:val="24"/>
                <w:szCs w:val="24"/>
              </w:rPr>
              <w:t>-premie) en de afschaffing van de Inkomensvoorziening Volledig Arbeidsongeschikten (IVA) tot hogere kosten voor onderwijsinstellingen leiden?</w:t>
            </w:r>
          </w:p>
          <w:p w:rsidRPr="00A406E2" w:rsidR="00292A01" w:rsidP="00552EC0" w:rsidRDefault="00292A01" w14:paraId="185B374C" w14:textId="593C3AC6">
            <w:pPr>
              <w:rPr>
                <w:sz w:val="24"/>
                <w:szCs w:val="24"/>
              </w:rPr>
            </w:pPr>
            <w:r w:rsidRPr="00A406E2">
              <w:rPr>
                <w:sz w:val="24"/>
                <w:szCs w:val="24"/>
              </w:rPr>
              <w:t>D</w:t>
            </w:r>
            <w:r w:rsidRPr="00A406E2" w:rsidR="003E634A">
              <w:rPr>
                <w:sz w:val="24"/>
                <w:szCs w:val="24"/>
              </w:rPr>
              <w:t xml:space="preserve">e verhoging van de </w:t>
            </w:r>
            <w:proofErr w:type="spellStart"/>
            <w:r w:rsidRPr="00A406E2" w:rsidR="003E634A">
              <w:rPr>
                <w:sz w:val="24"/>
                <w:szCs w:val="24"/>
              </w:rPr>
              <w:t>AOf</w:t>
            </w:r>
            <w:proofErr w:type="spellEnd"/>
            <w:r w:rsidRPr="00A406E2" w:rsidR="003E634A">
              <w:rPr>
                <w:sz w:val="24"/>
                <w:szCs w:val="24"/>
              </w:rPr>
              <w:t xml:space="preserve">-premie werkt door in het onderwijs. Werkgevers in het onderwijs zijn verplicht deze premie te betalen voor elke werknemer die in loondienst werkt en de AOW-gerechtigde leeftijd nog niet heeft bereikt. </w:t>
            </w:r>
          </w:p>
          <w:p w:rsidRPr="00A406E2" w:rsidR="003E634A" w:rsidP="00552EC0" w:rsidRDefault="003E634A" w14:paraId="525FE58A" w14:textId="56F53766">
            <w:pPr>
              <w:rPr>
                <w:sz w:val="24"/>
                <w:szCs w:val="24"/>
              </w:rPr>
            </w:pPr>
            <w:r w:rsidRPr="00A406E2">
              <w:rPr>
                <w:sz w:val="24"/>
                <w:szCs w:val="24"/>
              </w:rPr>
              <w:t xml:space="preserve">Het (eventuele) effect van afschaffen van de IVA op de kosten voor onderwijsinstellingen is nog niet bekend. Bij de verdere uitwerking </w:t>
            </w:r>
            <w:r w:rsidRPr="00A406E2">
              <w:rPr>
                <w:sz w:val="24"/>
                <w:szCs w:val="24"/>
              </w:rPr>
              <w:lastRenderedPageBreak/>
              <w:t>zal moeten blijken welke gevolgen er precies zijn voor (onderwijs)werkgevers.</w:t>
            </w:r>
          </w:p>
        </w:tc>
        <w:tc>
          <w:tcPr>
            <w:tcW w:w="850" w:type="dxa"/>
          </w:tcPr>
          <w:p w:rsidRPr="00A406E2" w:rsidR="00552EC0" w:rsidP="00552EC0" w:rsidRDefault="00552EC0" w14:paraId="43F5CF00" w14:textId="07D3D2F8">
            <w:pPr>
              <w:jc w:val="right"/>
              <w:rPr>
                <w:sz w:val="24"/>
                <w:szCs w:val="24"/>
              </w:rPr>
            </w:pPr>
            <w:r w:rsidRPr="00A406E2">
              <w:rPr>
                <w:sz w:val="24"/>
                <w:szCs w:val="24"/>
              </w:rPr>
              <w:lastRenderedPageBreak/>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552EC0" w14:paraId="4813141B" w14:textId="77777777">
            <w:pPr>
              <w:jc w:val="right"/>
              <w:rPr>
                <w:sz w:val="24"/>
                <w:szCs w:val="24"/>
              </w:rPr>
            </w:pPr>
            <w:r w:rsidRPr="00A406E2">
              <w:rPr>
                <w:sz w:val="24"/>
                <w:szCs w:val="24"/>
              </w:rPr>
              <w:t>5</w:t>
            </w:r>
          </w:p>
        </w:tc>
        <w:tc>
          <w:tcPr>
            <w:tcW w:w="567" w:type="dxa"/>
          </w:tcPr>
          <w:p w:rsidRPr="00A406E2" w:rsidR="00552EC0" w:rsidP="00552EC0" w:rsidRDefault="00552EC0" w14:paraId="1EF7393C" w14:textId="77777777">
            <w:pPr>
              <w:jc w:val="right"/>
              <w:rPr>
                <w:sz w:val="24"/>
                <w:szCs w:val="24"/>
              </w:rPr>
            </w:pPr>
            <w:r w:rsidRPr="00A406E2">
              <w:rPr>
                <w:sz w:val="24"/>
                <w:szCs w:val="24"/>
              </w:rPr>
              <w:t xml:space="preserve"> </w:t>
            </w:r>
          </w:p>
        </w:tc>
      </w:tr>
      <w:tr w:rsidRPr="00A406E2" w:rsidR="00552EC0" w:rsidTr="00B90BBB" w14:paraId="0FCD5208" w14:textId="77777777">
        <w:tc>
          <w:tcPr>
            <w:tcW w:w="567" w:type="dxa"/>
          </w:tcPr>
          <w:p w:rsidRPr="00A406E2" w:rsidR="00552EC0" w:rsidP="00552EC0" w:rsidRDefault="00552EC0" w14:paraId="09B3D779" w14:textId="57AAE593">
            <w:pPr>
              <w:rPr>
                <w:sz w:val="24"/>
                <w:szCs w:val="24"/>
              </w:rPr>
            </w:pPr>
            <w:r w:rsidRPr="00A406E2">
              <w:rPr>
                <w:sz w:val="24"/>
                <w:szCs w:val="24"/>
              </w:rPr>
              <w:t>14</w:t>
            </w:r>
          </w:p>
        </w:tc>
        <w:tc>
          <w:tcPr>
            <w:tcW w:w="6521" w:type="dxa"/>
          </w:tcPr>
          <w:p w:rsidRPr="00A406E2" w:rsidR="00552EC0" w:rsidP="00552EC0" w:rsidRDefault="00552EC0" w14:paraId="1AD582EF" w14:textId="77777777">
            <w:pPr>
              <w:rPr>
                <w:sz w:val="24"/>
                <w:szCs w:val="24"/>
              </w:rPr>
            </w:pPr>
            <w:r w:rsidRPr="00A406E2">
              <w:rPr>
                <w:sz w:val="24"/>
                <w:szCs w:val="24"/>
              </w:rPr>
              <w:t xml:space="preserve">Worden onderwijsinstellingen gecompenseerd voor de hogere kosten door verhoging van de </w:t>
            </w:r>
            <w:proofErr w:type="spellStart"/>
            <w:r w:rsidRPr="00A406E2">
              <w:rPr>
                <w:sz w:val="24"/>
                <w:szCs w:val="24"/>
              </w:rPr>
              <w:t>AOf</w:t>
            </w:r>
            <w:proofErr w:type="spellEnd"/>
            <w:r w:rsidRPr="00A406E2">
              <w:rPr>
                <w:sz w:val="24"/>
                <w:szCs w:val="24"/>
              </w:rPr>
              <w:t>-premie en de afschaffing van de IVA?</w:t>
            </w:r>
          </w:p>
          <w:p w:rsidRPr="00A406E2" w:rsidR="003E634A" w:rsidP="00552EC0" w:rsidRDefault="00292A01" w14:paraId="535DE604" w14:textId="22DB1A2A">
            <w:pPr>
              <w:rPr>
                <w:sz w:val="24"/>
                <w:szCs w:val="24"/>
              </w:rPr>
            </w:pPr>
            <w:r w:rsidRPr="00A406E2">
              <w:rPr>
                <w:sz w:val="24"/>
                <w:szCs w:val="24"/>
              </w:rPr>
              <w:t>D</w:t>
            </w:r>
            <w:r w:rsidRPr="00A406E2" w:rsidR="003E634A">
              <w:rPr>
                <w:sz w:val="24"/>
                <w:szCs w:val="24"/>
              </w:rPr>
              <w:t xml:space="preserve">e ontwikkeling van de </w:t>
            </w:r>
            <w:proofErr w:type="spellStart"/>
            <w:r w:rsidRPr="00A406E2" w:rsidR="003E634A">
              <w:rPr>
                <w:sz w:val="24"/>
                <w:szCs w:val="24"/>
              </w:rPr>
              <w:t>AOf</w:t>
            </w:r>
            <w:proofErr w:type="spellEnd"/>
            <w:r w:rsidRPr="00A406E2" w:rsidR="003E634A">
              <w:rPr>
                <w:sz w:val="24"/>
                <w:szCs w:val="24"/>
              </w:rPr>
              <w:t xml:space="preserve">-premie maakt onderdeel uit van de jaarlijkse loonbijstelling (indexering) van de overheid voor overheids- en onderwijssectoren, de zogeheten ‘kabinetsbijdrage in de arbeidskostenontwikkeling’. De hoogte van de stijging van de kabinetsbijdrage volgt de marktontwikkelingen via de referentiesystematiek. </w:t>
            </w:r>
            <w:r w:rsidRPr="00A406E2" w:rsidR="002A3793">
              <w:rPr>
                <w:sz w:val="24"/>
                <w:szCs w:val="24"/>
              </w:rPr>
              <w:t>Zie voor de effecten op de afschaffing van de IVA het antwoord op vraag 13. Omdat het effect niet bekend is, is ook niet duidelijk of er al dan niet wordt gecompenseerd.</w:t>
            </w:r>
          </w:p>
        </w:tc>
        <w:tc>
          <w:tcPr>
            <w:tcW w:w="850" w:type="dxa"/>
          </w:tcPr>
          <w:p w:rsidRPr="00A406E2" w:rsidR="00552EC0" w:rsidP="00552EC0" w:rsidRDefault="00552EC0" w14:paraId="544E15F9" w14:textId="19A12F9E">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552EC0" w14:paraId="52ADC839" w14:textId="77777777">
            <w:pPr>
              <w:jc w:val="right"/>
              <w:rPr>
                <w:sz w:val="24"/>
                <w:szCs w:val="24"/>
              </w:rPr>
            </w:pPr>
            <w:r w:rsidRPr="00A406E2">
              <w:rPr>
                <w:sz w:val="24"/>
                <w:szCs w:val="24"/>
              </w:rPr>
              <w:t>5</w:t>
            </w:r>
          </w:p>
        </w:tc>
        <w:tc>
          <w:tcPr>
            <w:tcW w:w="567" w:type="dxa"/>
          </w:tcPr>
          <w:p w:rsidRPr="00A406E2" w:rsidR="00552EC0" w:rsidP="00552EC0" w:rsidRDefault="00552EC0" w14:paraId="6FE71995" w14:textId="77777777">
            <w:pPr>
              <w:jc w:val="right"/>
              <w:rPr>
                <w:sz w:val="24"/>
                <w:szCs w:val="24"/>
              </w:rPr>
            </w:pPr>
            <w:r w:rsidRPr="00A406E2">
              <w:rPr>
                <w:sz w:val="24"/>
                <w:szCs w:val="24"/>
              </w:rPr>
              <w:t xml:space="preserve"> </w:t>
            </w:r>
          </w:p>
        </w:tc>
      </w:tr>
      <w:tr w:rsidRPr="00A406E2" w:rsidR="00552EC0" w:rsidTr="00B90BBB" w14:paraId="0B6AF197" w14:textId="77777777">
        <w:tc>
          <w:tcPr>
            <w:tcW w:w="567" w:type="dxa"/>
          </w:tcPr>
          <w:p w:rsidRPr="00A406E2" w:rsidR="00552EC0" w:rsidP="00552EC0" w:rsidRDefault="00552EC0" w14:paraId="52D0BBC5" w14:textId="7E63F1D5">
            <w:pPr>
              <w:rPr>
                <w:sz w:val="24"/>
                <w:szCs w:val="24"/>
              </w:rPr>
            </w:pPr>
            <w:r w:rsidRPr="00A406E2">
              <w:rPr>
                <w:sz w:val="24"/>
                <w:szCs w:val="24"/>
              </w:rPr>
              <w:t>15</w:t>
            </w:r>
          </w:p>
        </w:tc>
        <w:tc>
          <w:tcPr>
            <w:tcW w:w="6521" w:type="dxa"/>
          </w:tcPr>
          <w:p w:rsidRPr="00A406E2" w:rsidR="00552EC0" w:rsidP="00552EC0" w:rsidRDefault="00552EC0" w14:paraId="54CAB040" w14:textId="77777777">
            <w:pPr>
              <w:rPr>
                <w:sz w:val="24"/>
                <w:szCs w:val="24"/>
              </w:rPr>
            </w:pPr>
            <w:r w:rsidRPr="00A406E2">
              <w:rPr>
                <w:sz w:val="24"/>
                <w:szCs w:val="24"/>
              </w:rPr>
              <w:t>In hoeverre dienen hogescholen en universiteiten nog te bezuinigingen als het aantal niet-Nederlandse EER-studenten dalend is en bovendien er vanaf 2027 extra budget (envelop onderwijs) uit het coalitieakkoord beschikbaar komt?</w:t>
            </w:r>
          </w:p>
          <w:p w:rsidRPr="00A406E2" w:rsidR="006D5935" w:rsidP="006D5935" w:rsidRDefault="006D5935" w14:paraId="3AB4925F" w14:textId="571B8BAB">
            <w:pPr>
              <w:rPr>
                <w:sz w:val="24"/>
                <w:szCs w:val="24"/>
              </w:rPr>
            </w:pPr>
            <w:r w:rsidRPr="00A406E2">
              <w:rPr>
                <w:sz w:val="24"/>
                <w:szCs w:val="24"/>
              </w:rPr>
              <w:t xml:space="preserve">Wat betreft de resterende bezuiniging gekoppeld aan internationale studenten is in de </w:t>
            </w:r>
            <w:r w:rsidRPr="00A406E2" w:rsidR="005D3371">
              <w:rPr>
                <w:sz w:val="24"/>
                <w:szCs w:val="24"/>
              </w:rPr>
              <w:t>E</w:t>
            </w:r>
            <w:r w:rsidRPr="00A406E2">
              <w:rPr>
                <w:sz w:val="24"/>
                <w:szCs w:val="24"/>
              </w:rPr>
              <w:t xml:space="preserve">erste suppletoire begroting 2026 een tabel opgenomen voor het hbo en wo tezamen. In de tabel hieronder is deze gespecificeerd voor het hbo en het wo: </w:t>
            </w:r>
          </w:p>
          <w:tbl>
            <w:tblPr>
              <w:tblW w:w="606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92"/>
              <w:gridCol w:w="851"/>
              <w:gridCol w:w="850"/>
              <w:gridCol w:w="851"/>
              <w:gridCol w:w="850"/>
              <w:gridCol w:w="851"/>
              <w:gridCol w:w="821"/>
            </w:tblGrid>
            <w:tr w:rsidRPr="00A406E2" w:rsidR="006D5935" w:rsidTr="009638D7" w14:paraId="55A83AC5" w14:textId="77777777">
              <w:trPr>
                <w:trHeight w:val="283"/>
              </w:trPr>
              <w:tc>
                <w:tcPr>
                  <w:tcW w:w="992" w:type="dxa"/>
                  <w:tcMar>
                    <w:top w:w="0" w:type="dxa"/>
                    <w:left w:w="70" w:type="dxa"/>
                    <w:bottom w:w="0" w:type="dxa"/>
                    <w:right w:w="70" w:type="dxa"/>
                  </w:tcMar>
                  <w:vAlign w:val="bottom"/>
                  <w:hideMark/>
                </w:tcPr>
                <w:p w:rsidRPr="00A406E2" w:rsidR="006D5935" w:rsidP="006D5935" w:rsidRDefault="006D5935" w14:paraId="37754B89" w14:textId="77777777">
                  <w:pPr>
                    <w:rPr>
                      <w:sz w:val="18"/>
                      <w:szCs w:val="18"/>
                    </w:rPr>
                  </w:pPr>
                  <w:r w:rsidRPr="00A406E2">
                    <w:rPr>
                      <w:sz w:val="18"/>
                      <w:szCs w:val="18"/>
                    </w:rPr>
                    <w:t>(x € 1.000)</w:t>
                  </w:r>
                </w:p>
              </w:tc>
              <w:tc>
                <w:tcPr>
                  <w:tcW w:w="851" w:type="dxa"/>
                  <w:noWrap/>
                  <w:tcMar>
                    <w:top w:w="0" w:type="dxa"/>
                    <w:left w:w="70" w:type="dxa"/>
                    <w:bottom w:w="0" w:type="dxa"/>
                    <w:right w:w="70" w:type="dxa"/>
                  </w:tcMar>
                  <w:vAlign w:val="bottom"/>
                  <w:hideMark/>
                </w:tcPr>
                <w:p w:rsidRPr="00A406E2" w:rsidR="006D5935" w:rsidP="006D5935" w:rsidRDefault="006D5935" w14:paraId="29DFA40F" w14:textId="77777777">
                  <w:pPr>
                    <w:jc w:val="right"/>
                    <w:rPr>
                      <w:b/>
                      <w:bCs/>
                      <w:sz w:val="18"/>
                      <w:szCs w:val="18"/>
                    </w:rPr>
                  </w:pPr>
                  <w:r w:rsidRPr="00A406E2">
                    <w:rPr>
                      <w:b/>
                      <w:bCs/>
                      <w:sz w:val="18"/>
                      <w:szCs w:val="18"/>
                    </w:rPr>
                    <w:t>2026</w:t>
                  </w:r>
                </w:p>
              </w:tc>
              <w:tc>
                <w:tcPr>
                  <w:tcW w:w="850" w:type="dxa"/>
                  <w:noWrap/>
                  <w:tcMar>
                    <w:top w:w="0" w:type="dxa"/>
                    <w:left w:w="70" w:type="dxa"/>
                    <w:bottom w:w="0" w:type="dxa"/>
                    <w:right w:w="70" w:type="dxa"/>
                  </w:tcMar>
                  <w:vAlign w:val="bottom"/>
                  <w:hideMark/>
                </w:tcPr>
                <w:p w:rsidRPr="00A406E2" w:rsidR="006D5935" w:rsidP="006D5935" w:rsidRDefault="006D5935" w14:paraId="03A58C66" w14:textId="77777777">
                  <w:pPr>
                    <w:jc w:val="right"/>
                    <w:rPr>
                      <w:b/>
                      <w:bCs/>
                      <w:sz w:val="18"/>
                      <w:szCs w:val="18"/>
                    </w:rPr>
                  </w:pPr>
                  <w:r w:rsidRPr="00A406E2">
                    <w:rPr>
                      <w:b/>
                      <w:bCs/>
                      <w:sz w:val="18"/>
                      <w:szCs w:val="18"/>
                    </w:rPr>
                    <w:t>2027</w:t>
                  </w:r>
                </w:p>
              </w:tc>
              <w:tc>
                <w:tcPr>
                  <w:tcW w:w="851" w:type="dxa"/>
                  <w:noWrap/>
                  <w:tcMar>
                    <w:top w:w="0" w:type="dxa"/>
                    <w:left w:w="70" w:type="dxa"/>
                    <w:bottom w:w="0" w:type="dxa"/>
                    <w:right w:w="70" w:type="dxa"/>
                  </w:tcMar>
                  <w:vAlign w:val="bottom"/>
                  <w:hideMark/>
                </w:tcPr>
                <w:p w:rsidRPr="00A406E2" w:rsidR="006D5935" w:rsidP="006D5935" w:rsidRDefault="006D5935" w14:paraId="0107DA55" w14:textId="77777777">
                  <w:pPr>
                    <w:jc w:val="right"/>
                    <w:rPr>
                      <w:b/>
                      <w:bCs/>
                      <w:sz w:val="18"/>
                      <w:szCs w:val="18"/>
                    </w:rPr>
                  </w:pPr>
                  <w:r w:rsidRPr="00A406E2">
                    <w:rPr>
                      <w:b/>
                      <w:bCs/>
                      <w:sz w:val="18"/>
                      <w:szCs w:val="18"/>
                    </w:rPr>
                    <w:t>2028</w:t>
                  </w:r>
                </w:p>
              </w:tc>
              <w:tc>
                <w:tcPr>
                  <w:tcW w:w="850" w:type="dxa"/>
                  <w:noWrap/>
                  <w:tcMar>
                    <w:top w:w="0" w:type="dxa"/>
                    <w:left w:w="70" w:type="dxa"/>
                    <w:bottom w:w="0" w:type="dxa"/>
                    <w:right w:w="70" w:type="dxa"/>
                  </w:tcMar>
                  <w:vAlign w:val="bottom"/>
                  <w:hideMark/>
                </w:tcPr>
                <w:p w:rsidRPr="00A406E2" w:rsidR="006D5935" w:rsidP="006D5935" w:rsidRDefault="006D5935" w14:paraId="254FA7FA" w14:textId="77777777">
                  <w:pPr>
                    <w:jc w:val="right"/>
                    <w:rPr>
                      <w:b/>
                      <w:bCs/>
                      <w:sz w:val="18"/>
                      <w:szCs w:val="18"/>
                    </w:rPr>
                  </w:pPr>
                  <w:r w:rsidRPr="00A406E2">
                    <w:rPr>
                      <w:b/>
                      <w:bCs/>
                      <w:sz w:val="18"/>
                      <w:szCs w:val="18"/>
                    </w:rPr>
                    <w:t>2029</w:t>
                  </w:r>
                </w:p>
              </w:tc>
              <w:tc>
                <w:tcPr>
                  <w:tcW w:w="851" w:type="dxa"/>
                  <w:noWrap/>
                  <w:tcMar>
                    <w:top w:w="0" w:type="dxa"/>
                    <w:left w:w="70" w:type="dxa"/>
                    <w:bottom w:w="0" w:type="dxa"/>
                    <w:right w:w="70" w:type="dxa"/>
                  </w:tcMar>
                  <w:vAlign w:val="bottom"/>
                  <w:hideMark/>
                </w:tcPr>
                <w:p w:rsidRPr="00A406E2" w:rsidR="006D5935" w:rsidP="006D5935" w:rsidRDefault="006D5935" w14:paraId="7BEBE507" w14:textId="77777777">
                  <w:pPr>
                    <w:jc w:val="right"/>
                    <w:rPr>
                      <w:b/>
                      <w:bCs/>
                      <w:sz w:val="18"/>
                      <w:szCs w:val="18"/>
                    </w:rPr>
                  </w:pPr>
                  <w:r w:rsidRPr="00A406E2">
                    <w:rPr>
                      <w:b/>
                      <w:bCs/>
                      <w:sz w:val="18"/>
                      <w:szCs w:val="18"/>
                    </w:rPr>
                    <w:t>2030</w:t>
                  </w:r>
                </w:p>
              </w:tc>
              <w:tc>
                <w:tcPr>
                  <w:tcW w:w="821" w:type="dxa"/>
                  <w:noWrap/>
                  <w:tcMar>
                    <w:top w:w="0" w:type="dxa"/>
                    <w:left w:w="70" w:type="dxa"/>
                    <w:bottom w:w="0" w:type="dxa"/>
                    <w:right w:w="70" w:type="dxa"/>
                  </w:tcMar>
                  <w:vAlign w:val="bottom"/>
                  <w:hideMark/>
                </w:tcPr>
                <w:p w:rsidRPr="00A406E2" w:rsidR="006D5935" w:rsidP="006D5935" w:rsidRDefault="006D5935" w14:paraId="23BE46A0" w14:textId="77777777">
                  <w:pPr>
                    <w:jc w:val="right"/>
                    <w:rPr>
                      <w:b/>
                      <w:bCs/>
                      <w:sz w:val="18"/>
                      <w:szCs w:val="18"/>
                    </w:rPr>
                  </w:pPr>
                  <w:r w:rsidRPr="00A406E2">
                    <w:rPr>
                      <w:b/>
                      <w:bCs/>
                      <w:sz w:val="18"/>
                      <w:szCs w:val="18"/>
                    </w:rPr>
                    <w:t>2031</w:t>
                  </w:r>
                </w:p>
              </w:tc>
            </w:tr>
            <w:tr w:rsidRPr="00A406E2" w:rsidR="006D5935" w:rsidTr="009638D7" w14:paraId="798D7C2B" w14:textId="77777777">
              <w:trPr>
                <w:trHeight w:val="250"/>
              </w:trPr>
              <w:tc>
                <w:tcPr>
                  <w:tcW w:w="992" w:type="dxa"/>
                  <w:noWrap/>
                  <w:tcMar>
                    <w:top w:w="0" w:type="dxa"/>
                    <w:left w:w="70" w:type="dxa"/>
                    <w:bottom w:w="0" w:type="dxa"/>
                    <w:right w:w="70" w:type="dxa"/>
                  </w:tcMar>
                  <w:vAlign w:val="bottom"/>
                  <w:hideMark/>
                </w:tcPr>
                <w:p w:rsidRPr="00A406E2" w:rsidR="006D5935" w:rsidP="006D5935" w:rsidRDefault="006D5935" w14:paraId="31E37ED2" w14:textId="77777777">
                  <w:pPr>
                    <w:rPr>
                      <w:sz w:val="18"/>
                      <w:szCs w:val="18"/>
                    </w:rPr>
                  </w:pPr>
                  <w:r w:rsidRPr="00A406E2">
                    <w:rPr>
                      <w:sz w:val="18"/>
                      <w:szCs w:val="18"/>
                    </w:rPr>
                    <w:t>hbo</w:t>
                  </w:r>
                </w:p>
              </w:tc>
              <w:tc>
                <w:tcPr>
                  <w:tcW w:w="851" w:type="dxa"/>
                  <w:noWrap/>
                  <w:tcMar>
                    <w:top w:w="0" w:type="dxa"/>
                    <w:left w:w="70" w:type="dxa"/>
                    <w:bottom w:w="0" w:type="dxa"/>
                    <w:right w:w="70" w:type="dxa"/>
                  </w:tcMar>
                  <w:vAlign w:val="bottom"/>
                  <w:hideMark/>
                </w:tcPr>
                <w:p w:rsidRPr="00A406E2" w:rsidR="006D5935" w:rsidP="006D5935" w:rsidRDefault="006D5935" w14:paraId="7F84FD4D" w14:textId="77777777">
                  <w:pPr>
                    <w:jc w:val="right"/>
                    <w:rPr>
                      <w:sz w:val="18"/>
                      <w:szCs w:val="18"/>
                    </w:rPr>
                  </w:pPr>
                  <w:r w:rsidRPr="00A406E2">
                    <w:rPr>
                      <w:sz w:val="18"/>
                      <w:szCs w:val="18"/>
                    </w:rPr>
                    <w:t xml:space="preserve">1.879 </w:t>
                  </w:r>
                </w:p>
              </w:tc>
              <w:tc>
                <w:tcPr>
                  <w:tcW w:w="850" w:type="dxa"/>
                  <w:noWrap/>
                  <w:tcMar>
                    <w:top w:w="0" w:type="dxa"/>
                    <w:left w:w="70" w:type="dxa"/>
                    <w:bottom w:w="0" w:type="dxa"/>
                    <w:right w:w="70" w:type="dxa"/>
                  </w:tcMar>
                  <w:vAlign w:val="bottom"/>
                  <w:hideMark/>
                </w:tcPr>
                <w:p w:rsidRPr="00A406E2" w:rsidR="006D5935" w:rsidP="006D5935" w:rsidRDefault="006D5935" w14:paraId="2BF669F6" w14:textId="77777777">
                  <w:pPr>
                    <w:jc w:val="right"/>
                    <w:rPr>
                      <w:sz w:val="18"/>
                      <w:szCs w:val="18"/>
                    </w:rPr>
                  </w:pPr>
                  <w:r w:rsidRPr="00A406E2">
                    <w:rPr>
                      <w:sz w:val="18"/>
                      <w:szCs w:val="18"/>
                    </w:rPr>
                    <w:t xml:space="preserve">9.132 </w:t>
                  </w:r>
                </w:p>
              </w:tc>
              <w:tc>
                <w:tcPr>
                  <w:tcW w:w="851" w:type="dxa"/>
                  <w:noWrap/>
                  <w:tcMar>
                    <w:top w:w="0" w:type="dxa"/>
                    <w:left w:w="70" w:type="dxa"/>
                    <w:bottom w:w="0" w:type="dxa"/>
                    <w:right w:w="70" w:type="dxa"/>
                  </w:tcMar>
                  <w:vAlign w:val="bottom"/>
                  <w:hideMark/>
                </w:tcPr>
                <w:p w:rsidRPr="00A406E2" w:rsidR="006D5935" w:rsidP="006D5935" w:rsidRDefault="006D5935" w14:paraId="274BC6EE" w14:textId="77777777">
                  <w:pPr>
                    <w:jc w:val="right"/>
                    <w:rPr>
                      <w:sz w:val="18"/>
                      <w:szCs w:val="18"/>
                    </w:rPr>
                  </w:pPr>
                  <w:r w:rsidRPr="00A406E2">
                    <w:rPr>
                      <w:sz w:val="18"/>
                      <w:szCs w:val="18"/>
                    </w:rPr>
                    <w:t xml:space="preserve">14.846 </w:t>
                  </w:r>
                </w:p>
              </w:tc>
              <w:tc>
                <w:tcPr>
                  <w:tcW w:w="850" w:type="dxa"/>
                  <w:noWrap/>
                  <w:tcMar>
                    <w:top w:w="0" w:type="dxa"/>
                    <w:left w:w="70" w:type="dxa"/>
                    <w:bottom w:w="0" w:type="dxa"/>
                    <w:right w:w="70" w:type="dxa"/>
                  </w:tcMar>
                  <w:vAlign w:val="bottom"/>
                  <w:hideMark/>
                </w:tcPr>
                <w:p w:rsidRPr="00A406E2" w:rsidR="006D5935" w:rsidP="006D5935" w:rsidRDefault="006D5935" w14:paraId="211B53A8" w14:textId="77777777">
                  <w:pPr>
                    <w:jc w:val="right"/>
                    <w:rPr>
                      <w:sz w:val="18"/>
                      <w:szCs w:val="18"/>
                    </w:rPr>
                  </w:pPr>
                  <w:r w:rsidRPr="00A406E2">
                    <w:rPr>
                      <w:sz w:val="18"/>
                      <w:szCs w:val="18"/>
                    </w:rPr>
                    <w:t xml:space="preserve">14.229 </w:t>
                  </w:r>
                </w:p>
              </w:tc>
              <w:tc>
                <w:tcPr>
                  <w:tcW w:w="851" w:type="dxa"/>
                  <w:noWrap/>
                  <w:tcMar>
                    <w:top w:w="0" w:type="dxa"/>
                    <w:left w:w="70" w:type="dxa"/>
                    <w:bottom w:w="0" w:type="dxa"/>
                    <w:right w:w="70" w:type="dxa"/>
                  </w:tcMar>
                  <w:vAlign w:val="bottom"/>
                  <w:hideMark/>
                </w:tcPr>
                <w:p w:rsidRPr="00A406E2" w:rsidR="006D5935" w:rsidP="006D5935" w:rsidRDefault="006D5935" w14:paraId="30651A8A" w14:textId="77777777">
                  <w:pPr>
                    <w:jc w:val="right"/>
                    <w:rPr>
                      <w:sz w:val="18"/>
                      <w:szCs w:val="18"/>
                    </w:rPr>
                  </w:pPr>
                  <w:r w:rsidRPr="00A406E2">
                    <w:rPr>
                      <w:sz w:val="18"/>
                      <w:szCs w:val="18"/>
                    </w:rPr>
                    <w:t xml:space="preserve">369 </w:t>
                  </w:r>
                </w:p>
              </w:tc>
              <w:tc>
                <w:tcPr>
                  <w:tcW w:w="821" w:type="dxa"/>
                  <w:noWrap/>
                  <w:tcMar>
                    <w:top w:w="0" w:type="dxa"/>
                    <w:left w:w="70" w:type="dxa"/>
                    <w:bottom w:w="0" w:type="dxa"/>
                    <w:right w:w="70" w:type="dxa"/>
                  </w:tcMar>
                  <w:vAlign w:val="bottom"/>
                  <w:hideMark/>
                </w:tcPr>
                <w:p w:rsidRPr="00A406E2" w:rsidR="006D5935" w:rsidP="006D5935" w:rsidRDefault="006D5935" w14:paraId="31B7F70D" w14:textId="77777777">
                  <w:pPr>
                    <w:jc w:val="right"/>
                    <w:rPr>
                      <w:sz w:val="18"/>
                      <w:szCs w:val="18"/>
                    </w:rPr>
                  </w:pPr>
                  <w:r w:rsidRPr="00A406E2">
                    <w:rPr>
                      <w:sz w:val="18"/>
                      <w:szCs w:val="18"/>
                    </w:rPr>
                    <w:t xml:space="preserve">-   </w:t>
                  </w:r>
                </w:p>
              </w:tc>
            </w:tr>
            <w:tr w:rsidRPr="00A406E2" w:rsidR="006D5935" w:rsidTr="009638D7" w14:paraId="5A7F9506" w14:textId="77777777">
              <w:trPr>
                <w:trHeight w:val="250"/>
              </w:trPr>
              <w:tc>
                <w:tcPr>
                  <w:tcW w:w="992" w:type="dxa"/>
                  <w:noWrap/>
                  <w:tcMar>
                    <w:top w:w="0" w:type="dxa"/>
                    <w:left w:w="70" w:type="dxa"/>
                    <w:bottom w:w="0" w:type="dxa"/>
                    <w:right w:w="70" w:type="dxa"/>
                  </w:tcMar>
                  <w:vAlign w:val="bottom"/>
                  <w:hideMark/>
                </w:tcPr>
                <w:p w:rsidRPr="00A406E2" w:rsidR="006D5935" w:rsidP="006D5935" w:rsidRDefault="006D5935" w14:paraId="43E184A4" w14:textId="77777777">
                  <w:pPr>
                    <w:rPr>
                      <w:sz w:val="18"/>
                      <w:szCs w:val="18"/>
                    </w:rPr>
                  </w:pPr>
                  <w:r w:rsidRPr="00A406E2">
                    <w:rPr>
                      <w:sz w:val="18"/>
                      <w:szCs w:val="18"/>
                    </w:rPr>
                    <w:t>wo</w:t>
                  </w:r>
                </w:p>
              </w:tc>
              <w:tc>
                <w:tcPr>
                  <w:tcW w:w="851" w:type="dxa"/>
                  <w:noWrap/>
                  <w:tcMar>
                    <w:top w:w="0" w:type="dxa"/>
                    <w:left w:w="70" w:type="dxa"/>
                    <w:bottom w:w="0" w:type="dxa"/>
                    <w:right w:w="70" w:type="dxa"/>
                  </w:tcMar>
                  <w:vAlign w:val="bottom"/>
                  <w:hideMark/>
                </w:tcPr>
                <w:p w:rsidRPr="00A406E2" w:rsidR="006D5935" w:rsidP="006D5935" w:rsidRDefault="006D5935" w14:paraId="3DAA6DB5" w14:textId="77777777">
                  <w:pPr>
                    <w:jc w:val="right"/>
                    <w:rPr>
                      <w:sz w:val="18"/>
                      <w:szCs w:val="18"/>
                    </w:rPr>
                  </w:pPr>
                  <w:r w:rsidRPr="00A406E2">
                    <w:rPr>
                      <w:sz w:val="18"/>
                      <w:szCs w:val="18"/>
                    </w:rPr>
                    <w:t xml:space="preserve">4.108 </w:t>
                  </w:r>
                </w:p>
              </w:tc>
              <w:tc>
                <w:tcPr>
                  <w:tcW w:w="850" w:type="dxa"/>
                  <w:noWrap/>
                  <w:tcMar>
                    <w:top w:w="0" w:type="dxa"/>
                    <w:left w:w="70" w:type="dxa"/>
                    <w:bottom w:w="0" w:type="dxa"/>
                    <w:right w:w="70" w:type="dxa"/>
                  </w:tcMar>
                  <w:vAlign w:val="bottom"/>
                  <w:hideMark/>
                </w:tcPr>
                <w:p w:rsidRPr="00A406E2" w:rsidR="006D5935" w:rsidP="006D5935" w:rsidRDefault="006D5935" w14:paraId="4E3F8255" w14:textId="77777777">
                  <w:pPr>
                    <w:jc w:val="right"/>
                    <w:rPr>
                      <w:sz w:val="18"/>
                      <w:szCs w:val="18"/>
                    </w:rPr>
                  </w:pPr>
                  <w:r w:rsidRPr="00A406E2">
                    <w:rPr>
                      <w:sz w:val="18"/>
                      <w:szCs w:val="18"/>
                    </w:rPr>
                    <w:t xml:space="preserve">15.814 </w:t>
                  </w:r>
                </w:p>
              </w:tc>
              <w:tc>
                <w:tcPr>
                  <w:tcW w:w="851" w:type="dxa"/>
                  <w:noWrap/>
                  <w:tcMar>
                    <w:top w:w="0" w:type="dxa"/>
                    <w:left w:w="70" w:type="dxa"/>
                    <w:bottom w:w="0" w:type="dxa"/>
                    <w:right w:w="70" w:type="dxa"/>
                  </w:tcMar>
                  <w:vAlign w:val="bottom"/>
                  <w:hideMark/>
                </w:tcPr>
                <w:p w:rsidRPr="00A406E2" w:rsidR="006D5935" w:rsidP="006D5935" w:rsidRDefault="006D5935" w14:paraId="7577DEF4" w14:textId="77777777">
                  <w:pPr>
                    <w:jc w:val="right"/>
                    <w:rPr>
                      <w:sz w:val="18"/>
                      <w:szCs w:val="18"/>
                    </w:rPr>
                  </w:pPr>
                  <w:r w:rsidRPr="00A406E2">
                    <w:rPr>
                      <w:sz w:val="18"/>
                      <w:szCs w:val="18"/>
                    </w:rPr>
                    <w:t xml:space="preserve">29.069 </w:t>
                  </w:r>
                </w:p>
              </w:tc>
              <w:tc>
                <w:tcPr>
                  <w:tcW w:w="850" w:type="dxa"/>
                  <w:noWrap/>
                  <w:tcMar>
                    <w:top w:w="0" w:type="dxa"/>
                    <w:left w:w="70" w:type="dxa"/>
                    <w:bottom w:w="0" w:type="dxa"/>
                    <w:right w:w="70" w:type="dxa"/>
                  </w:tcMar>
                  <w:vAlign w:val="bottom"/>
                  <w:hideMark/>
                </w:tcPr>
                <w:p w:rsidRPr="00A406E2" w:rsidR="006D5935" w:rsidP="006D5935" w:rsidRDefault="006D5935" w14:paraId="12B11BF2" w14:textId="77777777">
                  <w:pPr>
                    <w:jc w:val="right"/>
                    <w:rPr>
                      <w:sz w:val="18"/>
                      <w:szCs w:val="18"/>
                    </w:rPr>
                  </w:pPr>
                  <w:r w:rsidRPr="00A406E2">
                    <w:rPr>
                      <w:sz w:val="18"/>
                      <w:szCs w:val="18"/>
                    </w:rPr>
                    <w:t xml:space="preserve">28.316 </w:t>
                  </w:r>
                </w:p>
              </w:tc>
              <w:tc>
                <w:tcPr>
                  <w:tcW w:w="851" w:type="dxa"/>
                  <w:noWrap/>
                  <w:tcMar>
                    <w:top w:w="0" w:type="dxa"/>
                    <w:left w:w="70" w:type="dxa"/>
                    <w:bottom w:w="0" w:type="dxa"/>
                    <w:right w:w="70" w:type="dxa"/>
                  </w:tcMar>
                  <w:vAlign w:val="bottom"/>
                  <w:hideMark/>
                </w:tcPr>
                <w:p w:rsidRPr="00A406E2" w:rsidR="006D5935" w:rsidP="006D5935" w:rsidRDefault="006D5935" w14:paraId="2F89DC92" w14:textId="77777777">
                  <w:pPr>
                    <w:jc w:val="right"/>
                    <w:rPr>
                      <w:sz w:val="18"/>
                      <w:szCs w:val="18"/>
                    </w:rPr>
                  </w:pPr>
                  <w:r w:rsidRPr="00A406E2">
                    <w:rPr>
                      <w:sz w:val="18"/>
                      <w:szCs w:val="18"/>
                    </w:rPr>
                    <w:t xml:space="preserve">-   </w:t>
                  </w:r>
                </w:p>
              </w:tc>
              <w:tc>
                <w:tcPr>
                  <w:tcW w:w="821" w:type="dxa"/>
                  <w:noWrap/>
                  <w:tcMar>
                    <w:top w:w="0" w:type="dxa"/>
                    <w:left w:w="70" w:type="dxa"/>
                    <w:bottom w:w="0" w:type="dxa"/>
                    <w:right w:w="70" w:type="dxa"/>
                  </w:tcMar>
                  <w:vAlign w:val="bottom"/>
                  <w:hideMark/>
                </w:tcPr>
                <w:p w:rsidRPr="00A406E2" w:rsidR="006D5935" w:rsidP="006D5935" w:rsidRDefault="006D5935" w14:paraId="56DF95B8" w14:textId="77777777">
                  <w:pPr>
                    <w:jc w:val="right"/>
                    <w:rPr>
                      <w:sz w:val="18"/>
                      <w:szCs w:val="18"/>
                    </w:rPr>
                  </w:pPr>
                  <w:r w:rsidRPr="00A406E2">
                    <w:rPr>
                      <w:sz w:val="18"/>
                      <w:szCs w:val="18"/>
                    </w:rPr>
                    <w:t xml:space="preserve">-   </w:t>
                  </w:r>
                </w:p>
              </w:tc>
            </w:tr>
            <w:tr w:rsidRPr="00A406E2" w:rsidR="006D5935" w:rsidTr="009638D7" w14:paraId="0D3462FC" w14:textId="77777777">
              <w:trPr>
                <w:trHeight w:val="250"/>
              </w:trPr>
              <w:tc>
                <w:tcPr>
                  <w:tcW w:w="992" w:type="dxa"/>
                  <w:noWrap/>
                  <w:tcMar>
                    <w:top w:w="0" w:type="dxa"/>
                    <w:left w:w="70" w:type="dxa"/>
                    <w:bottom w:w="0" w:type="dxa"/>
                    <w:right w:w="70" w:type="dxa"/>
                  </w:tcMar>
                  <w:vAlign w:val="bottom"/>
                  <w:hideMark/>
                </w:tcPr>
                <w:p w:rsidRPr="00A406E2" w:rsidR="006D5935" w:rsidP="006D5935" w:rsidRDefault="006D5935" w14:paraId="6B84F792" w14:textId="77777777">
                  <w:pPr>
                    <w:rPr>
                      <w:sz w:val="18"/>
                      <w:szCs w:val="18"/>
                    </w:rPr>
                  </w:pPr>
                  <w:r w:rsidRPr="00A406E2">
                    <w:rPr>
                      <w:sz w:val="18"/>
                      <w:szCs w:val="18"/>
                    </w:rPr>
                    <w:t>totaal</w:t>
                  </w:r>
                </w:p>
              </w:tc>
              <w:tc>
                <w:tcPr>
                  <w:tcW w:w="851" w:type="dxa"/>
                  <w:noWrap/>
                  <w:tcMar>
                    <w:top w:w="0" w:type="dxa"/>
                    <w:left w:w="70" w:type="dxa"/>
                    <w:bottom w:w="0" w:type="dxa"/>
                    <w:right w:w="70" w:type="dxa"/>
                  </w:tcMar>
                  <w:vAlign w:val="bottom"/>
                  <w:hideMark/>
                </w:tcPr>
                <w:p w:rsidRPr="00A406E2" w:rsidR="006D5935" w:rsidP="006D5935" w:rsidRDefault="006D5935" w14:paraId="671A878F" w14:textId="77777777">
                  <w:pPr>
                    <w:jc w:val="right"/>
                    <w:rPr>
                      <w:sz w:val="18"/>
                      <w:szCs w:val="18"/>
                    </w:rPr>
                  </w:pPr>
                  <w:r w:rsidRPr="00A406E2">
                    <w:rPr>
                      <w:sz w:val="18"/>
                      <w:szCs w:val="18"/>
                    </w:rPr>
                    <w:t xml:space="preserve">5.987 </w:t>
                  </w:r>
                </w:p>
              </w:tc>
              <w:tc>
                <w:tcPr>
                  <w:tcW w:w="850" w:type="dxa"/>
                  <w:noWrap/>
                  <w:tcMar>
                    <w:top w:w="0" w:type="dxa"/>
                    <w:left w:w="70" w:type="dxa"/>
                    <w:bottom w:w="0" w:type="dxa"/>
                    <w:right w:w="70" w:type="dxa"/>
                  </w:tcMar>
                  <w:vAlign w:val="bottom"/>
                  <w:hideMark/>
                </w:tcPr>
                <w:p w:rsidRPr="00A406E2" w:rsidR="006D5935" w:rsidP="006D5935" w:rsidRDefault="006D5935" w14:paraId="7FCF6BF6" w14:textId="77777777">
                  <w:pPr>
                    <w:jc w:val="right"/>
                    <w:rPr>
                      <w:sz w:val="18"/>
                      <w:szCs w:val="18"/>
                    </w:rPr>
                  </w:pPr>
                  <w:r w:rsidRPr="00A406E2">
                    <w:rPr>
                      <w:sz w:val="18"/>
                      <w:szCs w:val="18"/>
                    </w:rPr>
                    <w:t xml:space="preserve">24.945 </w:t>
                  </w:r>
                </w:p>
              </w:tc>
              <w:tc>
                <w:tcPr>
                  <w:tcW w:w="851" w:type="dxa"/>
                  <w:noWrap/>
                  <w:tcMar>
                    <w:top w:w="0" w:type="dxa"/>
                    <w:left w:w="70" w:type="dxa"/>
                    <w:bottom w:w="0" w:type="dxa"/>
                    <w:right w:w="70" w:type="dxa"/>
                  </w:tcMar>
                  <w:vAlign w:val="bottom"/>
                  <w:hideMark/>
                </w:tcPr>
                <w:p w:rsidRPr="00A406E2" w:rsidR="006D5935" w:rsidP="006D5935" w:rsidRDefault="006D5935" w14:paraId="536DB59A" w14:textId="77777777">
                  <w:pPr>
                    <w:jc w:val="right"/>
                    <w:rPr>
                      <w:sz w:val="18"/>
                      <w:szCs w:val="18"/>
                    </w:rPr>
                  </w:pPr>
                  <w:r w:rsidRPr="00A406E2">
                    <w:rPr>
                      <w:sz w:val="18"/>
                      <w:szCs w:val="18"/>
                    </w:rPr>
                    <w:t xml:space="preserve">43.915 </w:t>
                  </w:r>
                </w:p>
              </w:tc>
              <w:tc>
                <w:tcPr>
                  <w:tcW w:w="850" w:type="dxa"/>
                  <w:noWrap/>
                  <w:tcMar>
                    <w:top w:w="0" w:type="dxa"/>
                    <w:left w:w="70" w:type="dxa"/>
                    <w:bottom w:w="0" w:type="dxa"/>
                    <w:right w:w="70" w:type="dxa"/>
                  </w:tcMar>
                  <w:vAlign w:val="bottom"/>
                  <w:hideMark/>
                </w:tcPr>
                <w:p w:rsidRPr="00A406E2" w:rsidR="006D5935" w:rsidP="006D5935" w:rsidRDefault="006D5935" w14:paraId="32DCAAE4" w14:textId="77777777">
                  <w:pPr>
                    <w:jc w:val="right"/>
                    <w:rPr>
                      <w:sz w:val="18"/>
                      <w:szCs w:val="18"/>
                    </w:rPr>
                  </w:pPr>
                  <w:r w:rsidRPr="00A406E2">
                    <w:rPr>
                      <w:sz w:val="18"/>
                      <w:szCs w:val="18"/>
                    </w:rPr>
                    <w:t xml:space="preserve">42.545 </w:t>
                  </w:r>
                </w:p>
              </w:tc>
              <w:tc>
                <w:tcPr>
                  <w:tcW w:w="851" w:type="dxa"/>
                  <w:noWrap/>
                  <w:tcMar>
                    <w:top w:w="0" w:type="dxa"/>
                    <w:left w:w="70" w:type="dxa"/>
                    <w:bottom w:w="0" w:type="dxa"/>
                    <w:right w:w="70" w:type="dxa"/>
                  </w:tcMar>
                  <w:vAlign w:val="bottom"/>
                  <w:hideMark/>
                </w:tcPr>
                <w:p w:rsidRPr="00A406E2" w:rsidR="006D5935" w:rsidP="006D5935" w:rsidRDefault="006D5935" w14:paraId="5694AD6A" w14:textId="77777777">
                  <w:pPr>
                    <w:jc w:val="right"/>
                    <w:rPr>
                      <w:sz w:val="18"/>
                      <w:szCs w:val="18"/>
                    </w:rPr>
                  </w:pPr>
                  <w:r w:rsidRPr="00A406E2">
                    <w:rPr>
                      <w:sz w:val="18"/>
                      <w:szCs w:val="18"/>
                    </w:rPr>
                    <w:t xml:space="preserve">369 </w:t>
                  </w:r>
                </w:p>
              </w:tc>
              <w:tc>
                <w:tcPr>
                  <w:tcW w:w="821" w:type="dxa"/>
                  <w:noWrap/>
                  <w:tcMar>
                    <w:top w:w="0" w:type="dxa"/>
                    <w:left w:w="70" w:type="dxa"/>
                    <w:bottom w:w="0" w:type="dxa"/>
                    <w:right w:w="70" w:type="dxa"/>
                  </w:tcMar>
                  <w:vAlign w:val="bottom"/>
                  <w:hideMark/>
                </w:tcPr>
                <w:p w:rsidRPr="00A406E2" w:rsidR="006D5935" w:rsidP="006D5935" w:rsidRDefault="006D5935" w14:paraId="20CDAB61" w14:textId="77777777">
                  <w:pPr>
                    <w:jc w:val="right"/>
                    <w:rPr>
                      <w:sz w:val="18"/>
                      <w:szCs w:val="18"/>
                    </w:rPr>
                  </w:pPr>
                  <w:r w:rsidRPr="00A406E2">
                    <w:rPr>
                      <w:sz w:val="18"/>
                      <w:szCs w:val="18"/>
                    </w:rPr>
                    <w:t xml:space="preserve">-   </w:t>
                  </w:r>
                </w:p>
              </w:tc>
            </w:tr>
          </w:tbl>
          <w:p w:rsidRPr="00A406E2" w:rsidR="006D5935" w:rsidP="006D5935" w:rsidRDefault="006D5935" w14:paraId="2CC05D9E" w14:textId="2DFA2B18">
            <w:pPr>
              <w:rPr>
                <w:sz w:val="24"/>
                <w:szCs w:val="24"/>
              </w:rPr>
            </w:pPr>
            <w:r w:rsidRPr="00A406E2">
              <w:rPr>
                <w:sz w:val="24"/>
                <w:szCs w:val="24"/>
              </w:rPr>
              <w:t>De plannen voor besteding van de middelen voor onderwijs uit het coalitieakkoord ‘Aan de slag’ worden op dit moment uitgewerkt. Wanneer de uitwerking afgerond is, zal ook bekend zijn wat dit betekent voor de resterende taakstelling op internationale studenten.</w:t>
            </w:r>
          </w:p>
        </w:tc>
        <w:tc>
          <w:tcPr>
            <w:tcW w:w="850" w:type="dxa"/>
          </w:tcPr>
          <w:p w:rsidRPr="00A406E2" w:rsidR="00552EC0" w:rsidP="00552EC0" w:rsidRDefault="00552EC0" w14:paraId="6AD44333" w14:textId="0F81378E">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552EC0" w14:paraId="6C22DC55" w14:textId="77777777">
            <w:pPr>
              <w:jc w:val="right"/>
              <w:rPr>
                <w:sz w:val="24"/>
                <w:szCs w:val="24"/>
              </w:rPr>
            </w:pPr>
            <w:r w:rsidRPr="00A406E2">
              <w:rPr>
                <w:sz w:val="24"/>
                <w:szCs w:val="24"/>
              </w:rPr>
              <w:t>6</w:t>
            </w:r>
          </w:p>
        </w:tc>
        <w:tc>
          <w:tcPr>
            <w:tcW w:w="567" w:type="dxa"/>
          </w:tcPr>
          <w:p w:rsidRPr="00A406E2" w:rsidR="00552EC0" w:rsidP="00552EC0" w:rsidRDefault="00552EC0" w14:paraId="106B9CCC" w14:textId="77777777">
            <w:pPr>
              <w:jc w:val="right"/>
              <w:rPr>
                <w:sz w:val="24"/>
                <w:szCs w:val="24"/>
              </w:rPr>
            </w:pPr>
            <w:r w:rsidRPr="00A406E2">
              <w:rPr>
                <w:sz w:val="24"/>
                <w:szCs w:val="24"/>
              </w:rPr>
              <w:t xml:space="preserve"> </w:t>
            </w:r>
          </w:p>
        </w:tc>
      </w:tr>
      <w:tr w:rsidRPr="00A406E2" w:rsidR="00552EC0" w:rsidTr="00B90BBB" w14:paraId="387C7FE5" w14:textId="77777777">
        <w:tc>
          <w:tcPr>
            <w:tcW w:w="567" w:type="dxa"/>
          </w:tcPr>
          <w:p w:rsidRPr="00A406E2" w:rsidR="00552EC0" w:rsidP="00552EC0" w:rsidRDefault="00552EC0" w14:paraId="20C2D92B" w14:textId="77C1D4A2">
            <w:pPr>
              <w:rPr>
                <w:sz w:val="24"/>
                <w:szCs w:val="24"/>
              </w:rPr>
            </w:pPr>
            <w:r w:rsidRPr="00A406E2">
              <w:rPr>
                <w:sz w:val="24"/>
                <w:szCs w:val="24"/>
              </w:rPr>
              <w:t>16</w:t>
            </w:r>
          </w:p>
        </w:tc>
        <w:tc>
          <w:tcPr>
            <w:tcW w:w="6521" w:type="dxa"/>
          </w:tcPr>
          <w:p w:rsidRPr="00A406E2" w:rsidR="00552EC0" w:rsidP="00552EC0" w:rsidRDefault="00552EC0" w14:paraId="07C83183" w14:textId="77777777">
            <w:pPr>
              <w:rPr>
                <w:sz w:val="24"/>
                <w:szCs w:val="24"/>
              </w:rPr>
            </w:pPr>
            <w:r w:rsidRPr="00A406E2">
              <w:rPr>
                <w:sz w:val="24"/>
                <w:szCs w:val="24"/>
              </w:rPr>
              <w:t>Hoe wordt het voornemen in het coalitieakkoord om de studierente te maximeren op 2,5 procent in de begroting verwerkt?</w:t>
            </w:r>
          </w:p>
          <w:p w:rsidRPr="00A406E2" w:rsidR="00197085" w:rsidP="00552EC0" w:rsidRDefault="00F61A71" w14:paraId="6E11F9A5" w14:textId="43DDCA7C">
            <w:pPr>
              <w:rPr>
                <w:i/>
                <w:iCs/>
                <w:sz w:val="18"/>
                <w:szCs w:val="18"/>
              </w:rPr>
            </w:pPr>
            <w:r w:rsidRPr="00A406E2">
              <w:rPr>
                <w:sz w:val="24"/>
                <w:szCs w:val="24"/>
              </w:rPr>
              <w:t>D</w:t>
            </w:r>
            <w:r w:rsidRPr="00A406E2" w:rsidR="00197085">
              <w:rPr>
                <w:sz w:val="24"/>
                <w:szCs w:val="24"/>
              </w:rPr>
              <w:t>e intensiveringen uit het coalitieakkoord op het gebied van onderwijs</w:t>
            </w:r>
            <w:r w:rsidRPr="00A406E2">
              <w:rPr>
                <w:sz w:val="24"/>
                <w:szCs w:val="24"/>
              </w:rPr>
              <w:t xml:space="preserve"> worden</w:t>
            </w:r>
            <w:r w:rsidRPr="00A406E2" w:rsidR="00197085">
              <w:rPr>
                <w:sz w:val="24"/>
                <w:szCs w:val="24"/>
              </w:rPr>
              <w:t xml:space="preserve"> nader uitgewerkt richting verwerking in de Ontwerpbegroting 2027. </w:t>
            </w:r>
            <w:r w:rsidRPr="00A406E2" w:rsidR="0065367A">
              <w:rPr>
                <w:sz w:val="24"/>
                <w:szCs w:val="24"/>
              </w:rPr>
              <w:t xml:space="preserve">Dat geldt ook voor de rentemaatregel. </w:t>
            </w:r>
            <w:r w:rsidRPr="00A406E2" w:rsidR="00E665DF">
              <w:rPr>
                <w:sz w:val="24"/>
                <w:szCs w:val="24"/>
              </w:rPr>
              <w:t>Het benodigde bedrag voor de studierente uit de envelop onderwijs is nog afhankelijk van de precieze vormgeving van de maatregel.</w:t>
            </w:r>
            <w:r w:rsidRPr="00A406E2">
              <w:rPr>
                <w:sz w:val="24"/>
                <w:szCs w:val="24"/>
              </w:rPr>
              <w:t xml:space="preserve"> </w:t>
            </w:r>
          </w:p>
        </w:tc>
        <w:tc>
          <w:tcPr>
            <w:tcW w:w="850" w:type="dxa"/>
          </w:tcPr>
          <w:p w:rsidRPr="00A406E2" w:rsidR="00552EC0" w:rsidP="00552EC0" w:rsidRDefault="00552EC0" w14:paraId="42A32388" w14:textId="20534BF9">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552EC0" w14:paraId="0796E42A" w14:textId="77777777">
            <w:pPr>
              <w:jc w:val="right"/>
              <w:rPr>
                <w:sz w:val="24"/>
                <w:szCs w:val="24"/>
              </w:rPr>
            </w:pPr>
            <w:r w:rsidRPr="00A406E2">
              <w:rPr>
                <w:sz w:val="24"/>
                <w:szCs w:val="24"/>
              </w:rPr>
              <w:t>6</w:t>
            </w:r>
          </w:p>
        </w:tc>
        <w:tc>
          <w:tcPr>
            <w:tcW w:w="567" w:type="dxa"/>
          </w:tcPr>
          <w:p w:rsidRPr="00A406E2" w:rsidR="00552EC0" w:rsidP="00552EC0" w:rsidRDefault="00552EC0" w14:paraId="42BBC4DF" w14:textId="77777777">
            <w:pPr>
              <w:jc w:val="right"/>
              <w:rPr>
                <w:sz w:val="24"/>
                <w:szCs w:val="24"/>
              </w:rPr>
            </w:pPr>
            <w:r w:rsidRPr="00A406E2">
              <w:rPr>
                <w:sz w:val="24"/>
                <w:szCs w:val="24"/>
              </w:rPr>
              <w:t xml:space="preserve"> </w:t>
            </w:r>
          </w:p>
        </w:tc>
      </w:tr>
      <w:tr w:rsidRPr="00A406E2" w:rsidR="00552EC0" w:rsidTr="00B90BBB" w14:paraId="619957D5" w14:textId="77777777">
        <w:tc>
          <w:tcPr>
            <w:tcW w:w="567" w:type="dxa"/>
          </w:tcPr>
          <w:p w:rsidRPr="00A406E2" w:rsidR="00552EC0" w:rsidP="00552EC0" w:rsidRDefault="00552EC0" w14:paraId="1B4348B7" w14:textId="4D4744DD">
            <w:pPr>
              <w:rPr>
                <w:sz w:val="24"/>
                <w:szCs w:val="24"/>
              </w:rPr>
            </w:pPr>
            <w:r w:rsidRPr="00A406E2">
              <w:rPr>
                <w:sz w:val="24"/>
                <w:szCs w:val="24"/>
              </w:rPr>
              <w:t>17</w:t>
            </w:r>
          </w:p>
        </w:tc>
        <w:tc>
          <w:tcPr>
            <w:tcW w:w="6521" w:type="dxa"/>
          </w:tcPr>
          <w:p w:rsidRPr="00A406E2" w:rsidR="00552EC0" w:rsidP="00552EC0" w:rsidRDefault="00552EC0" w14:paraId="4D2A3693" w14:textId="77777777">
            <w:pPr>
              <w:rPr>
                <w:sz w:val="24"/>
                <w:szCs w:val="24"/>
              </w:rPr>
            </w:pPr>
            <w:r w:rsidRPr="00A406E2">
              <w:rPr>
                <w:sz w:val="24"/>
                <w:szCs w:val="24"/>
              </w:rPr>
              <w:t xml:space="preserve">Kunt u aangeven welk effect de aangenomen motie </w:t>
            </w:r>
            <w:r w:rsidRPr="00A406E2" w:rsidR="00847DA9">
              <w:rPr>
                <w:sz w:val="24"/>
                <w:szCs w:val="24"/>
              </w:rPr>
              <w:t>van het lid Straatman c.s.</w:t>
            </w:r>
            <w:r w:rsidRPr="00A406E2" w:rsidR="00847DA9">
              <w:rPr>
                <w:rStyle w:val="Voetnootmarkering"/>
                <w:sz w:val="24"/>
                <w:szCs w:val="24"/>
              </w:rPr>
              <w:footnoteReference w:id="2"/>
            </w:r>
            <w:r w:rsidRPr="00A406E2">
              <w:rPr>
                <w:sz w:val="24"/>
                <w:szCs w:val="24"/>
              </w:rPr>
              <w:t>, die hbo-bachelors die een wo-master willen volgen hetzelfde recht op studiefinanciering toekent, zal hebben op de OCW-begroting?</w:t>
            </w:r>
          </w:p>
          <w:p w:rsidRPr="00A406E2" w:rsidR="00197085" w:rsidP="00552EC0" w:rsidRDefault="00197085" w14:paraId="7F4943C2" w14:textId="677C92A5">
            <w:pPr>
              <w:rPr>
                <w:sz w:val="24"/>
                <w:szCs w:val="24"/>
              </w:rPr>
            </w:pPr>
            <w:r w:rsidRPr="00A406E2">
              <w:rPr>
                <w:sz w:val="24"/>
                <w:szCs w:val="24"/>
              </w:rPr>
              <w:t>De motie Straatman vraagt om een verkenning. In deze verkenning zullen de budgettaire effecten voor de OCW-begroting worden meegenomen.</w:t>
            </w:r>
          </w:p>
        </w:tc>
        <w:tc>
          <w:tcPr>
            <w:tcW w:w="850" w:type="dxa"/>
          </w:tcPr>
          <w:p w:rsidRPr="00A406E2" w:rsidR="00552EC0" w:rsidP="00552EC0" w:rsidRDefault="00552EC0" w14:paraId="38B95AEB" w14:textId="407DFADF">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552EC0" w14:paraId="39E1C383" w14:textId="77777777">
            <w:pPr>
              <w:jc w:val="right"/>
              <w:rPr>
                <w:sz w:val="24"/>
                <w:szCs w:val="24"/>
              </w:rPr>
            </w:pPr>
            <w:r w:rsidRPr="00A406E2">
              <w:rPr>
                <w:sz w:val="24"/>
                <w:szCs w:val="24"/>
              </w:rPr>
              <w:t>6</w:t>
            </w:r>
          </w:p>
        </w:tc>
        <w:tc>
          <w:tcPr>
            <w:tcW w:w="567" w:type="dxa"/>
          </w:tcPr>
          <w:p w:rsidRPr="00A406E2" w:rsidR="00552EC0" w:rsidP="00552EC0" w:rsidRDefault="00552EC0" w14:paraId="25163FC6" w14:textId="77777777">
            <w:pPr>
              <w:jc w:val="right"/>
              <w:rPr>
                <w:sz w:val="24"/>
                <w:szCs w:val="24"/>
              </w:rPr>
            </w:pPr>
            <w:r w:rsidRPr="00A406E2">
              <w:rPr>
                <w:sz w:val="24"/>
                <w:szCs w:val="24"/>
              </w:rPr>
              <w:t xml:space="preserve"> </w:t>
            </w:r>
          </w:p>
        </w:tc>
      </w:tr>
      <w:tr w:rsidRPr="00A406E2" w:rsidR="00552EC0" w:rsidTr="00B90BBB" w14:paraId="1AF5B094" w14:textId="77777777">
        <w:tc>
          <w:tcPr>
            <w:tcW w:w="567" w:type="dxa"/>
          </w:tcPr>
          <w:p w:rsidRPr="00A406E2" w:rsidR="00552EC0" w:rsidP="00552EC0" w:rsidRDefault="00552EC0" w14:paraId="52CB7C77" w14:textId="54ABAE90">
            <w:pPr>
              <w:rPr>
                <w:sz w:val="24"/>
                <w:szCs w:val="24"/>
              </w:rPr>
            </w:pPr>
            <w:r w:rsidRPr="00A406E2">
              <w:rPr>
                <w:sz w:val="24"/>
                <w:szCs w:val="24"/>
              </w:rPr>
              <w:lastRenderedPageBreak/>
              <w:t>18</w:t>
            </w:r>
          </w:p>
        </w:tc>
        <w:tc>
          <w:tcPr>
            <w:tcW w:w="6521" w:type="dxa"/>
          </w:tcPr>
          <w:p w:rsidRPr="00A406E2" w:rsidR="00552EC0" w:rsidP="00552EC0" w:rsidRDefault="00552EC0" w14:paraId="733D9820" w14:textId="77777777">
            <w:pPr>
              <w:rPr>
                <w:sz w:val="24"/>
                <w:szCs w:val="24"/>
              </w:rPr>
            </w:pPr>
            <w:r w:rsidRPr="00A406E2">
              <w:rPr>
                <w:sz w:val="24"/>
                <w:szCs w:val="24"/>
              </w:rPr>
              <w:t>Kunt u de effecten van de in het coalitieakkoord voorgenomen verhoging van de uitwonendenbeurs voor de OCW-begroting nader uiteenzetten?</w:t>
            </w:r>
          </w:p>
          <w:p w:rsidRPr="00A406E2" w:rsidR="00197085" w:rsidP="00552EC0" w:rsidRDefault="00F61A71" w14:paraId="6372C542" w14:textId="42CB0321">
            <w:pPr>
              <w:rPr>
                <w:sz w:val="24"/>
                <w:szCs w:val="24"/>
              </w:rPr>
            </w:pPr>
            <w:r w:rsidRPr="00A406E2">
              <w:rPr>
                <w:sz w:val="24"/>
                <w:szCs w:val="24"/>
              </w:rPr>
              <w:t>In de beleidsbrief van OCW die uw Kamer binnenkort zal ontvangen gaan we verder in op het verhogen van de uitwonendenbeurs</w:t>
            </w:r>
            <w:r w:rsidRPr="00A406E2" w:rsidR="00197085">
              <w:rPr>
                <w:sz w:val="24"/>
                <w:szCs w:val="24"/>
              </w:rPr>
              <w:t>. Deze maatregel en de andere intensiveringen op terrein van onderwijs worden de komende periode nader uitgewerkt richting verwerking in de Ontwerpbegroting 2027.</w:t>
            </w:r>
          </w:p>
        </w:tc>
        <w:tc>
          <w:tcPr>
            <w:tcW w:w="850" w:type="dxa"/>
          </w:tcPr>
          <w:p w:rsidRPr="00A406E2" w:rsidR="00552EC0" w:rsidP="00552EC0" w:rsidRDefault="00552EC0" w14:paraId="4506619F" w14:textId="03E5B6FE">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552EC0" w14:paraId="20DBF924" w14:textId="77777777">
            <w:pPr>
              <w:jc w:val="right"/>
              <w:rPr>
                <w:sz w:val="24"/>
                <w:szCs w:val="24"/>
              </w:rPr>
            </w:pPr>
            <w:r w:rsidRPr="00A406E2">
              <w:rPr>
                <w:sz w:val="24"/>
                <w:szCs w:val="24"/>
              </w:rPr>
              <w:t>6</w:t>
            </w:r>
          </w:p>
        </w:tc>
        <w:tc>
          <w:tcPr>
            <w:tcW w:w="567" w:type="dxa"/>
          </w:tcPr>
          <w:p w:rsidRPr="00A406E2" w:rsidR="00552EC0" w:rsidP="00552EC0" w:rsidRDefault="00552EC0" w14:paraId="31F18E87" w14:textId="77777777">
            <w:pPr>
              <w:jc w:val="right"/>
              <w:rPr>
                <w:sz w:val="24"/>
                <w:szCs w:val="24"/>
              </w:rPr>
            </w:pPr>
            <w:r w:rsidRPr="00A406E2">
              <w:rPr>
                <w:sz w:val="24"/>
                <w:szCs w:val="24"/>
              </w:rPr>
              <w:t xml:space="preserve"> </w:t>
            </w:r>
          </w:p>
        </w:tc>
      </w:tr>
      <w:tr w:rsidRPr="00A406E2" w:rsidR="00552EC0" w:rsidTr="00B90BBB" w14:paraId="523B6434" w14:textId="77777777">
        <w:tc>
          <w:tcPr>
            <w:tcW w:w="567" w:type="dxa"/>
          </w:tcPr>
          <w:p w:rsidRPr="00A406E2" w:rsidR="00552EC0" w:rsidP="00552EC0" w:rsidRDefault="00552EC0" w14:paraId="5E83E7F1" w14:textId="1F94990F">
            <w:pPr>
              <w:rPr>
                <w:sz w:val="24"/>
                <w:szCs w:val="24"/>
              </w:rPr>
            </w:pPr>
            <w:r w:rsidRPr="00A406E2">
              <w:rPr>
                <w:sz w:val="24"/>
                <w:szCs w:val="24"/>
              </w:rPr>
              <w:t>19</w:t>
            </w:r>
          </w:p>
        </w:tc>
        <w:tc>
          <w:tcPr>
            <w:tcW w:w="6521" w:type="dxa"/>
          </w:tcPr>
          <w:p w:rsidRPr="00A406E2" w:rsidR="00552EC0" w:rsidP="00552EC0" w:rsidRDefault="00552EC0" w14:paraId="749B6360" w14:textId="77777777">
            <w:pPr>
              <w:rPr>
                <w:sz w:val="24"/>
                <w:szCs w:val="24"/>
              </w:rPr>
            </w:pPr>
            <w:r w:rsidRPr="00A406E2">
              <w:rPr>
                <w:sz w:val="24"/>
                <w:szCs w:val="24"/>
              </w:rPr>
              <w:t>Hoe is het voornemen om de normbedragen voor alle studiefinancieringsvormen gelijk te trekken</w:t>
            </w:r>
            <w:r w:rsidRPr="00A406E2" w:rsidR="00013465">
              <w:rPr>
                <w:sz w:val="24"/>
                <w:szCs w:val="24"/>
              </w:rPr>
              <w:t>,</w:t>
            </w:r>
            <w:r w:rsidRPr="00A406E2">
              <w:rPr>
                <w:sz w:val="24"/>
                <w:szCs w:val="24"/>
              </w:rPr>
              <w:t xml:space="preserve"> doorgevoerd in de OCW-begroting?</w:t>
            </w:r>
          </w:p>
          <w:p w:rsidRPr="00A406E2" w:rsidR="00197085" w:rsidP="00552EC0" w:rsidRDefault="00197085" w14:paraId="05660203" w14:textId="08405A3B">
            <w:pPr>
              <w:rPr>
                <w:sz w:val="24"/>
                <w:szCs w:val="24"/>
              </w:rPr>
            </w:pPr>
            <w:r w:rsidRPr="00A406E2">
              <w:rPr>
                <w:sz w:val="24"/>
                <w:szCs w:val="24"/>
              </w:rPr>
              <w:t>In het coalitieakkoord is geen concreet voornemen opgenomen om de normbedragen gelijk te trekken. Om deze reden is dit niet doorgevoerd in de OCW-begroting.</w:t>
            </w:r>
          </w:p>
        </w:tc>
        <w:tc>
          <w:tcPr>
            <w:tcW w:w="850" w:type="dxa"/>
          </w:tcPr>
          <w:p w:rsidRPr="00A406E2" w:rsidR="00552EC0" w:rsidP="00552EC0" w:rsidRDefault="00552EC0" w14:paraId="3567F16D" w14:textId="74ED63F0">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552EC0" w14:paraId="6FA5AF3F" w14:textId="77777777">
            <w:pPr>
              <w:jc w:val="right"/>
              <w:rPr>
                <w:sz w:val="24"/>
                <w:szCs w:val="24"/>
              </w:rPr>
            </w:pPr>
            <w:r w:rsidRPr="00A406E2">
              <w:rPr>
                <w:sz w:val="24"/>
                <w:szCs w:val="24"/>
              </w:rPr>
              <w:t>6</w:t>
            </w:r>
          </w:p>
        </w:tc>
        <w:tc>
          <w:tcPr>
            <w:tcW w:w="567" w:type="dxa"/>
          </w:tcPr>
          <w:p w:rsidRPr="00A406E2" w:rsidR="00552EC0" w:rsidP="00552EC0" w:rsidRDefault="00552EC0" w14:paraId="4240FD1F" w14:textId="77777777">
            <w:pPr>
              <w:jc w:val="right"/>
              <w:rPr>
                <w:sz w:val="24"/>
                <w:szCs w:val="24"/>
              </w:rPr>
            </w:pPr>
            <w:r w:rsidRPr="00A406E2">
              <w:rPr>
                <w:sz w:val="24"/>
                <w:szCs w:val="24"/>
              </w:rPr>
              <w:t xml:space="preserve"> </w:t>
            </w:r>
          </w:p>
        </w:tc>
      </w:tr>
      <w:tr w:rsidRPr="00A406E2" w:rsidR="00552EC0" w:rsidTr="00B90BBB" w14:paraId="45804AC1" w14:textId="77777777">
        <w:tc>
          <w:tcPr>
            <w:tcW w:w="567" w:type="dxa"/>
          </w:tcPr>
          <w:p w:rsidRPr="00A406E2" w:rsidR="00552EC0" w:rsidP="00552EC0" w:rsidRDefault="00552EC0" w14:paraId="4B8005D7" w14:textId="4F3F7FDD">
            <w:pPr>
              <w:rPr>
                <w:sz w:val="24"/>
                <w:szCs w:val="24"/>
              </w:rPr>
            </w:pPr>
            <w:r w:rsidRPr="00A406E2">
              <w:rPr>
                <w:sz w:val="24"/>
                <w:szCs w:val="24"/>
              </w:rPr>
              <w:t>20</w:t>
            </w:r>
          </w:p>
        </w:tc>
        <w:tc>
          <w:tcPr>
            <w:tcW w:w="6521" w:type="dxa"/>
          </w:tcPr>
          <w:p w:rsidRPr="00A406E2" w:rsidR="00574684" w:rsidP="00B9452D" w:rsidRDefault="00552EC0" w14:paraId="092F5DB2" w14:textId="7FA74A69">
            <w:pPr>
              <w:rPr>
                <w:sz w:val="24"/>
                <w:szCs w:val="24"/>
              </w:rPr>
            </w:pPr>
            <w:r w:rsidRPr="00A406E2">
              <w:rPr>
                <w:sz w:val="24"/>
                <w:szCs w:val="24"/>
              </w:rPr>
              <w:t>Klopt het beeld dat er meer wordt geëxtensiveerd dan geïntensiveerd en dat het kabinet bij deze suppletoire begroting voorlopig dus verder bezuinigt op het onderwijs?</w:t>
            </w:r>
          </w:p>
          <w:p w:rsidRPr="00A406E2" w:rsidR="00574684" w:rsidP="00B9452D" w:rsidRDefault="00574684" w14:paraId="5C13B45B" w14:textId="1916D3FB">
            <w:pPr>
              <w:rPr>
                <w:sz w:val="24"/>
                <w:szCs w:val="24"/>
              </w:rPr>
            </w:pPr>
            <w:r w:rsidRPr="00A406E2">
              <w:rPr>
                <w:sz w:val="24"/>
                <w:szCs w:val="24"/>
              </w:rPr>
              <w:t xml:space="preserve">Bij de besluitvorming van de Voorjaarsnota 2026 is er binnen de OCW-begroting geëxtensiveerd en geïntensiveerd. Er is </w:t>
            </w:r>
            <w:r w:rsidRPr="00A406E2" w:rsidR="00320FC3">
              <w:rPr>
                <w:sz w:val="24"/>
                <w:szCs w:val="24"/>
              </w:rPr>
              <w:t>bij de Eerste suppletoire begroting 2026 binnen de begroting</w:t>
            </w:r>
            <w:r w:rsidRPr="00A406E2" w:rsidR="00A847AB">
              <w:rPr>
                <w:sz w:val="24"/>
                <w:szCs w:val="24"/>
              </w:rPr>
              <w:t xml:space="preserve"> van OCW</w:t>
            </w:r>
            <w:r w:rsidRPr="00A406E2" w:rsidR="00320FC3">
              <w:rPr>
                <w:sz w:val="24"/>
                <w:szCs w:val="24"/>
              </w:rPr>
              <w:t xml:space="preserve"> </w:t>
            </w:r>
            <w:r w:rsidRPr="00A406E2">
              <w:rPr>
                <w:sz w:val="24"/>
                <w:szCs w:val="24"/>
              </w:rPr>
              <w:t>per saldo meer geëxtensiveerd dan geïntensiveerd. De per saldo extensiveringen worden ingezet om tegenvallers op de OCW-begroting te dekken. Deze middelen blijven dus binnen de OCW-begroting.</w:t>
            </w:r>
          </w:p>
          <w:p w:rsidRPr="00A406E2" w:rsidR="00656AB5" w:rsidP="00656AB5" w:rsidRDefault="00656AB5" w14:paraId="41222FE7" w14:textId="1BCEF1F8">
            <w:pPr>
              <w:rPr>
                <w:sz w:val="24"/>
                <w:szCs w:val="24"/>
              </w:rPr>
            </w:pPr>
            <w:r w:rsidRPr="00A406E2">
              <w:rPr>
                <w:sz w:val="24"/>
                <w:szCs w:val="24"/>
              </w:rPr>
              <w:t>Ook zijn de generieke</w:t>
            </w:r>
            <w:r w:rsidRPr="00A406E2" w:rsidR="00B9452D">
              <w:rPr>
                <w:sz w:val="24"/>
                <w:szCs w:val="24"/>
              </w:rPr>
              <w:t xml:space="preserve"> taakstellingen uit het coalitieakkoord ‘Aan de slag’</w:t>
            </w:r>
            <w:r w:rsidRPr="00A406E2">
              <w:rPr>
                <w:sz w:val="24"/>
                <w:szCs w:val="24"/>
              </w:rPr>
              <w:t xml:space="preserve"> </w:t>
            </w:r>
            <w:r w:rsidRPr="00A406E2" w:rsidR="00574684">
              <w:rPr>
                <w:sz w:val="24"/>
                <w:szCs w:val="24"/>
              </w:rPr>
              <w:t xml:space="preserve">bij de </w:t>
            </w:r>
            <w:r w:rsidRPr="00A406E2" w:rsidR="00320FC3">
              <w:rPr>
                <w:sz w:val="24"/>
                <w:szCs w:val="24"/>
              </w:rPr>
              <w:t xml:space="preserve">Eerste </w:t>
            </w:r>
            <w:r w:rsidRPr="00A406E2" w:rsidR="00574684">
              <w:rPr>
                <w:sz w:val="24"/>
                <w:szCs w:val="24"/>
              </w:rPr>
              <w:t xml:space="preserve">suppletoire begroting </w:t>
            </w:r>
            <w:r w:rsidRPr="00A406E2" w:rsidR="00320FC3">
              <w:rPr>
                <w:sz w:val="24"/>
                <w:szCs w:val="24"/>
              </w:rPr>
              <w:t xml:space="preserve">2026 </w:t>
            </w:r>
            <w:r w:rsidRPr="00A406E2" w:rsidR="00B9452D">
              <w:rPr>
                <w:sz w:val="24"/>
                <w:szCs w:val="24"/>
              </w:rPr>
              <w:t>verwerkt op de begroting van OCW. Het betreft de taakstellingen op efficiency (61</w:t>
            </w:r>
            <w:r w:rsidRPr="00A406E2" w:rsidR="00723A40">
              <w:rPr>
                <w:sz w:val="24"/>
                <w:szCs w:val="24"/>
              </w:rPr>
              <w:t>), v</w:t>
            </w:r>
            <w:r w:rsidRPr="00A406E2" w:rsidR="00B9452D">
              <w:rPr>
                <w:sz w:val="24"/>
                <w:szCs w:val="24"/>
              </w:rPr>
              <w:t xml:space="preserve">ernieuwing rijksdienst (62) en de subsidietaakstelling (63). Ook is het besluit van het kabinet Schoof uit de Miljoennota 2026 om vanaf 2028 te korten op de prijsbijtelling tranche 2026 verwerkt in deze suppletoire begroting. </w:t>
            </w:r>
          </w:p>
          <w:p w:rsidRPr="00A406E2" w:rsidR="003E634A" w:rsidP="00552EC0" w:rsidRDefault="00656AB5" w14:paraId="096CF8FA" w14:textId="23D1267C">
            <w:pPr>
              <w:rPr>
                <w:sz w:val="24"/>
                <w:szCs w:val="24"/>
              </w:rPr>
            </w:pPr>
            <w:r w:rsidRPr="00A406E2">
              <w:rPr>
                <w:sz w:val="24"/>
                <w:szCs w:val="24"/>
              </w:rPr>
              <w:t xml:space="preserve">Daarnaast zijn er ook middelen voor intensiveringen op onderwijs en media uit het coalitieakkoord. </w:t>
            </w:r>
            <w:r w:rsidRPr="00A406E2" w:rsidR="00E45245">
              <w:rPr>
                <w:sz w:val="24"/>
                <w:szCs w:val="24"/>
              </w:rPr>
              <w:t>De verdeling wordt voor de zomer van 2026 nader uitgewerkt, mede in overleg met uw Kamer en sectoren, richting verwerking van de middelen in de Ontwerpbegroting 2027 van OCW.</w:t>
            </w:r>
            <w:r w:rsidRPr="00A406E2" w:rsidR="00061642">
              <w:rPr>
                <w:sz w:val="24"/>
                <w:szCs w:val="24"/>
              </w:rPr>
              <w:t xml:space="preserve"> </w:t>
            </w:r>
            <w:r w:rsidRPr="00A406E2" w:rsidR="00574684">
              <w:rPr>
                <w:sz w:val="24"/>
                <w:szCs w:val="24"/>
              </w:rPr>
              <w:t xml:space="preserve">Zie ook het antwoord op vraag 7. </w:t>
            </w:r>
          </w:p>
        </w:tc>
        <w:tc>
          <w:tcPr>
            <w:tcW w:w="850" w:type="dxa"/>
          </w:tcPr>
          <w:p w:rsidRPr="00A406E2" w:rsidR="00552EC0" w:rsidP="00552EC0" w:rsidRDefault="00552EC0" w14:paraId="34984991" w14:textId="2D570C18">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552EC0" w14:paraId="514B02BC" w14:textId="77777777">
            <w:pPr>
              <w:jc w:val="right"/>
              <w:rPr>
                <w:sz w:val="24"/>
                <w:szCs w:val="24"/>
              </w:rPr>
            </w:pPr>
            <w:r w:rsidRPr="00A406E2">
              <w:rPr>
                <w:sz w:val="24"/>
                <w:szCs w:val="24"/>
              </w:rPr>
              <w:t>7</w:t>
            </w:r>
          </w:p>
        </w:tc>
        <w:tc>
          <w:tcPr>
            <w:tcW w:w="567" w:type="dxa"/>
          </w:tcPr>
          <w:p w:rsidRPr="00A406E2" w:rsidR="00552EC0" w:rsidP="00552EC0" w:rsidRDefault="00552EC0" w14:paraId="45B4D5F1" w14:textId="77777777">
            <w:pPr>
              <w:jc w:val="right"/>
              <w:rPr>
                <w:sz w:val="24"/>
                <w:szCs w:val="24"/>
              </w:rPr>
            </w:pPr>
            <w:r w:rsidRPr="00A406E2">
              <w:rPr>
                <w:sz w:val="24"/>
                <w:szCs w:val="24"/>
              </w:rPr>
              <w:t xml:space="preserve"> </w:t>
            </w:r>
          </w:p>
        </w:tc>
      </w:tr>
      <w:tr w:rsidRPr="00A406E2" w:rsidR="00552EC0" w:rsidTr="00B90BBB" w14:paraId="58604DE6" w14:textId="77777777">
        <w:tc>
          <w:tcPr>
            <w:tcW w:w="567" w:type="dxa"/>
          </w:tcPr>
          <w:p w:rsidRPr="00A406E2" w:rsidR="00552EC0" w:rsidP="00552EC0" w:rsidRDefault="00552EC0" w14:paraId="65C09D89" w14:textId="298E3CA6">
            <w:pPr>
              <w:rPr>
                <w:sz w:val="24"/>
                <w:szCs w:val="24"/>
              </w:rPr>
            </w:pPr>
            <w:r w:rsidRPr="00A406E2">
              <w:rPr>
                <w:sz w:val="24"/>
                <w:szCs w:val="24"/>
              </w:rPr>
              <w:t>21</w:t>
            </w:r>
          </w:p>
        </w:tc>
        <w:tc>
          <w:tcPr>
            <w:tcW w:w="6521" w:type="dxa"/>
          </w:tcPr>
          <w:p w:rsidRPr="00A406E2" w:rsidR="00552EC0" w:rsidP="00552EC0" w:rsidRDefault="00552EC0" w14:paraId="46B7A241" w14:textId="77777777">
            <w:pPr>
              <w:rPr>
                <w:sz w:val="24"/>
                <w:szCs w:val="24"/>
              </w:rPr>
            </w:pPr>
            <w:r w:rsidRPr="00A406E2">
              <w:rPr>
                <w:sz w:val="24"/>
                <w:szCs w:val="24"/>
              </w:rPr>
              <w:t>Kunt u aangeven hoe het bedrag van €79,6 miljoen, verspreid over de jaren 2026 tot en met 2030, voor de afhandeling van schade als gevolg van discriminatie bij de controles op de uitwonendenbeurs is opgebouwd?</w:t>
            </w:r>
          </w:p>
          <w:p w:rsidRPr="00A406E2" w:rsidR="00197085" w:rsidP="00197085" w:rsidRDefault="00197085" w14:paraId="0DD87594" w14:textId="77777777">
            <w:pPr>
              <w:rPr>
                <w:sz w:val="24"/>
                <w:szCs w:val="24"/>
              </w:rPr>
            </w:pPr>
            <w:r w:rsidRPr="00A406E2">
              <w:rPr>
                <w:sz w:val="24"/>
                <w:szCs w:val="24"/>
              </w:rPr>
              <w:t xml:space="preserve">In onderstaand overzicht zijn de totale kosten van € 79,6 miljoen uitgesplitst naar uitvoeringskosten en de kosten voor de schadeafhandeling. Het streven is om het merendeel van de schadevergoedingen de komende jaren af te handelen, met een uitloop naar 2029 en 2030. Het streven is dat DUO de schadeafhandeling in 2030 afrondt. </w:t>
            </w:r>
          </w:p>
          <w:tbl>
            <w:tblPr>
              <w:tblW w:w="6511" w:type="dxa"/>
              <w:tblCellMar>
                <w:left w:w="70" w:type="dxa"/>
                <w:right w:w="70" w:type="dxa"/>
              </w:tblCellMar>
              <w:tblLook w:val="04A0" w:firstRow="1" w:lastRow="0" w:firstColumn="1" w:lastColumn="0" w:noHBand="0" w:noVBand="1"/>
            </w:tblPr>
            <w:tblGrid>
              <w:gridCol w:w="5235"/>
              <w:gridCol w:w="1276"/>
            </w:tblGrid>
            <w:tr w:rsidRPr="00A406E2" w:rsidR="00197085" w:rsidTr="009638D7" w14:paraId="5C0B4E04" w14:textId="77777777">
              <w:trPr>
                <w:trHeight w:val="330"/>
              </w:trPr>
              <w:tc>
                <w:tcPr>
                  <w:tcW w:w="5235" w:type="dxa"/>
                  <w:tcBorders>
                    <w:top w:val="single" w:color="auto" w:sz="8" w:space="0"/>
                    <w:left w:val="single" w:color="auto" w:sz="8" w:space="0"/>
                    <w:bottom w:val="single" w:color="auto" w:sz="8" w:space="0"/>
                    <w:right w:val="single" w:color="auto" w:sz="8" w:space="0"/>
                  </w:tcBorders>
                  <w:vAlign w:val="center"/>
                  <w:hideMark/>
                </w:tcPr>
                <w:p w:rsidRPr="00A406E2" w:rsidR="00197085" w:rsidP="00197085" w:rsidRDefault="00197085" w14:paraId="442359B3" w14:textId="77777777">
                  <w:pPr>
                    <w:spacing w:after="0"/>
                    <w:rPr>
                      <w:b/>
                      <w:bCs/>
                      <w:color w:val="000000"/>
                      <w:sz w:val="18"/>
                      <w:szCs w:val="18"/>
                    </w:rPr>
                  </w:pPr>
                  <w:r w:rsidRPr="00A406E2">
                    <w:rPr>
                      <w:b/>
                      <w:bCs/>
                      <w:color w:val="000000"/>
                      <w:sz w:val="18"/>
                      <w:szCs w:val="18"/>
                    </w:rPr>
                    <w:lastRenderedPageBreak/>
                    <w:t>Schadeafhandeling controles uitwonendenbeurs</w:t>
                  </w:r>
                </w:p>
              </w:tc>
              <w:tc>
                <w:tcPr>
                  <w:tcW w:w="1276" w:type="dxa"/>
                  <w:tcBorders>
                    <w:top w:val="single" w:color="auto" w:sz="8" w:space="0"/>
                    <w:left w:val="nil"/>
                    <w:bottom w:val="single" w:color="auto" w:sz="8" w:space="0"/>
                    <w:right w:val="single" w:color="auto" w:sz="8" w:space="0"/>
                  </w:tcBorders>
                  <w:vAlign w:val="center"/>
                  <w:hideMark/>
                </w:tcPr>
                <w:p w:rsidRPr="00A406E2" w:rsidR="00197085" w:rsidP="00197085" w:rsidRDefault="00197085" w14:paraId="1B3504F1" w14:textId="77777777">
                  <w:pPr>
                    <w:spacing w:after="0"/>
                    <w:jc w:val="right"/>
                    <w:rPr>
                      <w:b/>
                      <w:bCs/>
                      <w:color w:val="000000"/>
                      <w:sz w:val="18"/>
                      <w:szCs w:val="18"/>
                    </w:rPr>
                  </w:pPr>
                  <w:r w:rsidRPr="00A406E2">
                    <w:rPr>
                      <w:b/>
                      <w:bCs/>
                      <w:color w:val="000000"/>
                      <w:sz w:val="18"/>
                      <w:szCs w:val="18"/>
                      <w:lang w:val="en-US"/>
                    </w:rPr>
                    <w:t>€ x 1.000</w:t>
                  </w:r>
                </w:p>
              </w:tc>
            </w:tr>
            <w:tr w:rsidRPr="00A406E2" w:rsidR="00197085" w:rsidTr="009638D7" w14:paraId="34DDA512" w14:textId="77777777">
              <w:trPr>
                <w:trHeight w:val="336"/>
              </w:trPr>
              <w:tc>
                <w:tcPr>
                  <w:tcW w:w="5235" w:type="dxa"/>
                  <w:tcBorders>
                    <w:top w:val="nil"/>
                    <w:left w:val="single" w:color="auto" w:sz="8" w:space="0"/>
                    <w:bottom w:val="single" w:color="auto" w:sz="8" w:space="0"/>
                    <w:right w:val="single" w:color="auto" w:sz="8" w:space="0"/>
                  </w:tcBorders>
                  <w:vAlign w:val="center"/>
                  <w:hideMark/>
                </w:tcPr>
                <w:p w:rsidRPr="00A406E2" w:rsidR="00197085" w:rsidP="00197085" w:rsidRDefault="00197085" w14:paraId="38BCDFB2" w14:textId="77777777">
                  <w:pPr>
                    <w:spacing w:after="0"/>
                    <w:rPr>
                      <w:color w:val="000000"/>
                      <w:sz w:val="18"/>
                      <w:szCs w:val="18"/>
                    </w:rPr>
                  </w:pPr>
                  <w:r w:rsidRPr="00A406E2">
                    <w:rPr>
                      <w:color w:val="000000"/>
                      <w:sz w:val="18"/>
                      <w:szCs w:val="18"/>
                      <w:lang w:val="en-US"/>
                    </w:rPr>
                    <w:t xml:space="preserve">Kosten </w:t>
                  </w:r>
                  <w:proofErr w:type="spellStart"/>
                  <w:r w:rsidRPr="00A406E2">
                    <w:rPr>
                      <w:color w:val="000000"/>
                      <w:sz w:val="18"/>
                      <w:szCs w:val="18"/>
                      <w:lang w:val="en-US"/>
                    </w:rPr>
                    <w:t>schadeverzoeken</w:t>
                  </w:r>
                  <w:proofErr w:type="spellEnd"/>
                </w:p>
              </w:tc>
              <w:tc>
                <w:tcPr>
                  <w:tcW w:w="1276" w:type="dxa"/>
                  <w:tcBorders>
                    <w:top w:val="nil"/>
                    <w:left w:val="nil"/>
                    <w:bottom w:val="single" w:color="auto" w:sz="8" w:space="0"/>
                    <w:right w:val="single" w:color="auto" w:sz="8" w:space="0"/>
                  </w:tcBorders>
                  <w:vAlign w:val="center"/>
                  <w:hideMark/>
                </w:tcPr>
                <w:p w:rsidRPr="00A406E2" w:rsidR="00197085" w:rsidP="00197085" w:rsidRDefault="00197085" w14:paraId="40DE8D40" w14:textId="77777777">
                  <w:pPr>
                    <w:spacing w:after="0"/>
                    <w:jc w:val="right"/>
                    <w:rPr>
                      <w:color w:val="000000"/>
                      <w:sz w:val="18"/>
                      <w:szCs w:val="18"/>
                    </w:rPr>
                  </w:pPr>
                  <w:r w:rsidRPr="00A406E2">
                    <w:rPr>
                      <w:color w:val="000000"/>
                      <w:sz w:val="18"/>
                      <w:szCs w:val="18"/>
                    </w:rPr>
                    <w:t>38.900</w:t>
                  </w:r>
                </w:p>
              </w:tc>
            </w:tr>
            <w:tr w:rsidRPr="00A406E2" w:rsidR="00197085" w:rsidTr="009638D7" w14:paraId="735F8876" w14:textId="77777777">
              <w:trPr>
                <w:trHeight w:val="270"/>
              </w:trPr>
              <w:tc>
                <w:tcPr>
                  <w:tcW w:w="5235" w:type="dxa"/>
                  <w:tcBorders>
                    <w:top w:val="nil"/>
                    <w:left w:val="single" w:color="auto" w:sz="8" w:space="0"/>
                    <w:bottom w:val="single" w:color="auto" w:sz="8" w:space="0"/>
                    <w:right w:val="single" w:color="auto" w:sz="8" w:space="0"/>
                  </w:tcBorders>
                  <w:vAlign w:val="center"/>
                  <w:hideMark/>
                </w:tcPr>
                <w:p w:rsidRPr="00A406E2" w:rsidR="00197085" w:rsidP="00197085" w:rsidRDefault="00197085" w14:paraId="36126EB1" w14:textId="77777777">
                  <w:pPr>
                    <w:spacing w:after="0"/>
                    <w:rPr>
                      <w:color w:val="000000"/>
                      <w:sz w:val="18"/>
                      <w:szCs w:val="18"/>
                    </w:rPr>
                  </w:pPr>
                  <w:proofErr w:type="spellStart"/>
                  <w:r w:rsidRPr="00A406E2">
                    <w:rPr>
                      <w:color w:val="000000"/>
                      <w:sz w:val="18"/>
                      <w:szCs w:val="18"/>
                      <w:lang w:val="en-US"/>
                    </w:rPr>
                    <w:t>Uitvoeringskosten</w:t>
                  </w:r>
                  <w:proofErr w:type="spellEnd"/>
                  <w:r w:rsidRPr="00A406E2">
                    <w:rPr>
                      <w:color w:val="000000"/>
                      <w:sz w:val="18"/>
                      <w:szCs w:val="18"/>
                      <w:lang w:val="en-US"/>
                    </w:rPr>
                    <w:t xml:space="preserve"> OCW (incl. DUO)</w:t>
                  </w:r>
                </w:p>
              </w:tc>
              <w:tc>
                <w:tcPr>
                  <w:tcW w:w="1276" w:type="dxa"/>
                  <w:tcBorders>
                    <w:top w:val="nil"/>
                    <w:left w:val="nil"/>
                    <w:bottom w:val="single" w:color="auto" w:sz="8" w:space="0"/>
                    <w:right w:val="single" w:color="auto" w:sz="8" w:space="0"/>
                  </w:tcBorders>
                  <w:vAlign w:val="center"/>
                  <w:hideMark/>
                </w:tcPr>
                <w:p w:rsidRPr="00A406E2" w:rsidR="00197085" w:rsidP="00197085" w:rsidRDefault="00197085" w14:paraId="7C2D5D41" w14:textId="77777777">
                  <w:pPr>
                    <w:spacing w:after="0"/>
                    <w:jc w:val="right"/>
                    <w:rPr>
                      <w:color w:val="000000"/>
                      <w:sz w:val="18"/>
                      <w:szCs w:val="18"/>
                    </w:rPr>
                  </w:pPr>
                  <w:r w:rsidRPr="00A406E2">
                    <w:rPr>
                      <w:color w:val="000000"/>
                      <w:sz w:val="18"/>
                      <w:szCs w:val="18"/>
                    </w:rPr>
                    <w:t>40.667</w:t>
                  </w:r>
                </w:p>
              </w:tc>
            </w:tr>
            <w:tr w:rsidRPr="00A406E2" w:rsidR="00197085" w:rsidTr="009638D7" w14:paraId="597953E7" w14:textId="77777777">
              <w:trPr>
                <w:trHeight w:val="330"/>
              </w:trPr>
              <w:tc>
                <w:tcPr>
                  <w:tcW w:w="5235" w:type="dxa"/>
                  <w:tcBorders>
                    <w:top w:val="nil"/>
                    <w:left w:val="single" w:color="auto" w:sz="8" w:space="0"/>
                    <w:bottom w:val="single" w:color="auto" w:sz="8" w:space="0"/>
                    <w:right w:val="single" w:color="auto" w:sz="8" w:space="0"/>
                  </w:tcBorders>
                  <w:vAlign w:val="center"/>
                  <w:hideMark/>
                </w:tcPr>
                <w:p w:rsidRPr="00A406E2" w:rsidR="00197085" w:rsidP="00197085" w:rsidRDefault="00197085" w14:paraId="33030ED4" w14:textId="77777777">
                  <w:pPr>
                    <w:spacing w:after="0"/>
                    <w:rPr>
                      <w:b/>
                      <w:bCs/>
                      <w:color w:val="000000"/>
                      <w:sz w:val="18"/>
                      <w:szCs w:val="18"/>
                    </w:rPr>
                  </w:pPr>
                  <w:proofErr w:type="spellStart"/>
                  <w:r w:rsidRPr="00A406E2">
                    <w:rPr>
                      <w:b/>
                      <w:bCs/>
                      <w:color w:val="000000"/>
                      <w:sz w:val="18"/>
                      <w:szCs w:val="18"/>
                      <w:lang w:val="en-US"/>
                    </w:rPr>
                    <w:t>Totaal</w:t>
                  </w:r>
                  <w:proofErr w:type="spellEnd"/>
                </w:p>
              </w:tc>
              <w:tc>
                <w:tcPr>
                  <w:tcW w:w="1276" w:type="dxa"/>
                  <w:tcBorders>
                    <w:top w:val="nil"/>
                    <w:left w:val="nil"/>
                    <w:bottom w:val="single" w:color="auto" w:sz="8" w:space="0"/>
                    <w:right w:val="single" w:color="auto" w:sz="8" w:space="0"/>
                  </w:tcBorders>
                  <w:vAlign w:val="center"/>
                  <w:hideMark/>
                </w:tcPr>
                <w:p w:rsidRPr="00A406E2" w:rsidR="00197085" w:rsidP="00197085" w:rsidRDefault="00197085" w14:paraId="175CAD84" w14:textId="77777777">
                  <w:pPr>
                    <w:spacing w:after="0"/>
                    <w:jc w:val="right"/>
                    <w:rPr>
                      <w:b/>
                      <w:bCs/>
                      <w:color w:val="000000"/>
                      <w:sz w:val="18"/>
                      <w:szCs w:val="18"/>
                    </w:rPr>
                  </w:pPr>
                  <w:r w:rsidRPr="00A406E2">
                    <w:rPr>
                      <w:b/>
                      <w:bCs/>
                      <w:color w:val="000000"/>
                      <w:sz w:val="18"/>
                      <w:szCs w:val="18"/>
                      <w:lang w:val="en-US"/>
                    </w:rPr>
                    <w:t>79.567</w:t>
                  </w:r>
                </w:p>
              </w:tc>
            </w:tr>
          </w:tbl>
          <w:p w:rsidRPr="00A406E2" w:rsidR="00197085" w:rsidP="00552EC0" w:rsidRDefault="00197085" w14:paraId="29687F4A" w14:textId="7832F8BA">
            <w:pPr>
              <w:rPr>
                <w:sz w:val="24"/>
                <w:szCs w:val="24"/>
              </w:rPr>
            </w:pPr>
          </w:p>
        </w:tc>
        <w:tc>
          <w:tcPr>
            <w:tcW w:w="850" w:type="dxa"/>
          </w:tcPr>
          <w:p w:rsidRPr="00A406E2" w:rsidR="00552EC0" w:rsidP="00552EC0" w:rsidRDefault="00552EC0" w14:paraId="28E810A7" w14:textId="314200E0">
            <w:pPr>
              <w:jc w:val="right"/>
              <w:rPr>
                <w:sz w:val="24"/>
                <w:szCs w:val="24"/>
              </w:rPr>
            </w:pPr>
            <w:r w:rsidRPr="00A406E2">
              <w:rPr>
                <w:sz w:val="24"/>
                <w:szCs w:val="24"/>
              </w:rPr>
              <w:lastRenderedPageBreak/>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552EC0" w14:paraId="69D3972E" w14:textId="77777777">
            <w:pPr>
              <w:jc w:val="right"/>
              <w:rPr>
                <w:sz w:val="24"/>
                <w:szCs w:val="24"/>
              </w:rPr>
            </w:pPr>
            <w:r w:rsidRPr="00A406E2">
              <w:rPr>
                <w:sz w:val="24"/>
                <w:szCs w:val="24"/>
              </w:rPr>
              <w:t>8</w:t>
            </w:r>
          </w:p>
        </w:tc>
        <w:tc>
          <w:tcPr>
            <w:tcW w:w="567" w:type="dxa"/>
          </w:tcPr>
          <w:p w:rsidRPr="00A406E2" w:rsidR="00552EC0" w:rsidP="00552EC0" w:rsidRDefault="00552EC0" w14:paraId="755BA89C" w14:textId="77777777">
            <w:pPr>
              <w:jc w:val="right"/>
              <w:rPr>
                <w:sz w:val="24"/>
                <w:szCs w:val="24"/>
              </w:rPr>
            </w:pPr>
            <w:r w:rsidRPr="00A406E2">
              <w:rPr>
                <w:sz w:val="24"/>
                <w:szCs w:val="24"/>
              </w:rPr>
              <w:t xml:space="preserve"> </w:t>
            </w:r>
          </w:p>
        </w:tc>
      </w:tr>
      <w:tr w:rsidRPr="00A406E2" w:rsidR="00552EC0" w:rsidTr="00B90BBB" w14:paraId="16AD6E7A" w14:textId="77777777">
        <w:tc>
          <w:tcPr>
            <w:tcW w:w="567" w:type="dxa"/>
          </w:tcPr>
          <w:p w:rsidRPr="00A406E2" w:rsidR="00552EC0" w:rsidP="00552EC0" w:rsidRDefault="00552EC0" w14:paraId="019959AF" w14:textId="784DABC2">
            <w:pPr>
              <w:rPr>
                <w:sz w:val="24"/>
                <w:szCs w:val="24"/>
              </w:rPr>
            </w:pPr>
            <w:r w:rsidRPr="00A406E2">
              <w:rPr>
                <w:sz w:val="24"/>
                <w:szCs w:val="24"/>
              </w:rPr>
              <w:t>22</w:t>
            </w:r>
          </w:p>
        </w:tc>
        <w:tc>
          <w:tcPr>
            <w:tcW w:w="6521" w:type="dxa"/>
          </w:tcPr>
          <w:p w:rsidRPr="00A406E2" w:rsidR="00552EC0" w:rsidP="00552EC0" w:rsidRDefault="00552EC0" w14:paraId="698451F7" w14:textId="77777777">
            <w:pPr>
              <w:rPr>
                <w:sz w:val="24"/>
                <w:szCs w:val="24"/>
              </w:rPr>
            </w:pPr>
            <w:r w:rsidRPr="00A406E2">
              <w:rPr>
                <w:sz w:val="24"/>
                <w:szCs w:val="24"/>
              </w:rPr>
              <w:t>Hoe is de verdeling van deze bijna €80 miljoen aan middelen</w:t>
            </w:r>
            <w:r w:rsidRPr="00A406E2" w:rsidR="00E603A0">
              <w:rPr>
                <w:sz w:val="24"/>
                <w:szCs w:val="24"/>
              </w:rPr>
              <w:t>, s</w:t>
            </w:r>
            <w:r w:rsidRPr="00A406E2">
              <w:rPr>
                <w:sz w:val="24"/>
                <w:szCs w:val="24"/>
              </w:rPr>
              <w:t>pecifiek qua uitvoering van deze maatregel en de uitbetaling?</w:t>
            </w:r>
          </w:p>
          <w:p w:rsidRPr="00A406E2" w:rsidR="00197085" w:rsidP="00552EC0" w:rsidRDefault="00197085" w14:paraId="73123BFA" w14:textId="14496506">
            <w:pPr>
              <w:rPr>
                <w:sz w:val="24"/>
                <w:szCs w:val="24"/>
              </w:rPr>
            </w:pPr>
            <w:r w:rsidRPr="00A406E2">
              <w:rPr>
                <w:sz w:val="24"/>
                <w:szCs w:val="24"/>
              </w:rPr>
              <w:t>De uitvoeringskosten van deze maatregel bedragen € 40,7 miljoen, de kosten aan schadeverzoeken bedragen € 38,9 miljoen. Zie hiervoor ook de tabel bij de vorige vraag.</w:t>
            </w:r>
          </w:p>
        </w:tc>
        <w:tc>
          <w:tcPr>
            <w:tcW w:w="850" w:type="dxa"/>
          </w:tcPr>
          <w:p w:rsidRPr="00A406E2" w:rsidR="00552EC0" w:rsidP="00552EC0" w:rsidRDefault="00552EC0" w14:paraId="1D93E8E0" w14:textId="77B4C6BB">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552EC0" w14:paraId="4E598C8D" w14:textId="77777777">
            <w:pPr>
              <w:jc w:val="right"/>
              <w:rPr>
                <w:sz w:val="24"/>
                <w:szCs w:val="24"/>
              </w:rPr>
            </w:pPr>
            <w:r w:rsidRPr="00A406E2">
              <w:rPr>
                <w:sz w:val="24"/>
                <w:szCs w:val="24"/>
              </w:rPr>
              <w:t>8</w:t>
            </w:r>
          </w:p>
        </w:tc>
        <w:tc>
          <w:tcPr>
            <w:tcW w:w="567" w:type="dxa"/>
          </w:tcPr>
          <w:p w:rsidRPr="00A406E2" w:rsidR="00552EC0" w:rsidP="00552EC0" w:rsidRDefault="00552EC0" w14:paraId="5C71D962" w14:textId="77777777">
            <w:pPr>
              <w:jc w:val="right"/>
              <w:rPr>
                <w:sz w:val="24"/>
                <w:szCs w:val="24"/>
              </w:rPr>
            </w:pPr>
            <w:r w:rsidRPr="00A406E2">
              <w:rPr>
                <w:sz w:val="24"/>
                <w:szCs w:val="24"/>
              </w:rPr>
              <w:t xml:space="preserve"> </w:t>
            </w:r>
          </w:p>
        </w:tc>
      </w:tr>
      <w:tr w:rsidRPr="00A406E2" w:rsidR="00552EC0" w:rsidTr="00B90BBB" w14:paraId="1C17861E" w14:textId="77777777">
        <w:tc>
          <w:tcPr>
            <w:tcW w:w="567" w:type="dxa"/>
          </w:tcPr>
          <w:p w:rsidRPr="00A406E2" w:rsidR="00552EC0" w:rsidP="00552EC0" w:rsidRDefault="00552EC0" w14:paraId="16740B0D" w14:textId="169B3150">
            <w:pPr>
              <w:rPr>
                <w:sz w:val="24"/>
                <w:szCs w:val="24"/>
              </w:rPr>
            </w:pPr>
            <w:r w:rsidRPr="00A406E2">
              <w:rPr>
                <w:sz w:val="24"/>
                <w:szCs w:val="24"/>
              </w:rPr>
              <w:t>23</w:t>
            </w:r>
          </w:p>
        </w:tc>
        <w:tc>
          <w:tcPr>
            <w:tcW w:w="6521" w:type="dxa"/>
          </w:tcPr>
          <w:p w:rsidRPr="00A406E2" w:rsidR="00552EC0" w:rsidP="00552EC0" w:rsidRDefault="00552EC0" w14:paraId="00A66468" w14:textId="77777777">
            <w:pPr>
              <w:rPr>
                <w:sz w:val="24"/>
                <w:szCs w:val="24"/>
              </w:rPr>
            </w:pPr>
            <w:r w:rsidRPr="00A406E2">
              <w:rPr>
                <w:sz w:val="24"/>
                <w:szCs w:val="24"/>
              </w:rPr>
              <w:t>Wat wordt er bedoeld met schade als gevolg van discriminatie?</w:t>
            </w:r>
          </w:p>
          <w:p w:rsidRPr="00A406E2" w:rsidR="001C1180" w:rsidP="001C1180" w:rsidRDefault="001C1180" w14:paraId="0A66940B" w14:textId="2EE4D33C">
            <w:pPr>
              <w:rPr>
                <w:sz w:val="24"/>
                <w:szCs w:val="24"/>
              </w:rPr>
            </w:pPr>
            <w:r w:rsidRPr="00A406E2">
              <w:rPr>
                <w:sz w:val="24"/>
                <w:szCs w:val="24"/>
              </w:rPr>
              <w:t xml:space="preserve">Door de indirecte discriminatie bij de controle van de uitwonendenbeurs kunnen (oud-)studenten schade hebben geleden. Dat kan zowel immateriële als materiële schade betreffen. </w:t>
            </w:r>
            <w:r w:rsidRPr="00A406E2" w:rsidR="00F4552E">
              <w:rPr>
                <w:sz w:val="24"/>
                <w:szCs w:val="24"/>
              </w:rPr>
              <w:t>We zijn</w:t>
            </w:r>
            <w:r w:rsidRPr="00A406E2">
              <w:rPr>
                <w:sz w:val="24"/>
                <w:szCs w:val="24"/>
              </w:rPr>
              <w:t xml:space="preserve"> tot de conclusie gekomen dat de Staat aansprakelijk is voor deze schade, omdat deze voortkomt uit een onrechtmatig besluit van de overheid waarvan de onrechtmatigheid in beginsel toe te rekenen is aan die overheid.</w:t>
            </w:r>
          </w:p>
          <w:p w:rsidRPr="00A406E2" w:rsidR="001C1180" w:rsidP="00552EC0" w:rsidRDefault="001C1180" w14:paraId="7CD8A532" w14:textId="2ED08411">
            <w:pPr>
              <w:rPr>
                <w:sz w:val="24"/>
                <w:szCs w:val="24"/>
                <w:u w:val="single"/>
              </w:rPr>
            </w:pPr>
            <w:r w:rsidRPr="00A406E2">
              <w:rPr>
                <w:sz w:val="24"/>
                <w:szCs w:val="24"/>
              </w:rPr>
              <w:t xml:space="preserve">Dit wordt toegelicht in de Kamerbrief </w:t>
            </w:r>
            <w:hyperlink w:history="1" r:id="rId15">
              <w:r w:rsidRPr="00A406E2">
                <w:rPr>
                  <w:rStyle w:val="Hyperlink"/>
                  <w:sz w:val="24"/>
                  <w:szCs w:val="24"/>
                </w:rPr>
                <w:t>over de schadeafhandeling na indirecte discriminatie bij de uitwonendenbeurs</w:t>
              </w:r>
            </w:hyperlink>
            <w:r w:rsidRPr="00A406E2">
              <w:rPr>
                <w:sz w:val="24"/>
                <w:szCs w:val="24"/>
              </w:rPr>
              <w:t>. Bij het nemen van de besluiten is gehandeld in strijd met het discriminatieverbod en de Algemene verordening gegevensbescherming (AVG). Daarnaast is bij de huisbezoeken het recht op privacy geschonden. Als een (oud-)student schade heeft opgelopen door een onrechtmatige besluit van de overheid, dan komt die schade – materieel en immaterieel – in aanmerking voor vergoeding.</w:t>
            </w:r>
          </w:p>
        </w:tc>
        <w:tc>
          <w:tcPr>
            <w:tcW w:w="850" w:type="dxa"/>
          </w:tcPr>
          <w:p w:rsidRPr="00A406E2" w:rsidR="00552EC0" w:rsidP="00552EC0" w:rsidRDefault="00552EC0" w14:paraId="1E466734" w14:textId="3C14BECF">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552EC0" w14:paraId="0DF1E912" w14:textId="77777777">
            <w:pPr>
              <w:jc w:val="right"/>
              <w:rPr>
                <w:sz w:val="24"/>
                <w:szCs w:val="24"/>
              </w:rPr>
            </w:pPr>
            <w:r w:rsidRPr="00A406E2">
              <w:rPr>
                <w:sz w:val="24"/>
                <w:szCs w:val="24"/>
              </w:rPr>
              <w:t>8</w:t>
            </w:r>
          </w:p>
        </w:tc>
        <w:tc>
          <w:tcPr>
            <w:tcW w:w="567" w:type="dxa"/>
          </w:tcPr>
          <w:p w:rsidRPr="00A406E2" w:rsidR="00552EC0" w:rsidP="00552EC0" w:rsidRDefault="00552EC0" w14:paraId="14870D57" w14:textId="77777777">
            <w:pPr>
              <w:jc w:val="right"/>
              <w:rPr>
                <w:sz w:val="24"/>
                <w:szCs w:val="24"/>
              </w:rPr>
            </w:pPr>
            <w:r w:rsidRPr="00A406E2">
              <w:rPr>
                <w:sz w:val="24"/>
                <w:szCs w:val="24"/>
              </w:rPr>
              <w:t xml:space="preserve"> </w:t>
            </w:r>
          </w:p>
        </w:tc>
      </w:tr>
      <w:tr w:rsidRPr="00A406E2" w:rsidR="00552EC0" w:rsidTr="00B90BBB" w14:paraId="72504159" w14:textId="77777777">
        <w:tc>
          <w:tcPr>
            <w:tcW w:w="567" w:type="dxa"/>
          </w:tcPr>
          <w:p w:rsidRPr="00A406E2" w:rsidR="00552EC0" w:rsidP="00552EC0" w:rsidRDefault="00552EC0" w14:paraId="4D80F9A0" w14:textId="7FC702B9">
            <w:pPr>
              <w:rPr>
                <w:sz w:val="24"/>
                <w:szCs w:val="24"/>
              </w:rPr>
            </w:pPr>
            <w:r w:rsidRPr="00A406E2">
              <w:rPr>
                <w:sz w:val="24"/>
                <w:szCs w:val="24"/>
              </w:rPr>
              <w:t>24</w:t>
            </w:r>
          </w:p>
        </w:tc>
        <w:tc>
          <w:tcPr>
            <w:tcW w:w="6521" w:type="dxa"/>
          </w:tcPr>
          <w:p w:rsidRPr="00A406E2" w:rsidR="00552EC0" w:rsidP="00552EC0" w:rsidRDefault="00552EC0" w14:paraId="3BFFF928" w14:textId="77777777">
            <w:pPr>
              <w:rPr>
                <w:sz w:val="24"/>
                <w:szCs w:val="24"/>
              </w:rPr>
            </w:pPr>
            <w:r w:rsidRPr="00A406E2">
              <w:rPr>
                <w:sz w:val="24"/>
                <w:szCs w:val="24"/>
              </w:rPr>
              <w:t>Klopt het dat de daadwerkelijk geleden schade betaald is?</w:t>
            </w:r>
          </w:p>
          <w:p w:rsidRPr="00A406E2" w:rsidR="00BB2D7B" w:rsidP="00552EC0" w:rsidRDefault="00BB2D7B" w14:paraId="67F548F6" w14:textId="2496BC01">
            <w:pPr>
              <w:rPr>
                <w:sz w:val="24"/>
                <w:szCs w:val="24"/>
                <w:u w:val="single"/>
              </w:rPr>
            </w:pPr>
            <w:r w:rsidRPr="00A406E2">
              <w:rPr>
                <w:sz w:val="24"/>
                <w:szCs w:val="24"/>
              </w:rPr>
              <w:t>Op dit moment is er nog geen schade betaald aan (oud-)studenten. Het streven is dat DUO na de zomer start met de schadeafhandeling en deze in 2030 afrondt.</w:t>
            </w:r>
            <w:r w:rsidRPr="00A406E2" w:rsidR="00232E5A">
              <w:rPr>
                <w:sz w:val="24"/>
                <w:szCs w:val="24"/>
              </w:rPr>
              <w:t xml:space="preserve"> Wel is DUO na een periode van voorbereiding sinds september 2025 begonnen met het uitvoeren van de eerste herzieningen en de daarbij behorende terugbetalingen. Met de herzieningen wordt bedoeld het terugdraaien van alle financiële maatregelen die zijn genomen op grond van de risicogerichte controlewijze. Het is de bedoeling dat er synergie ontstaat tussen de herzieningsopgave en de schadeafhandeling.</w:t>
            </w:r>
          </w:p>
        </w:tc>
        <w:tc>
          <w:tcPr>
            <w:tcW w:w="850" w:type="dxa"/>
          </w:tcPr>
          <w:p w:rsidRPr="00A406E2" w:rsidR="00552EC0" w:rsidP="00552EC0" w:rsidRDefault="00552EC0" w14:paraId="47FCFD67" w14:textId="32EBD5F5">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552EC0" w14:paraId="4F9231CF" w14:textId="77777777">
            <w:pPr>
              <w:jc w:val="right"/>
              <w:rPr>
                <w:sz w:val="24"/>
                <w:szCs w:val="24"/>
              </w:rPr>
            </w:pPr>
            <w:r w:rsidRPr="00A406E2">
              <w:rPr>
                <w:sz w:val="24"/>
                <w:szCs w:val="24"/>
              </w:rPr>
              <w:t>8</w:t>
            </w:r>
          </w:p>
        </w:tc>
        <w:tc>
          <w:tcPr>
            <w:tcW w:w="567" w:type="dxa"/>
          </w:tcPr>
          <w:p w:rsidRPr="00A406E2" w:rsidR="00552EC0" w:rsidP="00552EC0" w:rsidRDefault="00552EC0" w14:paraId="368DA06D" w14:textId="77777777">
            <w:pPr>
              <w:jc w:val="right"/>
              <w:rPr>
                <w:sz w:val="24"/>
                <w:szCs w:val="24"/>
              </w:rPr>
            </w:pPr>
            <w:r w:rsidRPr="00A406E2">
              <w:rPr>
                <w:sz w:val="24"/>
                <w:szCs w:val="24"/>
              </w:rPr>
              <w:t xml:space="preserve"> </w:t>
            </w:r>
          </w:p>
        </w:tc>
      </w:tr>
      <w:tr w:rsidRPr="00A406E2" w:rsidR="00552EC0" w:rsidTr="00B90BBB" w14:paraId="456A5BE2" w14:textId="77777777">
        <w:tc>
          <w:tcPr>
            <w:tcW w:w="567" w:type="dxa"/>
          </w:tcPr>
          <w:p w:rsidRPr="00A406E2" w:rsidR="00552EC0" w:rsidP="00552EC0" w:rsidRDefault="00552EC0" w14:paraId="0BE7E5AD" w14:textId="41BF38D3">
            <w:pPr>
              <w:rPr>
                <w:sz w:val="24"/>
                <w:szCs w:val="24"/>
              </w:rPr>
            </w:pPr>
            <w:r w:rsidRPr="00A406E2">
              <w:rPr>
                <w:sz w:val="24"/>
                <w:szCs w:val="24"/>
              </w:rPr>
              <w:t>25</w:t>
            </w:r>
          </w:p>
        </w:tc>
        <w:tc>
          <w:tcPr>
            <w:tcW w:w="6521" w:type="dxa"/>
          </w:tcPr>
          <w:p w:rsidRPr="00A406E2" w:rsidR="00552EC0" w:rsidP="00552EC0" w:rsidRDefault="00552EC0" w14:paraId="34ED1A3E" w14:textId="77777777">
            <w:pPr>
              <w:rPr>
                <w:sz w:val="24"/>
                <w:szCs w:val="24"/>
              </w:rPr>
            </w:pPr>
            <w:r w:rsidRPr="00A406E2">
              <w:rPr>
                <w:sz w:val="24"/>
                <w:szCs w:val="24"/>
              </w:rPr>
              <w:t>Welke gevolgen heeft het stopzetten van de regeling Versterking aansluiting beroepsonderwijskolom (VABOK)?</w:t>
            </w:r>
          </w:p>
          <w:p w:rsidRPr="00A406E2" w:rsidR="00AC3D3F" w:rsidP="00AC3D3F" w:rsidRDefault="00BB708E" w14:paraId="5A62D884" w14:textId="4853E63E">
            <w:pPr>
              <w:spacing w:after="0" w:line="240" w:lineRule="atLeast"/>
              <w:rPr>
                <w:sz w:val="24"/>
                <w:szCs w:val="24"/>
              </w:rPr>
            </w:pPr>
            <w:r w:rsidRPr="00A406E2">
              <w:rPr>
                <w:sz w:val="24"/>
                <w:szCs w:val="24"/>
              </w:rPr>
              <w:t xml:space="preserve">De reeds gehonoreerde aanvragen en de aanvragen die in de rondes van 2026 nog worden toegekend zullen worden uitbetaald aan de onderwijsinstellingen. De uitbetalingen lopen door tot en met 2028. Dat betekent dat tot en met 2028 onderwijsinstellingen in het vo, mbo en hbo nog met subsidiëring van OCW samen kunnen werken om de doorstroom binnen de beroepskolom te bevorderen binnen tekortsectoren en opleidingen met een hoger uitvalpercentage. De financiële ondersteuning vanuit OCW hierbij loopt na 2028 af. De overwegingen voor het stopzetten van de regeling worden </w:t>
            </w:r>
            <w:r w:rsidRPr="00A406E2">
              <w:rPr>
                <w:sz w:val="24"/>
                <w:szCs w:val="24"/>
              </w:rPr>
              <w:lastRenderedPageBreak/>
              <w:t>toegelicht in het antwoord op vraag 26. Het stopzetten van de regeling neemt niet weg dat de overgang van het vo en mbo naar hbo onze aandacht blijft hebben. Momenteel loopt er een evaluatie van de VABOK-regeling waarin ook de middelen voor het regionaal ambitieplan, gericht op regionale samenwerking ter verbetering van de doorstroom, worden geëvalueerd. Mede op basis van deze resultaten zal met het veld in gesprek worden gegaan over hoe de doorstroom binnen de beroepskolom gewaarborgd kan worden.</w:t>
            </w:r>
          </w:p>
        </w:tc>
        <w:tc>
          <w:tcPr>
            <w:tcW w:w="850" w:type="dxa"/>
          </w:tcPr>
          <w:p w:rsidRPr="00A406E2" w:rsidR="00552EC0" w:rsidP="00552EC0" w:rsidRDefault="00552EC0" w14:paraId="1D192269" w14:textId="55EC0BD4">
            <w:pPr>
              <w:jc w:val="right"/>
              <w:rPr>
                <w:sz w:val="24"/>
                <w:szCs w:val="24"/>
              </w:rPr>
            </w:pPr>
            <w:r w:rsidRPr="00A406E2">
              <w:rPr>
                <w:sz w:val="24"/>
                <w:szCs w:val="24"/>
              </w:rPr>
              <w:lastRenderedPageBreak/>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552EC0" w14:paraId="6849E38B" w14:textId="77777777">
            <w:pPr>
              <w:jc w:val="right"/>
              <w:rPr>
                <w:sz w:val="24"/>
                <w:szCs w:val="24"/>
              </w:rPr>
            </w:pPr>
            <w:r w:rsidRPr="00A406E2">
              <w:rPr>
                <w:sz w:val="24"/>
                <w:szCs w:val="24"/>
              </w:rPr>
              <w:t>8</w:t>
            </w:r>
          </w:p>
        </w:tc>
        <w:tc>
          <w:tcPr>
            <w:tcW w:w="567" w:type="dxa"/>
          </w:tcPr>
          <w:p w:rsidRPr="00A406E2" w:rsidR="00552EC0" w:rsidP="00552EC0" w:rsidRDefault="00552EC0" w14:paraId="75AB3DAF" w14:textId="77777777">
            <w:pPr>
              <w:jc w:val="right"/>
              <w:rPr>
                <w:sz w:val="24"/>
                <w:szCs w:val="24"/>
              </w:rPr>
            </w:pPr>
            <w:r w:rsidRPr="00A406E2">
              <w:rPr>
                <w:sz w:val="24"/>
                <w:szCs w:val="24"/>
              </w:rPr>
              <w:t xml:space="preserve"> </w:t>
            </w:r>
          </w:p>
        </w:tc>
      </w:tr>
      <w:tr w:rsidRPr="00A406E2" w:rsidR="00552EC0" w:rsidTr="00B90BBB" w14:paraId="55CC9260" w14:textId="77777777">
        <w:tc>
          <w:tcPr>
            <w:tcW w:w="567" w:type="dxa"/>
          </w:tcPr>
          <w:p w:rsidRPr="00A406E2" w:rsidR="00552EC0" w:rsidP="00552EC0" w:rsidRDefault="00552EC0" w14:paraId="1C53C9F1" w14:textId="2966CE5E">
            <w:pPr>
              <w:rPr>
                <w:sz w:val="24"/>
                <w:szCs w:val="24"/>
              </w:rPr>
            </w:pPr>
            <w:r w:rsidRPr="00A406E2">
              <w:rPr>
                <w:sz w:val="24"/>
                <w:szCs w:val="24"/>
              </w:rPr>
              <w:t>26</w:t>
            </w:r>
          </w:p>
        </w:tc>
        <w:tc>
          <w:tcPr>
            <w:tcW w:w="6521" w:type="dxa"/>
          </w:tcPr>
          <w:p w:rsidRPr="00A406E2" w:rsidR="00552EC0" w:rsidP="00552EC0" w:rsidRDefault="00552EC0" w14:paraId="53945F6A" w14:textId="77777777">
            <w:pPr>
              <w:rPr>
                <w:sz w:val="24"/>
                <w:szCs w:val="24"/>
              </w:rPr>
            </w:pPr>
            <w:r w:rsidRPr="00A406E2">
              <w:rPr>
                <w:sz w:val="24"/>
                <w:szCs w:val="24"/>
              </w:rPr>
              <w:t>Welke gedachte ligt ten grondslag aan het stopzetten van de regeling VABOK die ten goede kwam aan aansluitende opleidingsroutes tussen vo-mbo en mbo-hbo maar het wel intensiveren op de aansluiting tot de arbeidsmarkt vanuit het hbo? Kunt u de gegeven uitleg dat deze inzet in dezelfde geest is als de oorspronkelijke inzet verder duiden, gezien met deze keuzes verschillende doelgroepen bereikt worden?</w:t>
            </w:r>
          </w:p>
          <w:p w:rsidRPr="00A406E2" w:rsidR="00292A01" w:rsidP="00AC3D3F" w:rsidRDefault="00292A01" w14:paraId="71D3D32F" w14:textId="77777777">
            <w:pPr>
              <w:rPr>
                <w:sz w:val="24"/>
                <w:szCs w:val="24"/>
              </w:rPr>
            </w:pPr>
            <w:r w:rsidRPr="00A406E2">
              <w:rPr>
                <w:sz w:val="24"/>
                <w:szCs w:val="24"/>
              </w:rPr>
              <w:t>Zowel inzet op behoud van studenten in de beroepsonderwijskolom (vermindering van uitval) als intensivering op de aansluiting tot de arbeidsmarkt hebben tot doel om meer afgestudeerde studenten richting de arbeidsmarkt te krijgen in het licht van tekorten. Het gaat erom studenten op de juiste plaats in het onderwijs en uiteindelijk op de arbeidsmarkt terecht komen.</w:t>
            </w:r>
          </w:p>
          <w:p w:rsidRPr="00A406E2" w:rsidR="00AC3D3F" w:rsidP="00AC3D3F" w:rsidRDefault="00AC3D3F" w14:paraId="7E1D5AB1" w14:textId="66414A7F">
            <w:pPr>
              <w:rPr>
                <w:sz w:val="24"/>
                <w:szCs w:val="24"/>
              </w:rPr>
            </w:pPr>
            <w:r w:rsidRPr="00A406E2">
              <w:rPr>
                <w:sz w:val="24"/>
                <w:szCs w:val="24"/>
              </w:rPr>
              <w:t>De reden voor het stoppen van de VABOK-regeling is gebaseerd op de verschillende taakstellingen en de noodzaak om andere opgaven te financieren. Daarnaast heeft de VABOK-regeling de afgelopen jaren niet het bereik behaald waarop met de regeling is ingezet. Ongeveer 40% van de potentiële mbo-instellingen die aan de aanvraagvoorwaarden voldeed</w:t>
            </w:r>
            <w:r w:rsidRPr="00A406E2" w:rsidR="00A12692">
              <w:rPr>
                <w:sz w:val="24"/>
                <w:szCs w:val="24"/>
              </w:rPr>
              <w:t>,</w:t>
            </w:r>
            <w:r w:rsidRPr="00A406E2">
              <w:rPr>
                <w:sz w:val="24"/>
                <w:szCs w:val="24"/>
              </w:rPr>
              <w:t xml:space="preserve"> maakte geen gebruik van de regeling, terwijl het uitgangspunt van OCW was dat alle mbo-instellingen minimaal één aanvraag zouden doen. Dat maakt dat er op dit moment onvoldoende significante maatschappelijke impact kan worden gemaakt met de regeling, terwijl de middelen elders hard nodig zijn. </w:t>
            </w:r>
          </w:p>
          <w:p w:rsidRPr="00A406E2" w:rsidR="00AC3D3F" w:rsidP="00552EC0" w:rsidRDefault="00AC3D3F" w14:paraId="5576D80C" w14:textId="08B93E70">
            <w:pPr>
              <w:rPr>
                <w:sz w:val="24"/>
                <w:szCs w:val="24"/>
              </w:rPr>
            </w:pPr>
          </w:p>
        </w:tc>
        <w:tc>
          <w:tcPr>
            <w:tcW w:w="850" w:type="dxa"/>
          </w:tcPr>
          <w:p w:rsidRPr="00A406E2" w:rsidR="00552EC0" w:rsidP="00552EC0" w:rsidRDefault="00552EC0" w14:paraId="4B4B38B9" w14:textId="07F49BA0">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552EC0" w14:paraId="1FCBEE6C" w14:textId="77777777">
            <w:pPr>
              <w:jc w:val="right"/>
              <w:rPr>
                <w:sz w:val="24"/>
                <w:szCs w:val="24"/>
              </w:rPr>
            </w:pPr>
            <w:r w:rsidRPr="00A406E2">
              <w:rPr>
                <w:sz w:val="24"/>
                <w:szCs w:val="24"/>
              </w:rPr>
              <w:t>8</w:t>
            </w:r>
          </w:p>
        </w:tc>
        <w:tc>
          <w:tcPr>
            <w:tcW w:w="567" w:type="dxa"/>
          </w:tcPr>
          <w:p w:rsidRPr="00A406E2" w:rsidR="00552EC0" w:rsidP="00552EC0" w:rsidRDefault="00552EC0" w14:paraId="6D865736" w14:textId="77777777">
            <w:pPr>
              <w:jc w:val="right"/>
              <w:rPr>
                <w:sz w:val="24"/>
                <w:szCs w:val="24"/>
              </w:rPr>
            </w:pPr>
            <w:r w:rsidRPr="00A406E2">
              <w:rPr>
                <w:sz w:val="24"/>
                <w:szCs w:val="24"/>
              </w:rPr>
              <w:t xml:space="preserve"> </w:t>
            </w:r>
          </w:p>
        </w:tc>
      </w:tr>
      <w:tr w:rsidRPr="00A406E2" w:rsidR="00552EC0" w:rsidTr="00B90BBB" w14:paraId="7FE8A1AF" w14:textId="77777777">
        <w:tc>
          <w:tcPr>
            <w:tcW w:w="567" w:type="dxa"/>
          </w:tcPr>
          <w:p w:rsidRPr="00A406E2" w:rsidR="00552EC0" w:rsidP="00552EC0" w:rsidRDefault="00552EC0" w14:paraId="24184C1C" w14:textId="0A43CF1E">
            <w:pPr>
              <w:rPr>
                <w:sz w:val="24"/>
                <w:szCs w:val="24"/>
              </w:rPr>
            </w:pPr>
            <w:r w:rsidRPr="00A406E2">
              <w:rPr>
                <w:sz w:val="24"/>
                <w:szCs w:val="24"/>
              </w:rPr>
              <w:t>27</w:t>
            </w:r>
          </w:p>
        </w:tc>
        <w:tc>
          <w:tcPr>
            <w:tcW w:w="6521" w:type="dxa"/>
          </w:tcPr>
          <w:p w:rsidRPr="00A406E2" w:rsidR="00552EC0" w:rsidP="00552EC0" w:rsidRDefault="00552EC0" w14:paraId="064EBBA0" w14:textId="77777777">
            <w:pPr>
              <w:rPr>
                <w:sz w:val="24"/>
                <w:szCs w:val="24"/>
              </w:rPr>
            </w:pPr>
            <w:r w:rsidRPr="00A406E2">
              <w:rPr>
                <w:sz w:val="24"/>
                <w:szCs w:val="24"/>
              </w:rPr>
              <w:t>Waarvoor dient de regeling VABOK?</w:t>
            </w:r>
          </w:p>
          <w:p w:rsidRPr="00A406E2" w:rsidR="00AC3D3F" w:rsidP="00552EC0" w:rsidRDefault="00AC3D3F" w14:paraId="532CA2D7" w14:textId="15809E67">
            <w:pPr>
              <w:rPr>
                <w:sz w:val="24"/>
                <w:szCs w:val="24"/>
              </w:rPr>
            </w:pPr>
            <w:r w:rsidRPr="00A406E2">
              <w:rPr>
                <w:sz w:val="24"/>
                <w:szCs w:val="24"/>
              </w:rPr>
              <w:t>De VABOK-regeling wordt ingezet om de overgangsmomenten tussen sectoren in de beroepsonderwijskolom (v(s)o-mbo en mbo-hbo) te versterken om uitval en switch van studenten te verminderen en doorstroom te verbeteren voor deelnemende opleidingsroutes gericht op tekortsectoren.</w:t>
            </w:r>
          </w:p>
        </w:tc>
        <w:tc>
          <w:tcPr>
            <w:tcW w:w="850" w:type="dxa"/>
          </w:tcPr>
          <w:p w:rsidRPr="00A406E2" w:rsidR="00552EC0" w:rsidP="00552EC0" w:rsidRDefault="00552EC0" w14:paraId="726FF5AF" w14:textId="625120BF">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552EC0" w:rsidP="00552EC0" w:rsidRDefault="00552EC0" w14:paraId="4C3123C6" w14:textId="77777777">
            <w:pPr>
              <w:jc w:val="right"/>
              <w:rPr>
                <w:sz w:val="24"/>
                <w:szCs w:val="24"/>
              </w:rPr>
            </w:pPr>
            <w:r w:rsidRPr="00A406E2">
              <w:rPr>
                <w:sz w:val="24"/>
                <w:szCs w:val="24"/>
              </w:rPr>
              <w:t>8</w:t>
            </w:r>
          </w:p>
        </w:tc>
        <w:tc>
          <w:tcPr>
            <w:tcW w:w="567" w:type="dxa"/>
          </w:tcPr>
          <w:p w:rsidRPr="00A406E2" w:rsidR="00552EC0" w:rsidP="00552EC0" w:rsidRDefault="00552EC0" w14:paraId="14363DAC" w14:textId="77777777">
            <w:pPr>
              <w:jc w:val="right"/>
              <w:rPr>
                <w:sz w:val="24"/>
                <w:szCs w:val="24"/>
              </w:rPr>
            </w:pPr>
            <w:r w:rsidRPr="00A406E2">
              <w:rPr>
                <w:sz w:val="24"/>
                <w:szCs w:val="24"/>
              </w:rPr>
              <w:t xml:space="preserve"> </w:t>
            </w:r>
          </w:p>
        </w:tc>
      </w:tr>
      <w:tr w:rsidRPr="00A406E2" w:rsidR="00297A51" w:rsidTr="00B90BBB" w14:paraId="4843605E" w14:textId="77777777">
        <w:tc>
          <w:tcPr>
            <w:tcW w:w="567" w:type="dxa"/>
          </w:tcPr>
          <w:p w:rsidRPr="00A406E2" w:rsidR="00297A51" w:rsidP="00552EC0" w:rsidRDefault="00297A51" w14:paraId="5CCB5DC1" w14:textId="63439556">
            <w:pPr>
              <w:rPr>
                <w:sz w:val="24"/>
                <w:szCs w:val="24"/>
              </w:rPr>
            </w:pPr>
            <w:r w:rsidRPr="00A406E2">
              <w:rPr>
                <w:sz w:val="24"/>
                <w:szCs w:val="24"/>
              </w:rPr>
              <w:t>28</w:t>
            </w:r>
          </w:p>
        </w:tc>
        <w:tc>
          <w:tcPr>
            <w:tcW w:w="6521" w:type="dxa"/>
          </w:tcPr>
          <w:p w:rsidRPr="00A406E2" w:rsidR="00297A51" w:rsidP="00552EC0" w:rsidRDefault="0093459B" w14:paraId="77A63952" w14:textId="77777777">
            <w:pPr>
              <w:rPr>
                <w:sz w:val="24"/>
                <w:szCs w:val="24"/>
              </w:rPr>
            </w:pPr>
            <w:r w:rsidRPr="00A406E2">
              <w:rPr>
                <w:sz w:val="24"/>
                <w:szCs w:val="24"/>
              </w:rPr>
              <w:t xml:space="preserve">Wat gaat er gebeuren met het incidentele bedrag van €22,9 miljoen voor de Versterkte Aanpak </w:t>
            </w:r>
            <w:proofErr w:type="spellStart"/>
            <w:r w:rsidRPr="00A406E2">
              <w:rPr>
                <w:sz w:val="24"/>
                <w:szCs w:val="24"/>
              </w:rPr>
              <w:t>lhbtiq</w:t>
            </w:r>
            <w:proofErr w:type="spellEnd"/>
            <w:r w:rsidRPr="00A406E2">
              <w:rPr>
                <w:sz w:val="24"/>
                <w:szCs w:val="24"/>
              </w:rPr>
              <w:t>+?</w:t>
            </w:r>
          </w:p>
          <w:p w:rsidRPr="00A406E2" w:rsidR="004C258C" w:rsidP="00552EC0" w:rsidRDefault="004C258C" w14:paraId="00D897F3" w14:textId="17C39DB4">
            <w:pPr>
              <w:rPr>
                <w:sz w:val="24"/>
                <w:szCs w:val="24"/>
              </w:rPr>
            </w:pPr>
            <w:r w:rsidRPr="00A406E2">
              <w:rPr>
                <w:sz w:val="24"/>
                <w:szCs w:val="24"/>
              </w:rPr>
              <w:t xml:space="preserve">Een groot deel van het budget wordt besteed aan het ontwikkelen van een lokale veiligheidsaanpak via regenbooggemeenten. Andere maatregelen zijn onder meer gericht op de versterking van het maatschappelijk middenveld, het stimuleren van netwerkvorming en kennisdeling, het doen van onderzoeken naar grondoorzaken van onveiligheid en het organiseren van campagnes die zich richten </w:t>
            </w:r>
            <w:r w:rsidRPr="00A406E2">
              <w:rPr>
                <w:sz w:val="24"/>
                <w:szCs w:val="24"/>
              </w:rPr>
              <w:lastRenderedPageBreak/>
              <w:t>op het tegengaan van discriminatie.</w:t>
            </w:r>
            <w:r w:rsidRPr="00A406E2" w:rsidR="00B8556A">
              <w:t xml:space="preserve"> </w:t>
            </w:r>
            <w:r w:rsidRPr="00A406E2" w:rsidR="00B8556A">
              <w:rPr>
                <w:sz w:val="24"/>
                <w:szCs w:val="24"/>
              </w:rPr>
              <w:t>In de emancipatienota 2026-2030, naar verwachting</w:t>
            </w:r>
            <w:r w:rsidRPr="00A406E2" w:rsidR="00F13E99">
              <w:rPr>
                <w:sz w:val="24"/>
                <w:szCs w:val="24"/>
              </w:rPr>
              <w:t xml:space="preserve"> verstuurd</w:t>
            </w:r>
            <w:r w:rsidRPr="00A406E2" w:rsidR="00B8556A">
              <w:rPr>
                <w:sz w:val="24"/>
                <w:szCs w:val="24"/>
              </w:rPr>
              <w:t xml:space="preserve"> in september 2026, wordt nader ingegaan op de plannen.</w:t>
            </w:r>
          </w:p>
        </w:tc>
        <w:tc>
          <w:tcPr>
            <w:tcW w:w="850" w:type="dxa"/>
          </w:tcPr>
          <w:p w:rsidRPr="00A406E2" w:rsidR="00297A51" w:rsidP="00552EC0" w:rsidRDefault="0093459B" w14:paraId="1049E8CC" w14:textId="6EDC91CE">
            <w:pPr>
              <w:jc w:val="right"/>
              <w:rPr>
                <w:sz w:val="24"/>
                <w:szCs w:val="24"/>
              </w:rPr>
            </w:pPr>
            <w:r w:rsidRPr="00A406E2">
              <w:rPr>
                <w:sz w:val="24"/>
                <w:szCs w:val="24"/>
              </w:rPr>
              <w:lastRenderedPageBreak/>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93459B" w14:paraId="7E749154" w14:textId="1ED27BDB">
            <w:pPr>
              <w:jc w:val="right"/>
              <w:rPr>
                <w:sz w:val="24"/>
                <w:szCs w:val="24"/>
              </w:rPr>
            </w:pPr>
            <w:r w:rsidRPr="00A406E2">
              <w:rPr>
                <w:sz w:val="24"/>
                <w:szCs w:val="24"/>
              </w:rPr>
              <w:t>9</w:t>
            </w:r>
          </w:p>
        </w:tc>
        <w:tc>
          <w:tcPr>
            <w:tcW w:w="567" w:type="dxa"/>
          </w:tcPr>
          <w:p w:rsidRPr="00A406E2" w:rsidR="00297A51" w:rsidP="00552EC0" w:rsidRDefault="00297A51" w14:paraId="58F84A33" w14:textId="77777777">
            <w:pPr>
              <w:jc w:val="right"/>
              <w:rPr>
                <w:sz w:val="24"/>
                <w:szCs w:val="24"/>
              </w:rPr>
            </w:pPr>
          </w:p>
        </w:tc>
      </w:tr>
      <w:tr w:rsidRPr="00A406E2" w:rsidR="00297A51" w:rsidTr="00B90BBB" w14:paraId="3A00E703" w14:textId="77777777">
        <w:tc>
          <w:tcPr>
            <w:tcW w:w="567" w:type="dxa"/>
          </w:tcPr>
          <w:p w:rsidRPr="00A406E2" w:rsidR="00297A51" w:rsidP="00552EC0" w:rsidRDefault="00297A51" w14:paraId="1A8FAB3D" w14:textId="48853AE6">
            <w:pPr>
              <w:rPr>
                <w:sz w:val="24"/>
                <w:szCs w:val="24"/>
              </w:rPr>
            </w:pPr>
            <w:r w:rsidRPr="00A406E2">
              <w:rPr>
                <w:sz w:val="24"/>
                <w:szCs w:val="24"/>
              </w:rPr>
              <w:t>29</w:t>
            </w:r>
          </w:p>
        </w:tc>
        <w:tc>
          <w:tcPr>
            <w:tcW w:w="6521" w:type="dxa"/>
          </w:tcPr>
          <w:p w:rsidRPr="00A406E2" w:rsidR="00297A51" w:rsidP="00552EC0" w:rsidRDefault="00297A51" w14:paraId="204F5FAD" w14:textId="77777777">
            <w:pPr>
              <w:rPr>
                <w:sz w:val="24"/>
                <w:szCs w:val="24"/>
              </w:rPr>
            </w:pPr>
            <w:r w:rsidRPr="00A406E2">
              <w:rPr>
                <w:sz w:val="24"/>
                <w:szCs w:val="24"/>
              </w:rPr>
              <w:t>Vanuit welke noodzaak wordt de gebruikersvergoeding voor de Europese School verhoogd?</w:t>
            </w:r>
          </w:p>
          <w:p w:rsidRPr="00A406E2" w:rsidR="00BD09F8" w:rsidP="00552EC0" w:rsidRDefault="00894378" w14:paraId="321140B5" w14:textId="77777777">
            <w:pPr>
              <w:rPr>
                <w:sz w:val="24"/>
                <w:szCs w:val="24"/>
              </w:rPr>
            </w:pPr>
            <w:r w:rsidRPr="00A406E2">
              <w:rPr>
                <w:sz w:val="24"/>
                <w:szCs w:val="24"/>
              </w:rPr>
              <w:t>Het bedrag aan gebruikersvergoeding komt voort uit de nieuwe systematiek waarbij het beheer en onderhoud bij het Rijksvastgoedbedrijf ligt</w:t>
            </w:r>
            <w:r w:rsidRPr="00A406E2" w:rsidR="00842E0C">
              <w:rPr>
                <w:sz w:val="24"/>
                <w:szCs w:val="24"/>
              </w:rPr>
              <w:t xml:space="preserve">. OCW gaat vanaf nu jaarlijks </w:t>
            </w:r>
            <w:r w:rsidRPr="00A406E2" w:rsidR="00E665DF">
              <w:rPr>
                <w:sz w:val="24"/>
                <w:szCs w:val="24"/>
              </w:rPr>
              <w:t>een gebruikersvergoeding aan het Rijksvastgoedbedrijf betalen die ook de component rente en afschrijving op de investering bevat.</w:t>
            </w:r>
          </w:p>
          <w:p w:rsidRPr="00A406E2" w:rsidR="00145239" w:rsidP="00552EC0" w:rsidRDefault="00894378" w14:paraId="14A915F5" w14:textId="0FA1178D">
            <w:pPr>
              <w:rPr>
                <w:sz w:val="24"/>
                <w:szCs w:val="24"/>
              </w:rPr>
            </w:pPr>
            <w:r w:rsidRPr="00A406E2">
              <w:rPr>
                <w:sz w:val="24"/>
                <w:szCs w:val="24"/>
              </w:rPr>
              <w:t>Omdat het huidige gebouw al afgeschreven is zijn hier</w:t>
            </w:r>
            <w:r w:rsidRPr="00A406E2" w:rsidR="00842E0C">
              <w:rPr>
                <w:sz w:val="24"/>
                <w:szCs w:val="24"/>
              </w:rPr>
              <w:t xml:space="preserve"> voor </w:t>
            </w:r>
            <w:r w:rsidRPr="00A406E2" w:rsidR="00E665DF">
              <w:rPr>
                <w:sz w:val="24"/>
                <w:szCs w:val="24"/>
              </w:rPr>
              <w:t xml:space="preserve">de </w:t>
            </w:r>
            <w:r w:rsidRPr="00A406E2" w:rsidR="00842E0C">
              <w:rPr>
                <w:sz w:val="24"/>
                <w:szCs w:val="24"/>
              </w:rPr>
              <w:t>rente en afschrijving</w:t>
            </w:r>
            <w:r w:rsidRPr="00A406E2">
              <w:rPr>
                <w:sz w:val="24"/>
                <w:szCs w:val="24"/>
              </w:rPr>
              <w:t xml:space="preserve"> nu geen kosten voor. </w:t>
            </w:r>
          </w:p>
        </w:tc>
        <w:tc>
          <w:tcPr>
            <w:tcW w:w="850" w:type="dxa"/>
          </w:tcPr>
          <w:p w:rsidRPr="00A406E2" w:rsidR="00297A51" w:rsidP="00552EC0" w:rsidRDefault="00297A51" w14:paraId="35BC26D4" w14:textId="1AA1D2E3">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0E2A7028" w14:textId="77777777">
            <w:pPr>
              <w:jc w:val="right"/>
              <w:rPr>
                <w:sz w:val="24"/>
                <w:szCs w:val="24"/>
              </w:rPr>
            </w:pPr>
            <w:r w:rsidRPr="00A406E2">
              <w:rPr>
                <w:sz w:val="24"/>
                <w:szCs w:val="24"/>
              </w:rPr>
              <w:t>9</w:t>
            </w:r>
          </w:p>
        </w:tc>
        <w:tc>
          <w:tcPr>
            <w:tcW w:w="567" w:type="dxa"/>
          </w:tcPr>
          <w:p w:rsidRPr="00A406E2" w:rsidR="00297A51" w:rsidP="00552EC0" w:rsidRDefault="00297A51" w14:paraId="0D1D598B" w14:textId="77777777">
            <w:pPr>
              <w:jc w:val="right"/>
              <w:rPr>
                <w:sz w:val="24"/>
                <w:szCs w:val="24"/>
              </w:rPr>
            </w:pPr>
            <w:r w:rsidRPr="00A406E2">
              <w:rPr>
                <w:sz w:val="24"/>
                <w:szCs w:val="24"/>
              </w:rPr>
              <w:t xml:space="preserve"> </w:t>
            </w:r>
          </w:p>
        </w:tc>
      </w:tr>
      <w:tr w:rsidRPr="00A406E2" w:rsidR="00297A51" w:rsidTr="00B90BBB" w14:paraId="0C39550B" w14:textId="77777777">
        <w:tc>
          <w:tcPr>
            <w:tcW w:w="567" w:type="dxa"/>
          </w:tcPr>
          <w:p w:rsidRPr="00A406E2" w:rsidR="00297A51" w:rsidP="00552EC0" w:rsidRDefault="00297A51" w14:paraId="4FAB3CCC" w14:textId="16204FF3">
            <w:pPr>
              <w:rPr>
                <w:sz w:val="24"/>
                <w:szCs w:val="24"/>
              </w:rPr>
            </w:pPr>
            <w:r w:rsidRPr="00A406E2">
              <w:rPr>
                <w:sz w:val="24"/>
                <w:szCs w:val="24"/>
              </w:rPr>
              <w:t>30</w:t>
            </w:r>
          </w:p>
        </w:tc>
        <w:tc>
          <w:tcPr>
            <w:tcW w:w="6521" w:type="dxa"/>
          </w:tcPr>
          <w:p w:rsidRPr="00A406E2" w:rsidR="00297A51" w:rsidP="00552EC0" w:rsidRDefault="00297A51" w14:paraId="4B2D2A84" w14:textId="77777777">
            <w:pPr>
              <w:rPr>
                <w:sz w:val="24"/>
                <w:szCs w:val="24"/>
              </w:rPr>
            </w:pPr>
            <w:r w:rsidRPr="00A406E2">
              <w:rPr>
                <w:sz w:val="24"/>
                <w:szCs w:val="24"/>
              </w:rPr>
              <w:t>Welke gevolgen zijn te verwachten door het extensiveren op de loon- en prijsbijstelling in het funderend onderwijs, met name met betrekking tot leraren en tekorten op scholen?</w:t>
            </w:r>
          </w:p>
          <w:p w:rsidRPr="00A406E2" w:rsidR="00145239" w:rsidP="00552EC0" w:rsidRDefault="00777D68" w14:paraId="77484EB9" w14:textId="2ECAE0BD">
            <w:pPr>
              <w:rPr>
                <w:sz w:val="24"/>
                <w:szCs w:val="24"/>
              </w:rPr>
            </w:pPr>
            <w:r w:rsidRPr="00A406E2">
              <w:rPr>
                <w:sz w:val="24"/>
                <w:szCs w:val="24"/>
              </w:rPr>
              <w:t>De loonbijstelling is volledig uitgekeerd aan de</w:t>
            </w:r>
            <w:r w:rsidRPr="00A406E2" w:rsidR="00145239">
              <w:rPr>
                <w:sz w:val="24"/>
                <w:szCs w:val="24"/>
              </w:rPr>
              <w:t xml:space="preserve"> bekostiging van scholen </w:t>
            </w:r>
            <w:r w:rsidRPr="00A406E2">
              <w:rPr>
                <w:sz w:val="24"/>
                <w:szCs w:val="24"/>
              </w:rPr>
              <w:t>in het funderend onderwijs. Tevens is de prijsbijstelling volledig uitgekeerd aan de bekostiging van het primair onderwijs. Er zijn daarom naar verwachting geen gevolgen voor leraren en tekorten op scholen door de kabinetskorting op de prijsbijstelling tranche 2026. In het voortgezet onderwijs wordt vanaf 2028 € 19,3 miljoen gekort op de prijsbijstelling, oplopend tot structureel € 24,7 miljoen. De prijsbijstelling is bedoeld voor compensatie van prijsstijgingen van materiële uitgaven. De gevolgen van deze korting voor leraren en tekorten op scholen in het voortgezet onderwijs zullen daarom naar verwachting zeer beperkt zijn.</w:t>
            </w:r>
          </w:p>
        </w:tc>
        <w:tc>
          <w:tcPr>
            <w:tcW w:w="850" w:type="dxa"/>
          </w:tcPr>
          <w:p w:rsidRPr="00A406E2" w:rsidR="00297A51" w:rsidP="00552EC0" w:rsidRDefault="00297A51" w14:paraId="2C010FA3" w14:textId="2A3A49DB">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3FC1A094" w14:textId="77777777">
            <w:pPr>
              <w:jc w:val="right"/>
              <w:rPr>
                <w:sz w:val="24"/>
                <w:szCs w:val="24"/>
              </w:rPr>
            </w:pPr>
            <w:r w:rsidRPr="00A406E2">
              <w:rPr>
                <w:sz w:val="24"/>
                <w:szCs w:val="24"/>
              </w:rPr>
              <w:t>9</w:t>
            </w:r>
          </w:p>
        </w:tc>
        <w:tc>
          <w:tcPr>
            <w:tcW w:w="567" w:type="dxa"/>
          </w:tcPr>
          <w:p w:rsidRPr="00A406E2" w:rsidR="00297A51" w:rsidP="00552EC0" w:rsidRDefault="00297A51" w14:paraId="023A28BC" w14:textId="77777777">
            <w:pPr>
              <w:jc w:val="right"/>
              <w:rPr>
                <w:sz w:val="24"/>
                <w:szCs w:val="24"/>
              </w:rPr>
            </w:pPr>
            <w:r w:rsidRPr="00A406E2">
              <w:rPr>
                <w:sz w:val="24"/>
                <w:szCs w:val="24"/>
              </w:rPr>
              <w:t xml:space="preserve"> </w:t>
            </w:r>
          </w:p>
        </w:tc>
      </w:tr>
      <w:tr w:rsidRPr="00A406E2" w:rsidR="00297A51" w:rsidTr="00B90BBB" w14:paraId="2CADE469" w14:textId="77777777">
        <w:tc>
          <w:tcPr>
            <w:tcW w:w="567" w:type="dxa"/>
          </w:tcPr>
          <w:p w:rsidRPr="00A406E2" w:rsidR="00297A51" w:rsidP="00552EC0" w:rsidRDefault="00297A51" w14:paraId="0E8048F0" w14:textId="723C7F8E">
            <w:pPr>
              <w:rPr>
                <w:sz w:val="24"/>
                <w:szCs w:val="24"/>
              </w:rPr>
            </w:pPr>
            <w:r w:rsidRPr="00A406E2">
              <w:rPr>
                <w:sz w:val="24"/>
                <w:szCs w:val="24"/>
              </w:rPr>
              <w:t>31</w:t>
            </w:r>
          </w:p>
        </w:tc>
        <w:tc>
          <w:tcPr>
            <w:tcW w:w="6521" w:type="dxa"/>
          </w:tcPr>
          <w:p w:rsidRPr="00A406E2" w:rsidR="00297A51" w:rsidP="00552EC0" w:rsidRDefault="00297A51" w14:paraId="6816EF1E" w14:textId="77777777">
            <w:pPr>
              <w:rPr>
                <w:sz w:val="24"/>
                <w:szCs w:val="24"/>
              </w:rPr>
            </w:pPr>
            <w:r w:rsidRPr="00A406E2">
              <w:rPr>
                <w:sz w:val="24"/>
                <w:szCs w:val="24"/>
              </w:rPr>
              <w:t>Hoeveel brugfunctionarissen zijn er op dit moment actief in Nederland?</w:t>
            </w:r>
          </w:p>
          <w:p w:rsidRPr="00A406E2" w:rsidR="00145239" w:rsidP="00552EC0" w:rsidRDefault="00145239" w14:paraId="6A7AE3A9" w14:textId="4E98FB2C">
            <w:pPr>
              <w:rPr>
                <w:sz w:val="24"/>
                <w:szCs w:val="24"/>
              </w:rPr>
            </w:pPr>
            <w:r w:rsidRPr="00A406E2">
              <w:rPr>
                <w:sz w:val="24"/>
                <w:szCs w:val="24"/>
              </w:rPr>
              <w:t xml:space="preserve">Op dit moment ontvangen 1132 scholen subsidie voor het inzetten van een brugfunctionaris. Op deze scholen is in ieder geval één brugfunctionaris actief, maar er zijn ook scholen die meerdere brugfunctionarissen inzetten. </w:t>
            </w:r>
          </w:p>
        </w:tc>
        <w:tc>
          <w:tcPr>
            <w:tcW w:w="850" w:type="dxa"/>
          </w:tcPr>
          <w:p w:rsidRPr="00A406E2" w:rsidR="00297A51" w:rsidP="00552EC0" w:rsidRDefault="00297A51" w14:paraId="077CBC1A" w14:textId="66D7C095">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5748EA3D" w14:textId="77777777">
            <w:pPr>
              <w:jc w:val="right"/>
              <w:rPr>
                <w:sz w:val="24"/>
                <w:szCs w:val="24"/>
              </w:rPr>
            </w:pPr>
            <w:r w:rsidRPr="00A406E2">
              <w:rPr>
                <w:sz w:val="24"/>
                <w:szCs w:val="24"/>
              </w:rPr>
              <w:t>9</w:t>
            </w:r>
          </w:p>
        </w:tc>
        <w:tc>
          <w:tcPr>
            <w:tcW w:w="567" w:type="dxa"/>
          </w:tcPr>
          <w:p w:rsidRPr="00A406E2" w:rsidR="00297A51" w:rsidP="00552EC0" w:rsidRDefault="00297A51" w14:paraId="234F1A3A" w14:textId="77777777">
            <w:pPr>
              <w:jc w:val="right"/>
              <w:rPr>
                <w:sz w:val="24"/>
                <w:szCs w:val="24"/>
              </w:rPr>
            </w:pPr>
            <w:r w:rsidRPr="00A406E2">
              <w:rPr>
                <w:sz w:val="24"/>
                <w:szCs w:val="24"/>
              </w:rPr>
              <w:t xml:space="preserve"> </w:t>
            </w:r>
          </w:p>
        </w:tc>
      </w:tr>
      <w:tr w:rsidRPr="00A406E2" w:rsidR="00297A51" w:rsidTr="00B90BBB" w14:paraId="3FD9987E" w14:textId="77777777">
        <w:tc>
          <w:tcPr>
            <w:tcW w:w="567" w:type="dxa"/>
          </w:tcPr>
          <w:p w:rsidRPr="00A406E2" w:rsidR="00297A51" w:rsidP="00552EC0" w:rsidRDefault="00297A51" w14:paraId="2620529C" w14:textId="2A688DC0">
            <w:pPr>
              <w:rPr>
                <w:sz w:val="24"/>
                <w:szCs w:val="24"/>
              </w:rPr>
            </w:pPr>
            <w:r w:rsidRPr="00A406E2">
              <w:rPr>
                <w:sz w:val="24"/>
                <w:szCs w:val="24"/>
              </w:rPr>
              <w:t>32</w:t>
            </w:r>
          </w:p>
        </w:tc>
        <w:tc>
          <w:tcPr>
            <w:tcW w:w="6521" w:type="dxa"/>
          </w:tcPr>
          <w:p w:rsidRPr="00A406E2" w:rsidR="00297A51" w:rsidP="00552EC0" w:rsidRDefault="00297A51" w14:paraId="595CB9EE" w14:textId="77777777">
            <w:pPr>
              <w:rPr>
                <w:sz w:val="24"/>
                <w:szCs w:val="24"/>
              </w:rPr>
            </w:pPr>
            <w:r w:rsidRPr="00A406E2">
              <w:rPr>
                <w:sz w:val="24"/>
                <w:szCs w:val="24"/>
              </w:rPr>
              <w:t>Hoeveel brugfunctionarissen kunnen er worden gefinancierd van €19 miljoen?</w:t>
            </w:r>
          </w:p>
          <w:p w:rsidR="00CB78A0" w:rsidP="00CB78A0" w:rsidRDefault="00CB78A0" w14:paraId="52A4CBF8" w14:textId="77777777">
            <w:pPr>
              <w:rPr>
                <w:sz w:val="24"/>
                <w:szCs w:val="24"/>
              </w:rPr>
            </w:pPr>
            <w:r w:rsidRPr="004C12E7">
              <w:rPr>
                <w:sz w:val="24"/>
                <w:szCs w:val="24"/>
              </w:rPr>
              <w:t xml:space="preserve">Op basis van de budgetverdeling tussen het primair en voortgezet onderwijs en de vaste bedragen van de huidige regeling </w:t>
            </w:r>
            <w:r>
              <w:rPr>
                <w:sz w:val="24"/>
                <w:szCs w:val="24"/>
              </w:rPr>
              <w:t>zou</w:t>
            </w:r>
            <w:r w:rsidRPr="004C12E7">
              <w:rPr>
                <w:sz w:val="24"/>
                <w:szCs w:val="24"/>
              </w:rPr>
              <w:t xml:space="preserve"> met €19 miljoen in totaal 373 vestigingen in het primair onderwijs, speciaal basisonderwijs en (voortgezet) speciaal onderwijs</w:t>
            </w:r>
            <w:r>
              <w:rPr>
                <w:sz w:val="24"/>
                <w:szCs w:val="24"/>
              </w:rPr>
              <w:t xml:space="preserve"> extra</w:t>
            </w:r>
            <w:r w:rsidRPr="004C12E7">
              <w:rPr>
                <w:sz w:val="24"/>
                <w:szCs w:val="24"/>
              </w:rPr>
              <w:t xml:space="preserve"> en 34 scholen in het voortgezet onderwijs</w:t>
            </w:r>
            <w:r>
              <w:rPr>
                <w:sz w:val="24"/>
                <w:szCs w:val="24"/>
              </w:rPr>
              <w:t xml:space="preserve"> extra</w:t>
            </w:r>
            <w:r w:rsidRPr="004C12E7">
              <w:rPr>
                <w:sz w:val="24"/>
                <w:szCs w:val="24"/>
              </w:rPr>
              <w:t xml:space="preserve"> een bedrag voor één schooljaar</w:t>
            </w:r>
            <w:r>
              <w:rPr>
                <w:sz w:val="24"/>
                <w:szCs w:val="24"/>
              </w:rPr>
              <w:t xml:space="preserve"> kunnen</w:t>
            </w:r>
            <w:r w:rsidRPr="004C12E7">
              <w:rPr>
                <w:sz w:val="24"/>
                <w:szCs w:val="24"/>
              </w:rPr>
              <w:t xml:space="preserve"> ontvangen. Met dat bedrag </w:t>
            </w:r>
            <w:r>
              <w:rPr>
                <w:sz w:val="24"/>
                <w:szCs w:val="24"/>
              </w:rPr>
              <w:t>zou</w:t>
            </w:r>
            <w:r w:rsidRPr="004C12E7">
              <w:rPr>
                <w:sz w:val="24"/>
                <w:szCs w:val="24"/>
              </w:rPr>
              <w:t xml:space="preserve"> een school één of meerdere </w:t>
            </w:r>
            <w:r>
              <w:rPr>
                <w:sz w:val="24"/>
                <w:szCs w:val="24"/>
              </w:rPr>
              <w:t xml:space="preserve">extra </w:t>
            </w:r>
            <w:r w:rsidRPr="004C12E7">
              <w:rPr>
                <w:sz w:val="24"/>
                <w:szCs w:val="24"/>
              </w:rPr>
              <w:t>brugfunctionarissen</w:t>
            </w:r>
            <w:r>
              <w:rPr>
                <w:sz w:val="24"/>
                <w:szCs w:val="24"/>
              </w:rPr>
              <w:t xml:space="preserve"> kunnen</w:t>
            </w:r>
            <w:r w:rsidRPr="004C12E7">
              <w:rPr>
                <w:sz w:val="24"/>
                <w:szCs w:val="24"/>
              </w:rPr>
              <w:t xml:space="preserve"> inzetten.</w:t>
            </w:r>
          </w:p>
          <w:p w:rsidRPr="00A406E2" w:rsidR="00145239" w:rsidP="00CB78A0" w:rsidRDefault="00CB78A0" w14:paraId="410DE292" w14:textId="1731B8F8">
            <w:pPr>
              <w:rPr>
                <w:sz w:val="24"/>
                <w:szCs w:val="24"/>
              </w:rPr>
            </w:pPr>
            <w:r w:rsidRPr="00531879">
              <w:rPr>
                <w:sz w:val="24"/>
                <w:szCs w:val="24"/>
              </w:rPr>
              <w:t xml:space="preserve">Een po-vestiging </w:t>
            </w:r>
            <w:r>
              <w:rPr>
                <w:sz w:val="24"/>
                <w:szCs w:val="24"/>
              </w:rPr>
              <w:t>zou</w:t>
            </w:r>
            <w:r w:rsidRPr="00531879">
              <w:rPr>
                <w:sz w:val="24"/>
                <w:szCs w:val="24"/>
              </w:rPr>
              <w:t xml:space="preserve"> met het vaste bedrag circa 0</w:t>
            </w:r>
            <w:r>
              <w:rPr>
                <w:sz w:val="24"/>
                <w:szCs w:val="24"/>
              </w:rPr>
              <w:t>,</w:t>
            </w:r>
            <w:r w:rsidRPr="00531879">
              <w:rPr>
                <w:sz w:val="24"/>
                <w:szCs w:val="24"/>
              </w:rPr>
              <w:t xml:space="preserve">4 fte </w:t>
            </w:r>
            <w:r>
              <w:rPr>
                <w:sz w:val="24"/>
                <w:szCs w:val="24"/>
              </w:rPr>
              <w:t xml:space="preserve">kunnen </w:t>
            </w:r>
            <w:r w:rsidRPr="00531879">
              <w:rPr>
                <w:sz w:val="24"/>
                <w:szCs w:val="24"/>
              </w:rPr>
              <w:t>inzetten, een vo-school circa 1</w:t>
            </w:r>
            <w:r>
              <w:rPr>
                <w:sz w:val="24"/>
                <w:szCs w:val="24"/>
              </w:rPr>
              <w:t>,</w:t>
            </w:r>
            <w:r w:rsidRPr="00531879">
              <w:rPr>
                <w:sz w:val="24"/>
                <w:szCs w:val="24"/>
              </w:rPr>
              <w:t xml:space="preserve">2 fte. Met de bovenstaande aantallen </w:t>
            </w:r>
            <w:r>
              <w:rPr>
                <w:sz w:val="24"/>
                <w:szCs w:val="24"/>
              </w:rPr>
              <w:t>zou</w:t>
            </w:r>
            <w:r w:rsidRPr="00531879">
              <w:rPr>
                <w:sz w:val="24"/>
                <w:szCs w:val="24"/>
              </w:rPr>
              <w:t xml:space="preserve"> dit neer</w:t>
            </w:r>
            <w:r>
              <w:rPr>
                <w:sz w:val="24"/>
                <w:szCs w:val="24"/>
              </w:rPr>
              <w:t xml:space="preserve">komen </w:t>
            </w:r>
            <w:r w:rsidRPr="00531879">
              <w:rPr>
                <w:sz w:val="24"/>
                <w:szCs w:val="24"/>
              </w:rPr>
              <w:t>op in totaal 149</w:t>
            </w:r>
            <w:r>
              <w:rPr>
                <w:sz w:val="24"/>
                <w:szCs w:val="24"/>
              </w:rPr>
              <w:t>,</w:t>
            </w:r>
            <w:r w:rsidRPr="00531879">
              <w:rPr>
                <w:sz w:val="24"/>
                <w:szCs w:val="24"/>
              </w:rPr>
              <w:t>2 fte in het primair onderwijs en 40</w:t>
            </w:r>
            <w:r>
              <w:rPr>
                <w:sz w:val="24"/>
                <w:szCs w:val="24"/>
              </w:rPr>
              <w:t>,</w:t>
            </w:r>
            <w:r w:rsidRPr="00531879">
              <w:rPr>
                <w:sz w:val="24"/>
                <w:szCs w:val="24"/>
              </w:rPr>
              <w:t>8 fte in het voortgezet onderwijs.</w:t>
            </w:r>
            <w:r w:rsidRPr="00A406E2" w:rsidR="00145239">
              <w:rPr>
                <w:sz w:val="24"/>
                <w:szCs w:val="24"/>
              </w:rPr>
              <w:t xml:space="preserve">. </w:t>
            </w:r>
          </w:p>
        </w:tc>
        <w:tc>
          <w:tcPr>
            <w:tcW w:w="850" w:type="dxa"/>
          </w:tcPr>
          <w:p w:rsidRPr="00A406E2" w:rsidR="00297A51" w:rsidP="00552EC0" w:rsidRDefault="00297A51" w14:paraId="4CB9C1D9" w14:textId="789EEB52">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0D4E6E43" w14:textId="77777777">
            <w:pPr>
              <w:jc w:val="right"/>
              <w:rPr>
                <w:sz w:val="24"/>
                <w:szCs w:val="24"/>
              </w:rPr>
            </w:pPr>
            <w:r w:rsidRPr="00A406E2">
              <w:rPr>
                <w:sz w:val="24"/>
                <w:szCs w:val="24"/>
              </w:rPr>
              <w:t>9</w:t>
            </w:r>
          </w:p>
        </w:tc>
        <w:tc>
          <w:tcPr>
            <w:tcW w:w="567" w:type="dxa"/>
          </w:tcPr>
          <w:p w:rsidRPr="00A406E2" w:rsidR="00297A51" w:rsidP="00552EC0" w:rsidRDefault="00297A51" w14:paraId="14E8BE4F" w14:textId="77777777">
            <w:pPr>
              <w:jc w:val="right"/>
              <w:rPr>
                <w:sz w:val="24"/>
                <w:szCs w:val="24"/>
              </w:rPr>
            </w:pPr>
            <w:r w:rsidRPr="00A406E2">
              <w:rPr>
                <w:sz w:val="24"/>
                <w:szCs w:val="24"/>
              </w:rPr>
              <w:t xml:space="preserve"> </w:t>
            </w:r>
          </w:p>
        </w:tc>
      </w:tr>
      <w:tr w:rsidRPr="00A406E2" w:rsidR="00297A51" w:rsidTr="00B90BBB" w14:paraId="4E9CBD9A" w14:textId="77777777">
        <w:tc>
          <w:tcPr>
            <w:tcW w:w="567" w:type="dxa"/>
          </w:tcPr>
          <w:p w:rsidRPr="00A406E2" w:rsidR="00297A51" w:rsidP="00552EC0" w:rsidRDefault="00297A51" w14:paraId="19BBF1AB" w14:textId="546B1D47">
            <w:pPr>
              <w:rPr>
                <w:sz w:val="24"/>
                <w:szCs w:val="24"/>
              </w:rPr>
            </w:pPr>
            <w:r w:rsidRPr="00A406E2">
              <w:rPr>
                <w:sz w:val="24"/>
                <w:szCs w:val="24"/>
              </w:rPr>
              <w:lastRenderedPageBreak/>
              <w:t>33</w:t>
            </w:r>
          </w:p>
        </w:tc>
        <w:tc>
          <w:tcPr>
            <w:tcW w:w="6521" w:type="dxa"/>
          </w:tcPr>
          <w:p w:rsidRPr="00A406E2" w:rsidR="00297A51" w:rsidP="00552EC0" w:rsidRDefault="00297A51" w14:paraId="4D23DEDF" w14:textId="77777777">
            <w:pPr>
              <w:rPr>
                <w:sz w:val="24"/>
                <w:szCs w:val="24"/>
              </w:rPr>
            </w:pPr>
            <w:r w:rsidRPr="00A406E2">
              <w:rPr>
                <w:sz w:val="24"/>
                <w:szCs w:val="24"/>
              </w:rPr>
              <w:t>Kunt u nader toelichten waarom de post brugfunctionaris wordt geëxtensiveerd om de post schoolmaaltijden te intensiveren?</w:t>
            </w:r>
          </w:p>
          <w:p w:rsidRPr="00A406E2" w:rsidR="00145239" w:rsidP="00145239" w:rsidRDefault="00145239" w14:paraId="7429F08B" w14:textId="77777777">
            <w:pPr>
              <w:rPr>
                <w:sz w:val="24"/>
                <w:szCs w:val="24"/>
              </w:rPr>
            </w:pPr>
            <w:r w:rsidRPr="00A406E2">
              <w:rPr>
                <w:sz w:val="24"/>
                <w:szCs w:val="24"/>
              </w:rPr>
              <w:t xml:space="preserve">Voor de huidige regeling Brugfunctionaris (schooljaren 24/25, 25/26 en 26/27) hebben scholen de middelen al ontvangen tot en met juli 2027. Door de overgang van financiering per schooljaar naar financiering per kalenderjaar is er incidenteel € 19 miljoen beschikbaar in 2027. </w:t>
            </w:r>
          </w:p>
          <w:p w:rsidRPr="00A406E2" w:rsidR="00145239" w:rsidP="00145239" w:rsidRDefault="00145239" w14:paraId="07FDF50B" w14:textId="3AE9EFD5">
            <w:pPr>
              <w:rPr>
                <w:sz w:val="24"/>
                <w:szCs w:val="24"/>
              </w:rPr>
            </w:pPr>
            <w:r w:rsidRPr="00A406E2">
              <w:rPr>
                <w:sz w:val="24"/>
                <w:szCs w:val="24"/>
              </w:rPr>
              <w:t>Binnen het programma Schoolmaaltijden was onvoldoende budget beschikbaar</w:t>
            </w:r>
            <w:r w:rsidRPr="00A406E2" w:rsidR="009409D2">
              <w:rPr>
                <w:sz w:val="24"/>
                <w:szCs w:val="24"/>
              </w:rPr>
              <w:t>.</w:t>
            </w:r>
          </w:p>
          <w:p w:rsidRPr="00A406E2" w:rsidR="00145239" w:rsidP="00552EC0" w:rsidRDefault="00145239" w14:paraId="5A32E311" w14:textId="72FF95DF">
            <w:pPr>
              <w:rPr>
                <w:sz w:val="24"/>
                <w:szCs w:val="24"/>
              </w:rPr>
            </w:pPr>
            <w:r w:rsidRPr="00A406E2">
              <w:rPr>
                <w:sz w:val="24"/>
                <w:szCs w:val="24"/>
              </w:rPr>
              <w:t xml:space="preserve">De middelen worden via deze extensivering in 2027 ingezet voor het programma Schoolmaaltijden. Voor de regeling Brugfunctionaris geldt dat de scholen per saldo hetzelfde bedrag ontvangen. </w:t>
            </w:r>
            <w:r w:rsidRPr="00A406E2" w:rsidR="00CC5DC3">
              <w:rPr>
                <w:sz w:val="24"/>
                <w:szCs w:val="24"/>
              </w:rPr>
              <w:t xml:space="preserve">Er is dus niet op bezuinigd. </w:t>
            </w:r>
          </w:p>
        </w:tc>
        <w:tc>
          <w:tcPr>
            <w:tcW w:w="850" w:type="dxa"/>
          </w:tcPr>
          <w:p w:rsidRPr="00A406E2" w:rsidR="00297A51" w:rsidP="00552EC0" w:rsidRDefault="00297A51" w14:paraId="6D3DFAFC" w14:textId="12586032">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7DD28064" w14:textId="77777777">
            <w:pPr>
              <w:jc w:val="right"/>
              <w:rPr>
                <w:sz w:val="24"/>
                <w:szCs w:val="24"/>
              </w:rPr>
            </w:pPr>
            <w:r w:rsidRPr="00A406E2">
              <w:rPr>
                <w:sz w:val="24"/>
                <w:szCs w:val="24"/>
              </w:rPr>
              <w:t>9</w:t>
            </w:r>
          </w:p>
        </w:tc>
        <w:tc>
          <w:tcPr>
            <w:tcW w:w="567" w:type="dxa"/>
          </w:tcPr>
          <w:p w:rsidRPr="00A406E2" w:rsidR="00297A51" w:rsidP="00552EC0" w:rsidRDefault="00297A51" w14:paraId="0F947D6F" w14:textId="77777777">
            <w:pPr>
              <w:jc w:val="right"/>
              <w:rPr>
                <w:sz w:val="24"/>
                <w:szCs w:val="24"/>
              </w:rPr>
            </w:pPr>
            <w:r w:rsidRPr="00A406E2">
              <w:rPr>
                <w:sz w:val="24"/>
                <w:szCs w:val="24"/>
              </w:rPr>
              <w:t xml:space="preserve"> </w:t>
            </w:r>
          </w:p>
        </w:tc>
      </w:tr>
      <w:tr w:rsidRPr="00A406E2" w:rsidR="00297A51" w:rsidTr="00B90BBB" w14:paraId="02A98813" w14:textId="77777777">
        <w:tc>
          <w:tcPr>
            <w:tcW w:w="567" w:type="dxa"/>
          </w:tcPr>
          <w:p w:rsidRPr="00A406E2" w:rsidR="00297A51" w:rsidP="00552EC0" w:rsidRDefault="00297A51" w14:paraId="6E229236" w14:textId="71FD0125">
            <w:pPr>
              <w:rPr>
                <w:sz w:val="24"/>
                <w:szCs w:val="24"/>
              </w:rPr>
            </w:pPr>
            <w:r w:rsidRPr="00A406E2">
              <w:rPr>
                <w:sz w:val="24"/>
                <w:szCs w:val="24"/>
              </w:rPr>
              <w:t>34</w:t>
            </w:r>
          </w:p>
        </w:tc>
        <w:tc>
          <w:tcPr>
            <w:tcW w:w="6521" w:type="dxa"/>
          </w:tcPr>
          <w:p w:rsidRPr="00A406E2" w:rsidR="00297A51" w:rsidP="00552EC0" w:rsidRDefault="00297A51" w14:paraId="4EEAC592" w14:textId="77777777">
            <w:pPr>
              <w:rPr>
                <w:sz w:val="24"/>
                <w:szCs w:val="24"/>
              </w:rPr>
            </w:pPr>
            <w:r w:rsidRPr="00A406E2">
              <w:rPr>
                <w:sz w:val="24"/>
                <w:szCs w:val="24"/>
              </w:rPr>
              <w:t>Wanneer ontvangt de Tweede Kamer de CW 3.1 tabel ter onderbouwing van de beleidsmaatregel CUB Schadevergoedingen en kan de Tweede Kamer deze ontvangen voorafgaand aan de behandeling van deze eerste suppletoire begrotingswet?</w:t>
            </w:r>
          </w:p>
          <w:p w:rsidRPr="00A406E2" w:rsidR="00FD626B" w:rsidP="00552EC0" w:rsidRDefault="00FD626B" w14:paraId="3F501695" w14:textId="637E6CC2">
            <w:pPr>
              <w:rPr>
                <w:sz w:val="24"/>
                <w:szCs w:val="24"/>
              </w:rPr>
            </w:pPr>
            <w:r w:rsidRPr="00A406E2">
              <w:rPr>
                <w:sz w:val="24"/>
                <w:szCs w:val="24"/>
              </w:rPr>
              <w:t xml:space="preserve">Op 2 april jl. heeft uw Kamer </w:t>
            </w:r>
            <w:hyperlink w:history="1" r:id="rId16">
              <w:r w:rsidRPr="00A406E2">
                <w:rPr>
                  <w:rStyle w:val="Hyperlink"/>
                  <w:sz w:val="24"/>
                  <w:szCs w:val="24"/>
                </w:rPr>
                <w:t>een brief ontvangen over de schadeafhandeling na indirecte discriminatie bij de uitwonendenbeurs</w:t>
              </w:r>
            </w:hyperlink>
            <w:r w:rsidRPr="00A406E2">
              <w:rPr>
                <w:sz w:val="24"/>
                <w:szCs w:val="24"/>
              </w:rPr>
              <w:t>. De CW 3.1 tabel is als bijlage bij deze Kamerbrief opgenomen.</w:t>
            </w:r>
          </w:p>
        </w:tc>
        <w:tc>
          <w:tcPr>
            <w:tcW w:w="850" w:type="dxa"/>
          </w:tcPr>
          <w:p w:rsidRPr="00A406E2" w:rsidR="00297A51" w:rsidP="00552EC0" w:rsidRDefault="00297A51" w14:paraId="7E7F1A6E" w14:textId="370D31DD">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6D25F907" w14:textId="77777777">
            <w:pPr>
              <w:jc w:val="right"/>
              <w:rPr>
                <w:sz w:val="24"/>
                <w:szCs w:val="24"/>
              </w:rPr>
            </w:pPr>
            <w:r w:rsidRPr="00A406E2">
              <w:rPr>
                <w:sz w:val="24"/>
                <w:szCs w:val="24"/>
              </w:rPr>
              <w:t>10</w:t>
            </w:r>
          </w:p>
        </w:tc>
        <w:tc>
          <w:tcPr>
            <w:tcW w:w="567" w:type="dxa"/>
          </w:tcPr>
          <w:p w:rsidRPr="00A406E2" w:rsidR="00297A51" w:rsidP="00552EC0" w:rsidRDefault="00297A51" w14:paraId="64CF602D" w14:textId="77777777">
            <w:pPr>
              <w:jc w:val="right"/>
              <w:rPr>
                <w:sz w:val="24"/>
                <w:szCs w:val="24"/>
              </w:rPr>
            </w:pPr>
            <w:r w:rsidRPr="00A406E2">
              <w:rPr>
                <w:sz w:val="24"/>
                <w:szCs w:val="24"/>
              </w:rPr>
              <w:t xml:space="preserve"> </w:t>
            </w:r>
          </w:p>
        </w:tc>
      </w:tr>
      <w:tr w:rsidRPr="00A406E2" w:rsidR="00297A51" w:rsidTr="00F17A20" w14:paraId="20F07DD2" w14:textId="77777777">
        <w:trPr>
          <w:trHeight w:val="7737"/>
        </w:trPr>
        <w:tc>
          <w:tcPr>
            <w:tcW w:w="567" w:type="dxa"/>
          </w:tcPr>
          <w:p w:rsidRPr="00A406E2" w:rsidR="00297A51" w:rsidP="00552EC0" w:rsidRDefault="00297A51" w14:paraId="3CD5FFB1" w14:textId="39937784">
            <w:pPr>
              <w:rPr>
                <w:sz w:val="24"/>
                <w:szCs w:val="24"/>
              </w:rPr>
            </w:pPr>
            <w:r w:rsidRPr="00A406E2">
              <w:rPr>
                <w:sz w:val="24"/>
                <w:szCs w:val="24"/>
              </w:rPr>
              <w:lastRenderedPageBreak/>
              <w:t>35</w:t>
            </w:r>
          </w:p>
        </w:tc>
        <w:tc>
          <w:tcPr>
            <w:tcW w:w="6521" w:type="dxa"/>
          </w:tcPr>
          <w:p w:rsidRPr="00A406E2" w:rsidR="00297A51" w:rsidP="00552EC0" w:rsidRDefault="00297A51" w14:paraId="5F5EFCA4" w14:textId="77777777">
            <w:pPr>
              <w:rPr>
                <w:sz w:val="24"/>
                <w:szCs w:val="24"/>
              </w:rPr>
            </w:pPr>
            <w:r w:rsidRPr="00A406E2">
              <w:rPr>
                <w:sz w:val="24"/>
                <w:szCs w:val="24"/>
              </w:rPr>
              <w:t>Op welke overige posten wordt in 2026 voor welk bedrag geëxtensiveerd?</w:t>
            </w:r>
          </w:p>
          <w:p w:rsidRPr="00A406E2" w:rsidR="00E76B33" w:rsidP="003E634A" w:rsidRDefault="003E634A" w14:paraId="5AFC17E7" w14:textId="543592AD">
            <w:pPr>
              <w:rPr>
                <w:sz w:val="24"/>
                <w:szCs w:val="24"/>
              </w:rPr>
            </w:pPr>
            <w:r w:rsidRPr="00A406E2">
              <w:rPr>
                <w:sz w:val="24"/>
                <w:szCs w:val="24"/>
              </w:rPr>
              <w:t>In onderstaande tabel treft u een uitsplitsing van de overige extensiveringen in het jaar 2026 van in totaal € 33,2 miljoen</w:t>
            </w:r>
            <w:r w:rsidRPr="00A406E2" w:rsidR="00E76B33">
              <w:rPr>
                <w:sz w:val="24"/>
                <w:szCs w:val="24"/>
              </w:rPr>
              <w:t xml:space="preserve">, zoals gepresenteerd in tabel 1 </w:t>
            </w:r>
            <w:r w:rsidRPr="00A406E2" w:rsidR="00475B58">
              <w:rPr>
                <w:sz w:val="24"/>
                <w:szCs w:val="24"/>
              </w:rPr>
              <w:t xml:space="preserve">van de </w:t>
            </w:r>
            <w:r w:rsidRPr="00A406E2" w:rsidR="00656AB5">
              <w:rPr>
                <w:sz w:val="24"/>
                <w:szCs w:val="24"/>
              </w:rPr>
              <w:t xml:space="preserve">memorie van toelichting </w:t>
            </w:r>
            <w:r w:rsidRPr="00A406E2" w:rsidR="00475B58">
              <w:rPr>
                <w:sz w:val="24"/>
                <w:szCs w:val="24"/>
              </w:rPr>
              <w:t xml:space="preserve">van </w:t>
            </w:r>
            <w:r w:rsidRPr="00A406E2" w:rsidR="00656AB5">
              <w:rPr>
                <w:sz w:val="24"/>
                <w:szCs w:val="24"/>
              </w:rPr>
              <w:t xml:space="preserve">Eerste suppletoire begroting </w:t>
            </w:r>
            <w:r w:rsidRPr="00A406E2" w:rsidR="00475B58">
              <w:rPr>
                <w:sz w:val="24"/>
                <w:szCs w:val="24"/>
              </w:rPr>
              <w:t>2026 van OCW.</w:t>
            </w:r>
            <w:r w:rsidRPr="00A406E2" w:rsidR="00E76B33">
              <w:rPr>
                <w:sz w:val="24"/>
                <w:szCs w:val="24"/>
              </w:rPr>
              <w:t xml:space="preserve"> De post overige extensiveringen van de tabel is hieronder uitgesplitst. Onderstaande</w:t>
            </w:r>
            <w:r w:rsidRPr="00A406E2">
              <w:rPr>
                <w:sz w:val="24"/>
                <w:szCs w:val="24"/>
              </w:rPr>
              <w:t xml:space="preserve"> extensiveringen zijn ingezet voor het dekken van intensiveringen en tegenvallers op de OCW-begroting. Het budget blijft geheel binnen de OCW-begroting. </w:t>
            </w:r>
          </w:p>
          <w:p w:rsidRPr="00A406E2" w:rsidR="00E76B33" w:rsidP="003E634A" w:rsidRDefault="00E76B33" w14:paraId="644735D8" w14:textId="65A0E63B">
            <w:pPr>
              <w:rPr>
                <w:sz w:val="24"/>
                <w:szCs w:val="24"/>
              </w:rPr>
            </w:pPr>
            <w:r w:rsidRPr="00A406E2">
              <w:rPr>
                <w:sz w:val="24"/>
                <w:szCs w:val="24"/>
              </w:rPr>
              <w:t>Dit staat los van de taakstellingen op efficiency (61), vernieuwing rijksdienst (62) en de subsidietaakstelling (63) uit coalitieakkoord ‘Aan de slag’ die bij deze suppletoire begroting zijn verwerkt op de begroting van OCW.</w:t>
            </w:r>
          </w:p>
          <w:p w:rsidRPr="00A406E2" w:rsidR="003E634A" w:rsidP="00552EC0" w:rsidRDefault="003E634A" w14:paraId="36021F6D" w14:textId="77777777">
            <w:pPr>
              <w:rPr>
                <w:sz w:val="24"/>
                <w:szCs w:val="24"/>
              </w:rPr>
            </w:pPr>
          </w:p>
          <w:tbl>
            <w:tblPr>
              <w:tblStyle w:val="Tabelraster"/>
              <w:tblW w:w="5663" w:type="dxa"/>
              <w:tblLook w:val="04A0" w:firstRow="1" w:lastRow="0" w:firstColumn="1" w:lastColumn="0" w:noHBand="0" w:noVBand="1"/>
            </w:tblPr>
            <w:tblGrid>
              <w:gridCol w:w="843"/>
              <w:gridCol w:w="3827"/>
              <w:gridCol w:w="993"/>
            </w:tblGrid>
            <w:tr w:rsidRPr="00A406E2" w:rsidR="00F17A20" w:rsidTr="009638D7" w14:paraId="62420FBD" w14:textId="77777777">
              <w:trPr>
                <w:trHeight w:val="248"/>
              </w:trPr>
              <w:tc>
                <w:tcPr>
                  <w:tcW w:w="5663" w:type="dxa"/>
                  <w:gridSpan w:val="3"/>
                  <w:noWrap/>
                  <w:hideMark/>
                </w:tcPr>
                <w:p w:rsidRPr="00A406E2" w:rsidR="00F17A20" w:rsidP="00F17A20" w:rsidRDefault="00F17A20" w14:paraId="0A7C6BD9" w14:textId="77777777">
                  <w:pPr>
                    <w:spacing w:before="0" w:after="0"/>
                    <w:rPr>
                      <w:sz w:val="18"/>
                      <w:szCs w:val="18"/>
                    </w:rPr>
                  </w:pPr>
                  <w:r w:rsidRPr="00A406E2">
                    <w:rPr>
                      <w:i/>
                      <w:iCs/>
                      <w:color w:val="000000"/>
                      <w:sz w:val="18"/>
                      <w:szCs w:val="18"/>
                    </w:rPr>
                    <w:t>bedragen x € 1.000</w:t>
                  </w:r>
                </w:p>
              </w:tc>
            </w:tr>
            <w:tr w:rsidRPr="00A406E2" w:rsidR="00F17A20" w:rsidTr="009638D7" w14:paraId="4B9526ED" w14:textId="77777777">
              <w:trPr>
                <w:trHeight w:val="248"/>
              </w:trPr>
              <w:tc>
                <w:tcPr>
                  <w:tcW w:w="843" w:type="dxa"/>
                  <w:noWrap/>
                  <w:hideMark/>
                </w:tcPr>
                <w:p w:rsidRPr="00A406E2" w:rsidR="00F17A20" w:rsidP="00F17A20" w:rsidRDefault="00F17A20" w14:paraId="1B62B06F" w14:textId="77777777">
                  <w:pPr>
                    <w:spacing w:before="0" w:after="0"/>
                    <w:rPr>
                      <w:b/>
                      <w:bCs/>
                      <w:color w:val="000000"/>
                      <w:sz w:val="18"/>
                      <w:szCs w:val="18"/>
                    </w:rPr>
                  </w:pPr>
                  <w:r w:rsidRPr="00A406E2">
                    <w:rPr>
                      <w:b/>
                      <w:bCs/>
                      <w:color w:val="000000"/>
                      <w:sz w:val="18"/>
                      <w:szCs w:val="18"/>
                    </w:rPr>
                    <w:t>Art.</w:t>
                  </w:r>
                </w:p>
              </w:tc>
              <w:tc>
                <w:tcPr>
                  <w:tcW w:w="3827" w:type="dxa"/>
                  <w:hideMark/>
                </w:tcPr>
                <w:p w:rsidRPr="00A406E2" w:rsidR="00F17A20" w:rsidP="00F17A20" w:rsidRDefault="00F17A20" w14:paraId="341765F2" w14:textId="77777777">
                  <w:pPr>
                    <w:spacing w:before="0" w:after="0"/>
                    <w:rPr>
                      <w:b/>
                      <w:bCs/>
                      <w:color w:val="000000"/>
                      <w:sz w:val="18"/>
                      <w:szCs w:val="18"/>
                    </w:rPr>
                  </w:pPr>
                  <w:r w:rsidRPr="00A406E2">
                    <w:rPr>
                      <w:b/>
                      <w:bCs/>
                      <w:color w:val="000000"/>
                      <w:sz w:val="18"/>
                      <w:szCs w:val="18"/>
                    </w:rPr>
                    <w:t>Extensivering</w:t>
                  </w:r>
                </w:p>
              </w:tc>
              <w:tc>
                <w:tcPr>
                  <w:tcW w:w="993" w:type="dxa"/>
                  <w:noWrap/>
                  <w:hideMark/>
                </w:tcPr>
                <w:p w:rsidRPr="00A406E2" w:rsidR="00F17A20" w:rsidP="00F17A20" w:rsidRDefault="00F17A20" w14:paraId="00AEC3AB" w14:textId="77777777">
                  <w:pPr>
                    <w:spacing w:before="0" w:after="0"/>
                    <w:jc w:val="right"/>
                    <w:rPr>
                      <w:b/>
                      <w:bCs/>
                      <w:color w:val="000000"/>
                      <w:sz w:val="18"/>
                      <w:szCs w:val="18"/>
                    </w:rPr>
                  </w:pPr>
                  <w:r w:rsidRPr="00A406E2">
                    <w:rPr>
                      <w:b/>
                      <w:bCs/>
                      <w:color w:val="000000"/>
                      <w:sz w:val="18"/>
                      <w:szCs w:val="18"/>
                    </w:rPr>
                    <w:t>2026</w:t>
                  </w:r>
                </w:p>
              </w:tc>
            </w:tr>
            <w:tr w:rsidRPr="00A406E2" w:rsidR="00F17A20" w:rsidTr="009638D7" w14:paraId="742BB4CC" w14:textId="77777777">
              <w:trPr>
                <w:trHeight w:val="248"/>
              </w:trPr>
              <w:tc>
                <w:tcPr>
                  <w:tcW w:w="843" w:type="dxa"/>
                  <w:noWrap/>
                  <w:hideMark/>
                </w:tcPr>
                <w:p w:rsidRPr="00A406E2" w:rsidR="00F17A20" w:rsidP="00F17A20" w:rsidRDefault="00F17A20" w14:paraId="34032798" w14:textId="77777777">
                  <w:pPr>
                    <w:spacing w:before="0" w:after="0"/>
                    <w:rPr>
                      <w:color w:val="000000"/>
                      <w:sz w:val="18"/>
                      <w:szCs w:val="18"/>
                    </w:rPr>
                  </w:pPr>
                  <w:r w:rsidRPr="00A406E2">
                    <w:rPr>
                      <w:color w:val="000000"/>
                      <w:sz w:val="18"/>
                      <w:szCs w:val="18"/>
                    </w:rPr>
                    <w:t>11</w:t>
                  </w:r>
                </w:p>
              </w:tc>
              <w:tc>
                <w:tcPr>
                  <w:tcW w:w="3827" w:type="dxa"/>
                  <w:hideMark/>
                </w:tcPr>
                <w:p w:rsidRPr="00A406E2" w:rsidR="00F17A20" w:rsidP="00F17A20" w:rsidRDefault="00F17A20" w14:paraId="7812BAD2" w14:textId="77777777">
                  <w:pPr>
                    <w:spacing w:before="0" w:after="0"/>
                    <w:rPr>
                      <w:color w:val="000000"/>
                      <w:sz w:val="18"/>
                      <w:szCs w:val="18"/>
                    </w:rPr>
                  </w:pPr>
                  <w:r w:rsidRPr="00A406E2">
                    <w:rPr>
                      <w:color w:val="000000"/>
                      <w:sz w:val="18"/>
                      <w:szCs w:val="18"/>
                    </w:rPr>
                    <w:t>Prijsbijstelling studiefinanciering (vrij inzetbaar)</w:t>
                  </w:r>
                </w:p>
              </w:tc>
              <w:tc>
                <w:tcPr>
                  <w:tcW w:w="993" w:type="dxa"/>
                  <w:noWrap/>
                  <w:hideMark/>
                </w:tcPr>
                <w:p w:rsidRPr="00A406E2" w:rsidR="00F17A20" w:rsidP="00F17A20" w:rsidRDefault="00F17A20" w14:paraId="01960ADF" w14:textId="77777777">
                  <w:pPr>
                    <w:spacing w:before="0" w:after="0"/>
                    <w:jc w:val="right"/>
                    <w:rPr>
                      <w:color w:val="000000"/>
                      <w:sz w:val="18"/>
                      <w:szCs w:val="18"/>
                    </w:rPr>
                  </w:pPr>
                  <w:r w:rsidRPr="00A406E2">
                    <w:rPr>
                      <w:color w:val="000000"/>
                      <w:sz w:val="18"/>
                      <w:szCs w:val="18"/>
                    </w:rPr>
                    <w:t>-19.001</w:t>
                  </w:r>
                </w:p>
              </w:tc>
            </w:tr>
            <w:tr w:rsidRPr="00A406E2" w:rsidR="00F17A20" w:rsidTr="009638D7" w14:paraId="64F73558" w14:textId="77777777">
              <w:trPr>
                <w:trHeight w:val="248"/>
              </w:trPr>
              <w:tc>
                <w:tcPr>
                  <w:tcW w:w="843" w:type="dxa"/>
                  <w:noWrap/>
                  <w:hideMark/>
                </w:tcPr>
                <w:p w:rsidRPr="00A406E2" w:rsidR="00F17A20" w:rsidP="00F17A20" w:rsidRDefault="00F17A20" w14:paraId="4BC3E142" w14:textId="77777777">
                  <w:pPr>
                    <w:spacing w:before="0" w:after="0"/>
                    <w:rPr>
                      <w:color w:val="000000"/>
                      <w:sz w:val="18"/>
                      <w:szCs w:val="18"/>
                    </w:rPr>
                  </w:pPr>
                  <w:r w:rsidRPr="00A406E2">
                    <w:rPr>
                      <w:color w:val="000000"/>
                      <w:sz w:val="18"/>
                      <w:szCs w:val="18"/>
                    </w:rPr>
                    <w:t>4,6,7,16</w:t>
                  </w:r>
                </w:p>
              </w:tc>
              <w:tc>
                <w:tcPr>
                  <w:tcW w:w="3827" w:type="dxa"/>
                  <w:hideMark/>
                </w:tcPr>
                <w:p w:rsidRPr="00A406E2" w:rsidR="00F17A20" w:rsidP="00F17A20" w:rsidRDefault="00F17A20" w14:paraId="34A57C9D" w14:textId="77777777">
                  <w:pPr>
                    <w:spacing w:before="0" w:after="0"/>
                    <w:rPr>
                      <w:color w:val="000000"/>
                      <w:sz w:val="18"/>
                      <w:szCs w:val="18"/>
                    </w:rPr>
                  </w:pPr>
                  <w:r w:rsidRPr="00A406E2">
                    <w:rPr>
                      <w:color w:val="000000"/>
                      <w:sz w:val="18"/>
                      <w:szCs w:val="18"/>
                    </w:rPr>
                    <w:t>Prijsbijstelling mbo, hbo, wo en NWO</w:t>
                  </w:r>
                </w:p>
              </w:tc>
              <w:tc>
                <w:tcPr>
                  <w:tcW w:w="993" w:type="dxa"/>
                  <w:noWrap/>
                  <w:hideMark/>
                </w:tcPr>
                <w:p w:rsidRPr="00A406E2" w:rsidR="00F17A20" w:rsidP="00F17A20" w:rsidRDefault="00F17A20" w14:paraId="4BAA727E" w14:textId="77777777">
                  <w:pPr>
                    <w:spacing w:before="0" w:after="0"/>
                    <w:jc w:val="right"/>
                    <w:rPr>
                      <w:color w:val="000000"/>
                      <w:sz w:val="18"/>
                      <w:szCs w:val="18"/>
                    </w:rPr>
                  </w:pPr>
                  <w:r w:rsidRPr="00A406E2">
                    <w:rPr>
                      <w:color w:val="000000"/>
                      <w:sz w:val="18"/>
                      <w:szCs w:val="18"/>
                    </w:rPr>
                    <w:t>-4.198</w:t>
                  </w:r>
                </w:p>
              </w:tc>
            </w:tr>
            <w:tr w:rsidRPr="00A406E2" w:rsidR="00F17A20" w:rsidTr="009638D7" w14:paraId="284FBA3C" w14:textId="77777777">
              <w:trPr>
                <w:trHeight w:val="248"/>
              </w:trPr>
              <w:tc>
                <w:tcPr>
                  <w:tcW w:w="843" w:type="dxa"/>
                  <w:noWrap/>
                  <w:hideMark/>
                </w:tcPr>
                <w:p w:rsidRPr="00A406E2" w:rsidR="00F17A20" w:rsidP="00F17A20" w:rsidRDefault="00F17A20" w14:paraId="7AC66E8C" w14:textId="77777777">
                  <w:pPr>
                    <w:spacing w:before="0" w:after="0"/>
                    <w:rPr>
                      <w:color w:val="000000"/>
                      <w:sz w:val="18"/>
                      <w:szCs w:val="18"/>
                    </w:rPr>
                  </w:pPr>
                  <w:r w:rsidRPr="00A406E2">
                    <w:rPr>
                      <w:color w:val="000000"/>
                      <w:sz w:val="18"/>
                      <w:szCs w:val="18"/>
                    </w:rPr>
                    <w:t>14</w:t>
                  </w:r>
                </w:p>
              </w:tc>
              <w:tc>
                <w:tcPr>
                  <w:tcW w:w="3827" w:type="dxa"/>
                  <w:hideMark/>
                </w:tcPr>
                <w:p w:rsidRPr="00A406E2" w:rsidR="00F17A20" w:rsidP="00F17A20" w:rsidRDefault="00F17A20" w14:paraId="298BDB2F" w14:textId="77777777">
                  <w:pPr>
                    <w:spacing w:before="0" w:after="0"/>
                    <w:rPr>
                      <w:color w:val="000000"/>
                      <w:sz w:val="18"/>
                      <w:szCs w:val="18"/>
                    </w:rPr>
                  </w:pPr>
                  <w:r w:rsidRPr="00A406E2">
                    <w:rPr>
                      <w:color w:val="000000"/>
                      <w:sz w:val="18"/>
                      <w:szCs w:val="18"/>
                    </w:rPr>
                    <w:t>Prijsbijstelling cultuur</w:t>
                  </w:r>
                </w:p>
              </w:tc>
              <w:tc>
                <w:tcPr>
                  <w:tcW w:w="993" w:type="dxa"/>
                  <w:noWrap/>
                  <w:hideMark/>
                </w:tcPr>
                <w:p w:rsidRPr="00A406E2" w:rsidR="00F17A20" w:rsidP="00F17A20" w:rsidRDefault="00F17A20" w14:paraId="75646A52" w14:textId="77777777">
                  <w:pPr>
                    <w:spacing w:before="0" w:after="0"/>
                    <w:jc w:val="right"/>
                    <w:rPr>
                      <w:color w:val="000000"/>
                      <w:sz w:val="18"/>
                      <w:szCs w:val="18"/>
                    </w:rPr>
                  </w:pPr>
                  <w:r w:rsidRPr="00A406E2">
                    <w:rPr>
                      <w:color w:val="000000"/>
                      <w:sz w:val="18"/>
                      <w:szCs w:val="18"/>
                    </w:rPr>
                    <w:t>-1.913</w:t>
                  </w:r>
                </w:p>
              </w:tc>
            </w:tr>
            <w:tr w:rsidRPr="00A406E2" w:rsidR="00F17A20" w:rsidTr="009638D7" w14:paraId="56FE4918" w14:textId="77777777">
              <w:trPr>
                <w:trHeight w:val="495"/>
              </w:trPr>
              <w:tc>
                <w:tcPr>
                  <w:tcW w:w="843" w:type="dxa"/>
                  <w:noWrap/>
                  <w:hideMark/>
                </w:tcPr>
                <w:p w:rsidRPr="00A406E2" w:rsidR="00F17A20" w:rsidP="00F17A20" w:rsidRDefault="00F17A20" w14:paraId="15A85FC0" w14:textId="77777777">
                  <w:pPr>
                    <w:spacing w:before="0" w:after="0"/>
                    <w:rPr>
                      <w:color w:val="000000"/>
                      <w:sz w:val="18"/>
                      <w:szCs w:val="18"/>
                    </w:rPr>
                  </w:pPr>
                  <w:r w:rsidRPr="00A406E2">
                    <w:rPr>
                      <w:color w:val="000000"/>
                      <w:sz w:val="18"/>
                      <w:szCs w:val="18"/>
                    </w:rPr>
                    <w:t>14</w:t>
                  </w:r>
                </w:p>
              </w:tc>
              <w:tc>
                <w:tcPr>
                  <w:tcW w:w="3827" w:type="dxa"/>
                  <w:hideMark/>
                </w:tcPr>
                <w:p w:rsidRPr="00A406E2" w:rsidR="00F17A20" w:rsidP="00F17A20" w:rsidRDefault="00F17A20" w14:paraId="776DF4F4" w14:textId="77777777">
                  <w:pPr>
                    <w:spacing w:before="0" w:after="0"/>
                    <w:rPr>
                      <w:color w:val="000000"/>
                      <w:sz w:val="18"/>
                      <w:szCs w:val="18"/>
                    </w:rPr>
                  </w:pPr>
                  <w:r w:rsidRPr="00A406E2">
                    <w:rPr>
                      <w:color w:val="000000"/>
                      <w:sz w:val="18"/>
                      <w:szCs w:val="18"/>
                    </w:rPr>
                    <w:t>Woonhuisregeling (incl. deel prijsbijstelling)</w:t>
                  </w:r>
                </w:p>
              </w:tc>
              <w:tc>
                <w:tcPr>
                  <w:tcW w:w="993" w:type="dxa"/>
                  <w:noWrap/>
                  <w:hideMark/>
                </w:tcPr>
                <w:p w:rsidRPr="00A406E2" w:rsidR="00F17A20" w:rsidP="00F17A20" w:rsidRDefault="00F17A20" w14:paraId="505B3B49" w14:textId="77777777">
                  <w:pPr>
                    <w:spacing w:before="0" w:after="0"/>
                    <w:jc w:val="right"/>
                    <w:rPr>
                      <w:color w:val="000000"/>
                      <w:sz w:val="18"/>
                      <w:szCs w:val="18"/>
                    </w:rPr>
                  </w:pPr>
                  <w:r w:rsidRPr="00A406E2">
                    <w:rPr>
                      <w:color w:val="000000"/>
                      <w:sz w:val="18"/>
                      <w:szCs w:val="18"/>
                    </w:rPr>
                    <w:t>-1.912</w:t>
                  </w:r>
                </w:p>
              </w:tc>
            </w:tr>
            <w:tr w:rsidRPr="00A406E2" w:rsidR="00F17A20" w:rsidTr="009638D7" w14:paraId="5868B22A" w14:textId="77777777">
              <w:trPr>
                <w:trHeight w:val="248"/>
              </w:trPr>
              <w:tc>
                <w:tcPr>
                  <w:tcW w:w="843" w:type="dxa"/>
                  <w:noWrap/>
                  <w:hideMark/>
                </w:tcPr>
                <w:p w:rsidRPr="00A406E2" w:rsidR="00F17A20" w:rsidP="00F17A20" w:rsidRDefault="00F17A20" w14:paraId="7446F4EF" w14:textId="77777777">
                  <w:pPr>
                    <w:spacing w:before="0" w:after="0"/>
                    <w:rPr>
                      <w:color w:val="000000"/>
                      <w:sz w:val="18"/>
                      <w:szCs w:val="18"/>
                    </w:rPr>
                  </w:pPr>
                  <w:r w:rsidRPr="00A406E2">
                    <w:rPr>
                      <w:color w:val="000000"/>
                      <w:sz w:val="18"/>
                      <w:szCs w:val="18"/>
                    </w:rPr>
                    <w:t>16</w:t>
                  </w:r>
                </w:p>
              </w:tc>
              <w:tc>
                <w:tcPr>
                  <w:tcW w:w="3827" w:type="dxa"/>
                  <w:hideMark/>
                </w:tcPr>
                <w:p w:rsidRPr="00A406E2" w:rsidR="00F17A20" w:rsidP="00F17A20" w:rsidRDefault="00F17A20" w14:paraId="612F5F25" w14:textId="77777777">
                  <w:pPr>
                    <w:spacing w:before="0" w:after="0"/>
                    <w:rPr>
                      <w:color w:val="000000"/>
                      <w:sz w:val="18"/>
                      <w:szCs w:val="18"/>
                    </w:rPr>
                  </w:pPr>
                  <w:r w:rsidRPr="00A406E2">
                    <w:rPr>
                      <w:color w:val="000000"/>
                      <w:sz w:val="18"/>
                      <w:szCs w:val="18"/>
                    </w:rPr>
                    <w:t>Bekostiging NWO</w:t>
                  </w:r>
                </w:p>
              </w:tc>
              <w:tc>
                <w:tcPr>
                  <w:tcW w:w="993" w:type="dxa"/>
                  <w:noWrap/>
                  <w:hideMark/>
                </w:tcPr>
                <w:p w:rsidRPr="00A406E2" w:rsidR="00F17A20" w:rsidP="00F17A20" w:rsidRDefault="00F17A20" w14:paraId="7162050D" w14:textId="77777777">
                  <w:pPr>
                    <w:spacing w:before="0" w:after="0"/>
                    <w:jc w:val="right"/>
                    <w:rPr>
                      <w:color w:val="000000"/>
                      <w:sz w:val="18"/>
                      <w:szCs w:val="18"/>
                    </w:rPr>
                  </w:pPr>
                  <w:r w:rsidRPr="00A406E2">
                    <w:rPr>
                      <w:color w:val="000000"/>
                      <w:sz w:val="18"/>
                      <w:szCs w:val="18"/>
                    </w:rPr>
                    <w:t>-1.774</w:t>
                  </w:r>
                </w:p>
              </w:tc>
            </w:tr>
            <w:tr w:rsidRPr="00A406E2" w:rsidR="00F17A20" w:rsidTr="009638D7" w14:paraId="0481DC25" w14:textId="77777777">
              <w:trPr>
                <w:trHeight w:val="248"/>
              </w:trPr>
              <w:tc>
                <w:tcPr>
                  <w:tcW w:w="843" w:type="dxa"/>
                  <w:noWrap/>
                  <w:hideMark/>
                </w:tcPr>
                <w:p w:rsidRPr="00A406E2" w:rsidR="00F17A20" w:rsidP="00F17A20" w:rsidRDefault="00F17A20" w14:paraId="4387EB92" w14:textId="77777777">
                  <w:pPr>
                    <w:spacing w:before="0" w:after="0"/>
                    <w:rPr>
                      <w:color w:val="000000"/>
                      <w:sz w:val="18"/>
                      <w:szCs w:val="18"/>
                    </w:rPr>
                  </w:pPr>
                  <w:r w:rsidRPr="00A406E2">
                    <w:rPr>
                      <w:color w:val="000000"/>
                      <w:sz w:val="18"/>
                      <w:szCs w:val="18"/>
                    </w:rPr>
                    <w:t>15</w:t>
                  </w:r>
                </w:p>
              </w:tc>
              <w:tc>
                <w:tcPr>
                  <w:tcW w:w="3827" w:type="dxa"/>
                  <w:hideMark/>
                </w:tcPr>
                <w:p w:rsidRPr="00A406E2" w:rsidR="00F17A20" w:rsidP="00F17A20" w:rsidRDefault="00F17A20" w14:paraId="5065129C" w14:textId="77777777">
                  <w:pPr>
                    <w:spacing w:before="0" w:after="0"/>
                    <w:rPr>
                      <w:color w:val="000000"/>
                      <w:sz w:val="18"/>
                      <w:szCs w:val="18"/>
                    </w:rPr>
                  </w:pPr>
                  <w:r w:rsidRPr="00A406E2">
                    <w:rPr>
                      <w:color w:val="000000"/>
                      <w:sz w:val="18"/>
                      <w:szCs w:val="18"/>
                    </w:rPr>
                    <w:t xml:space="preserve">Post dotatie/onttrekking </w:t>
                  </w:r>
                  <w:proofErr w:type="spellStart"/>
                  <w:r w:rsidRPr="00A406E2">
                    <w:rPr>
                      <w:color w:val="000000"/>
                      <w:sz w:val="18"/>
                      <w:szCs w:val="18"/>
                    </w:rPr>
                    <w:t>AMr</w:t>
                  </w:r>
                  <w:proofErr w:type="spellEnd"/>
                </w:p>
              </w:tc>
              <w:tc>
                <w:tcPr>
                  <w:tcW w:w="993" w:type="dxa"/>
                  <w:noWrap/>
                  <w:hideMark/>
                </w:tcPr>
                <w:p w:rsidRPr="00A406E2" w:rsidR="00F17A20" w:rsidP="00F17A20" w:rsidRDefault="00F17A20" w14:paraId="5087CAF4" w14:textId="77777777">
                  <w:pPr>
                    <w:spacing w:before="0" w:after="0"/>
                    <w:jc w:val="right"/>
                    <w:rPr>
                      <w:color w:val="000000"/>
                      <w:sz w:val="18"/>
                      <w:szCs w:val="18"/>
                    </w:rPr>
                  </w:pPr>
                  <w:r w:rsidRPr="00A406E2">
                    <w:rPr>
                      <w:color w:val="000000"/>
                      <w:sz w:val="18"/>
                      <w:szCs w:val="18"/>
                    </w:rPr>
                    <w:t>-1.000</w:t>
                  </w:r>
                </w:p>
              </w:tc>
            </w:tr>
            <w:tr w:rsidRPr="00A406E2" w:rsidR="00F17A20" w:rsidTr="009638D7" w14:paraId="45C1903C" w14:textId="77777777">
              <w:trPr>
                <w:trHeight w:val="248"/>
              </w:trPr>
              <w:tc>
                <w:tcPr>
                  <w:tcW w:w="843" w:type="dxa"/>
                  <w:noWrap/>
                  <w:hideMark/>
                </w:tcPr>
                <w:p w:rsidRPr="00A406E2" w:rsidR="00F17A20" w:rsidP="00F17A20" w:rsidRDefault="00F17A20" w14:paraId="04E72155" w14:textId="77777777">
                  <w:pPr>
                    <w:spacing w:before="0" w:after="0"/>
                    <w:rPr>
                      <w:color w:val="000000"/>
                      <w:sz w:val="18"/>
                      <w:szCs w:val="18"/>
                    </w:rPr>
                  </w:pPr>
                  <w:r w:rsidRPr="00A406E2">
                    <w:rPr>
                      <w:color w:val="000000"/>
                      <w:sz w:val="18"/>
                      <w:szCs w:val="18"/>
                    </w:rPr>
                    <w:t>4</w:t>
                  </w:r>
                </w:p>
              </w:tc>
              <w:tc>
                <w:tcPr>
                  <w:tcW w:w="3827" w:type="dxa"/>
                  <w:noWrap/>
                  <w:hideMark/>
                </w:tcPr>
                <w:p w:rsidRPr="00A406E2" w:rsidR="00F17A20" w:rsidP="00F17A20" w:rsidRDefault="00F17A20" w14:paraId="31F65B99" w14:textId="77777777">
                  <w:pPr>
                    <w:spacing w:before="0" w:after="0"/>
                    <w:rPr>
                      <w:color w:val="000000"/>
                      <w:sz w:val="18"/>
                      <w:szCs w:val="18"/>
                    </w:rPr>
                  </w:pPr>
                  <w:r w:rsidRPr="00A406E2">
                    <w:rPr>
                      <w:color w:val="000000"/>
                      <w:sz w:val="18"/>
                      <w:szCs w:val="18"/>
                    </w:rPr>
                    <w:t>Wet SLOA</w:t>
                  </w:r>
                </w:p>
              </w:tc>
              <w:tc>
                <w:tcPr>
                  <w:tcW w:w="993" w:type="dxa"/>
                  <w:noWrap/>
                  <w:hideMark/>
                </w:tcPr>
                <w:p w:rsidRPr="00A406E2" w:rsidR="00F17A20" w:rsidP="00F17A20" w:rsidRDefault="00F17A20" w14:paraId="5324CC61" w14:textId="77777777">
                  <w:pPr>
                    <w:spacing w:before="0" w:after="0"/>
                    <w:jc w:val="right"/>
                    <w:rPr>
                      <w:color w:val="000000"/>
                      <w:sz w:val="18"/>
                      <w:szCs w:val="18"/>
                    </w:rPr>
                  </w:pPr>
                  <w:r w:rsidRPr="00A406E2">
                    <w:rPr>
                      <w:color w:val="000000"/>
                      <w:sz w:val="18"/>
                      <w:szCs w:val="18"/>
                    </w:rPr>
                    <w:t>-750</w:t>
                  </w:r>
                </w:p>
              </w:tc>
            </w:tr>
            <w:tr w:rsidRPr="00A406E2" w:rsidR="00F17A20" w:rsidTr="009638D7" w14:paraId="27CEC187" w14:textId="77777777">
              <w:trPr>
                <w:trHeight w:val="248"/>
              </w:trPr>
              <w:tc>
                <w:tcPr>
                  <w:tcW w:w="843" w:type="dxa"/>
                  <w:noWrap/>
                  <w:hideMark/>
                </w:tcPr>
                <w:p w:rsidRPr="00A406E2" w:rsidR="00F17A20" w:rsidP="00F17A20" w:rsidRDefault="00F17A20" w14:paraId="2DC73653" w14:textId="77777777">
                  <w:pPr>
                    <w:spacing w:before="0" w:after="0"/>
                    <w:rPr>
                      <w:color w:val="000000"/>
                      <w:sz w:val="18"/>
                      <w:szCs w:val="18"/>
                    </w:rPr>
                  </w:pPr>
                  <w:r w:rsidRPr="00A406E2">
                    <w:rPr>
                      <w:color w:val="000000"/>
                      <w:sz w:val="18"/>
                      <w:szCs w:val="18"/>
                    </w:rPr>
                    <w:t>25</w:t>
                  </w:r>
                </w:p>
              </w:tc>
              <w:tc>
                <w:tcPr>
                  <w:tcW w:w="3827" w:type="dxa"/>
                  <w:noWrap/>
                  <w:hideMark/>
                </w:tcPr>
                <w:p w:rsidRPr="00A406E2" w:rsidR="00F17A20" w:rsidP="00F17A20" w:rsidRDefault="00F17A20" w14:paraId="4E7BD08A" w14:textId="77777777">
                  <w:pPr>
                    <w:spacing w:before="0" w:after="0"/>
                    <w:rPr>
                      <w:color w:val="000000"/>
                      <w:sz w:val="18"/>
                      <w:szCs w:val="18"/>
                    </w:rPr>
                  </w:pPr>
                  <w:r w:rsidRPr="00A406E2">
                    <w:rPr>
                      <w:color w:val="000000"/>
                      <w:sz w:val="18"/>
                      <w:szCs w:val="18"/>
                    </w:rPr>
                    <w:t>Subsidiebudget emancipatie</w:t>
                  </w:r>
                </w:p>
              </w:tc>
              <w:tc>
                <w:tcPr>
                  <w:tcW w:w="993" w:type="dxa"/>
                  <w:noWrap/>
                  <w:hideMark/>
                </w:tcPr>
                <w:p w:rsidRPr="00A406E2" w:rsidR="00F17A20" w:rsidP="00F17A20" w:rsidRDefault="00F17A20" w14:paraId="7EFC156C" w14:textId="77777777">
                  <w:pPr>
                    <w:spacing w:before="0" w:after="0"/>
                    <w:jc w:val="right"/>
                    <w:rPr>
                      <w:color w:val="000000"/>
                      <w:sz w:val="18"/>
                      <w:szCs w:val="18"/>
                    </w:rPr>
                  </w:pPr>
                  <w:r w:rsidRPr="00A406E2">
                    <w:rPr>
                      <w:color w:val="000000"/>
                      <w:sz w:val="18"/>
                      <w:szCs w:val="18"/>
                    </w:rPr>
                    <w:t>-500</w:t>
                  </w:r>
                </w:p>
              </w:tc>
            </w:tr>
            <w:tr w:rsidRPr="00A406E2" w:rsidR="00F17A20" w:rsidTr="009638D7" w14:paraId="75021FB4" w14:textId="77777777">
              <w:trPr>
                <w:trHeight w:val="248"/>
              </w:trPr>
              <w:tc>
                <w:tcPr>
                  <w:tcW w:w="843" w:type="dxa"/>
                  <w:noWrap/>
                  <w:hideMark/>
                </w:tcPr>
                <w:p w:rsidRPr="00A406E2" w:rsidR="00F17A20" w:rsidP="00F17A20" w:rsidRDefault="00F17A20" w14:paraId="41E32418" w14:textId="77777777">
                  <w:pPr>
                    <w:spacing w:before="0" w:after="0"/>
                    <w:rPr>
                      <w:color w:val="000000"/>
                      <w:sz w:val="18"/>
                      <w:szCs w:val="18"/>
                    </w:rPr>
                  </w:pPr>
                  <w:r w:rsidRPr="00A406E2">
                    <w:rPr>
                      <w:color w:val="000000"/>
                      <w:sz w:val="18"/>
                      <w:szCs w:val="18"/>
                    </w:rPr>
                    <w:t>1</w:t>
                  </w:r>
                </w:p>
              </w:tc>
              <w:tc>
                <w:tcPr>
                  <w:tcW w:w="3827" w:type="dxa"/>
                  <w:noWrap/>
                  <w:hideMark/>
                </w:tcPr>
                <w:p w:rsidRPr="00A406E2" w:rsidR="00F17A20" w:rsidP="00F17A20" w:rsidRDefault="00F17A20" w14:paraId="41EC9492" w14:textId="77777777">
                  <w:pPr>
                    <w:spacing w:before="0" w:after="0"/>
                    <w:rPr>
                      <w:color w:val="000000"/>
                      <w:sz w:val="18"/>
                      <w:szCs w:val="18"/>
                    </w:rPr>
                  </w:pPr>
                  <w:r w:rsidRPr="00A406E2">
                    <w:rPr>
                      <w:color w:val="000000"/>
                      <w:sz w:val="18"/>
                      <w:szCs w:val="18"/>
                    </w:rPr>
                    <w:t>Overige subsidies po</w:t>
                  </w:r>
                </w:p>
              </w:tc>
              <w:tc>
                <w:tcPr>
                  <w:tcW w:w="993" w:type="dxa"/>
                  <w:noWrap/>
                  <w:hideMark/>
                </w:tcPr>
                <w:p w:rsidRPr="00A406E2" w:rsidR="00F17A20" w:rsidP="00F17A20" w:rsidRDefault="00F17A20" w14:paraId="2C0C7570" w14:textId="77777777">
                  <w:pPr>
                    <w:spacing w:before="0" w:after="0"/>
                    <w:jc w:val="right"/>
                    <w:rPr>
                      <w:color w:val="000000"/>
                      <w:sz w:val="18"/>
                      <w:szCs w:val="18"/>
                    </w:rPr>
                  </w:pPr>
                  <w:r w:rsidRPr="00A406E2">
                    <w:rPr>
                      <w:color w:val="000000"/>
                      <w:sz w:val="18"/>
                      <w:szCs w:val="18"/>
                    </w:rPr>
                    <w:t>-450</w:t>
                  </w:r>
                </w:p>
              </w:tc>
            </w:tr>
            <w:tr w:rsidRPr="00A406E2" w:rsidR="00F17A20" w:rsidTr="009638D7" w14:paraId="7BFD02ED" w14:textId="77777777">
              <w:trPr>
                <w:trHeight w:val="248"/>
              </w:trPr>
              <w:tc>
                <w:tcPr>
                  <w:tcW w:w="843" w:type="dxa"/>
                  <w:noWrap/>
                  <w:hideMark/>
                </w:tcPr>
                <w:p w:rsidRPr="00A406E2" w:rsidR="00F17A20" w:rsidP="00F17A20" w:rsidRDefault="00F17A20" w14:paraId="6D872A4F" w14:textId="77777777">
                  <w:pPr>
                    <w:spacing w:before="0" w:after="0"/>
                    <w:rPr>
                      <w:color w:val="000000"/>
                      <w:sz w:val="18"/>
                      <w:szCs w:val="18"/>
                    </w:rPr>
                  </w:pPr>
                  <w:r w:rsidRPr="00A406E2">
                    <w:rPr>
                      <w:color w:val="000000"/>
                      <w:sz w:val="18"/>
                      <w:szCs w:val="18"/>
                    </w:rPr>
                    <w:t>3</w:t>
                  </w:r>
                </w:p>
              </w:tc>
              <w:tc>
                <w:tcPr>
                  <w:tcW w:w="3827" w:type="dxa"/>
                  <w:noWrap/>
                  <w:hideMark/>
                </w:tcPr>
                <w:p w:rsidRPr="00A406E2" w:rsidR="00F17A20" w:rsidP="00F17A20" w:rsidRDefault="00F17A20" w14:paraId="756F0485" w14:textId="77777777">
                  <w:pPr>
                    <w:spacing w:before="0" w:after="0"/>
                    <w:rPr>
                      <w:color w:val="000000"/>
                      <w:sz w:val="18"/>
                      <w:szCs w:val="18"/>
                    </w:rPr>
                  </w:pPr>
                  <w:r w:rsidRPr="00A406E2">
                    <w:rPr>
                      <w:color w:val="000000"/>
                      <w:sz w:val="18"/>
                      <w:szCs w:val="18"/>
                    </w:rPr>
                    <w:t>Overige subsidies vo</w:t>
                  </w:r>
                </w:p>
              </w:tc>
              <w:tc>
                <w:tcPr>
                  <w:tcW w:w="993" w:type="dxa"/>
                  <w:noWrap/>
                  <w:hideMark/>
                </w:tcPr>
                <w:p w:rsidRPr="00A406E2" w:rsidR="00F17A20" w:rsidP="00F17A20" w:rsidRDefault="00F17A20" w14:paraId="3F0D4AD7" w14:textId="77777777">
                  <w:pPr>
                    <w:spacing w:before="0" w:after="0"/>
                    <w:jc w:val="right"/>
                    <w:rPr>
                      <w:color w:val="000000"/>
                      <w:sz w:val="18"/>
                      <w:szCs w:val="18"/>
                    </w:rPr>
                  </w:pPr>
                  <w:r w:rsidRPr="00A406E2">
                    <w:rPr>
                      <w:color w:val="000000"/>
                      <w:sz w:val="18"/>
                      <w:szCs w:val="18"/>
                    </w:rPr>
                    <w:t>-450</w:t>
                  </w:r>
                </w:p>
              </w:tc>
            </w:tr>
            <w:tr w:rsidRPr="00A406E2" w:rsidR="00F17A20" w:rsidTr="009638D7" w14:paraId="5172EAD9" w14:textId="77777777">
              <w:trPr>
                <w:trHeight w:val="248"/>
              </w:trPr>
              <w:tc>
                <w:tcPr>
                  <w:tcW w:w="843" w:type="dxa"/>
                  <w:noWrap/>
                  <w:hideMark/>
                </w:tcPr>
                <w:p w:rsidRPr="00A406E2" w:rsidR="00F17A20" w:rsidP="00F17A20" w:rsidRDefault="00F17A20" w14:paraId="346642B9" w14:textId="77777777">
                  <w:pPr>
                    <w:spacing w:before="0" w:after="0"/>
                    <w:rPr>
                      <w:color w:val="000000"/>
                      <w:sz w:val="18"/>
                      <w:szCs w:val="18"/>
                    </w:rPr>
                  </w:pPr>
                  <w:r w:rsidRPr="00A406E2">
                    <w:rPr>
                      <w:color w:val="000000"/>
                      <w:sz w:val="18"/>
                      <w:szCs w:val="18"/>
                    </w:rPr>
                    <w:t>7</w:t>
                  </w:r>
                </w:p>
              </w:tc>
              <w:tc>
                <w:tcPr>
                  <w:tcW w:w="3827" w:type="dxa"/>
                  <w:noWrap/>
                  <w:hideMark/>
                </w:tcPr>
                <w:p w:rsidRPr="00A406E2" w:rsidR="00F17A20" w:rsidP="00F17A20" w:rsidRDefault="00F17A20" w14:paraId="521A7A2A" w14:textId="77777777">
                  <w:pPr>
                    <w:spacing w:before="0" w:after="0"/>
                    <w:rPr>
                      <w:color w:val="000000"/>
                      <w:sz w:val="18"/>
                      <w:szCs w:val="18"/>
                    </w:rPr>
                  </w:pPr>
                  <w:r w:rsidRPr="00A406E2">
                    <w:rPr>
                      <w:color w:val="000000"/>
                      <w:sz w:val="18"/>
                      <w:szCs w:val="18"/>
                    </w:rPr>
                    <w:t>Bekostiging onderwijsdeel wo</w:t>
                  </w:r>
                </w:p>
              </w:tc>
              <w:tc>
                <w:tcPr>
                  <w:tcW w:w="993" w:type="dxa"/>
                  <w:noWrap/>
                  <w:hideMark/>
                </w:tcPr>
                <w:p w:rsidRPr="00A406E2" w:rsidR="00F17A20" w:rsidP="00F17A20" w:rsidRDefault="00F17A20" w14:paraId="5CCD779F" w14:textId="77777777">
                  <w:pPr>
                    <w:spacing w:before="0" w:after="0"/>
                    <w:jc w:val="right"/>
                    <w:rPr>
                      <w:color w:val="000000"/>
                      <w:sz w:val="18"/>
                      <w:szCs w:val="18"/>
                    </w:rPr>
                  </w:pPr>
                  <w:r w:rsidRPr="00A406E2">
                    <w:rPr>
                      <w:color w:val="000000"/>
                      <w:sz w:val="18"/>
                      <w:szCs w:val="18"/>
                    </w:rPr>
                    <w:t>-398</w:t>
                  </w:r>
                </w:p>
              </w:tc>
            </w:tr>
            <w:tr w:rsidRPr="00A406E2" w:rsidR="00F17A20" w:rsidTr="009638D7" w14:paraId="71D3677E" w14:textId="77777777">
              <w:trPr>
                <w:trHeight w:val="248"/>
              </w:trPr>
              <w:tc>
                <w:tcPr>
                  <w:tcW w:w="843" w:type="dxa"/>
                  <w:noWrap/>
                  <w:hideMark/>
                </w:tcPr>
                <w:p w:rsidRPr="00A406E2" w:rsidR="00F17A20" w:rsidP="00F17A20" w:rsidRDefault="00F17A20" w14:paraId="40A869BD" w14:textId="77777777">
                  <w:pPr>
                    <w:spacing w:before="0" w:after="0"/>
                    <w:rPr>
                      <w:color w:val="000000"/>
                      <w:sz w:val="18"/>
                      <w:szCs w:val="18"/>
                    </w:rPr>
                  </w:pPr>
                  <w:r w:rsidRPr="00A406E2">
                    <w:rPr>
                      <w:color w:val="000000"/>
                      <w:sz w:val="18"/>
                      <w:szCs w:val="18"/>
                    </w:rPr>
                    <w:t>6</w:t>
                  </w:r>
                </w:p>
              </w:tc>
              <w:tc>
                <w:tcPr>
                  <w:tcW w:w="3827" w:type="dxa"/>
                  <w:noWrap/>
                  <w:hideMark/>
                </w:tcPr>
                <w:p w:rsidRPr="00A406E2" w:rsidR="00F17A20" w:rsidP="00F17A20" w:rsidRDefault="00F17A20" w14:paraId="17ED4883" w14:textId="77777777">
                  <w:pPr>
                    <w:spacing w:before="0" w:after="0"/>
                    <w:rPr>
                      <w:color w:val="000000"/>
                      <w:sz w:val="18"/>
                      <w:szCs w:val="18"/>
                    </w:rPr>
                  </w:pPr>
                  <w:r w:rsidRPr="00A406E2">
                    <w:rPr>
                      <w:color w:val="000000"/>
                      <w:sz w:val="18"/>
                      <w:szCs w:val="18"/>
                    </w:rPr>
                    <w:t>Bekostiging onderwijsdeel hbo</w:t>
                  </w:r>
                </w:p>
              </w:tc>
              <w:tc>
                <w:tcPr>
                  <w:tcW w:w="993" w:type="dxa"/>
                  <w:noWrap/>
                  <w:hideMark/>
                </w:tcPr>
                <w:p w:rsidRPr="00A406E2" w:rsidR="00F17A20" w:rsidP="00F17A20" w:rsidRDefault="00F17A20" w14:paraId="05037CB2" w14:textId="77777777">
                  <w:pPr>
                    <w:spacing w:before="0" w:after="0"/>
                    <w:jc w:val="right"/>
                    <w:rPr>
                      <w:color w:val="000000"/>
                      <w:sz w:val="18"/>
                      <w:szCs w:val="18"/>
                    </w:rPr>
                  </w:pPr>
                  <w:r w:rsidRPr="00A406E2">
                    <w:rPr>
                      <w:color w:val="000000"/>
                      <w:sz w:val="18"/>
                      <w:szCs w:val="18"/>
                    </w:rPr>
                    <w:t>-397</w:t>
                  </w:r>
                </w:p>
              </w:tc>
            </w:tr>
            <w:tr w:rsidRPr="00A406E2" w:rsidR="00F17A20" w:rsidTr="009638D7" w14:paraId="79FDEB5B" w14:textId="77777777">
              <w:trPr>
                <w:trHeight w:val="248"/>
              </w:trPr>
              <w:tc>
                <w:tcPr>
                  <w:tcW w:w="843" w:type="dxa"/>
                  <w:noWrap/>
                  <w:hideMark/>
                </w:tcPr>
                <w:p w:rsidRPr="00A406E2" w:rsidR="00F17A20" w:rsidP="00F17A20" w:rsidRDefault="00F17A20" w14:paraId="56363AC4" w14:textId="77777777">
                  <w:pPr>
                    <w:spacing w:before="0" w:after="0"/>
                    <w:rPr>
                      <w:color w:val="000000"/>
                      <w:sz w:val="18"/>
                      <w:szCs w:val="18"/>
                    </w:rPr>
                  </w:pPr>
                  <w:r w:rsidRPr="00A406E2">
                    <w:rPr>
                      <w:color w:val="000000"/>
                      <w:sz w:val="18"/>
                      <w:szCs w:val="18"/>
                    </w:rPr>
                    <w:t>7</w:t>
                  </w:r>
                </w:p>
              </w:tc>
              <w:tc>
                <w:tcPr>
                  <w:tcW w:w="3827" w:type="dxa"/>
                  <w:noWrap/>
                  <w:hideMark/>
                </w:tcPr>
                <w:p w:rsidRPr="00A406E2" w:rsidR="00F17A20" w:rsidP="00F17A20" w:rsidRDefault="00F17A20" w14:paraId="797963EA" w14:textId="77777777">
                  <w:pPr>
                    <w:spacing w:before="0" w:after="0"/>
                    <w:rPr>
                      <w:color w:val="000000"/>
                      <w:sz w:val="18"/>
                      <w:szCs w:val="18"/>
                    </w:rPr>
                  </w:pPr>
                  <w:r w:rsidRPr="00A406E2">
                    <w:rPr>
                      <w:color w:val="000000"/>
                      <w:sz w:val="18"/>
                      <w:szCs w:val="18"/>
                    </w:rPr>
                    <w:t xml:space="preserve">Bekostiging </w:t>
                  </w:r>
                  <w:proofErr w:type="spellStart"/>
                  <w:r w:rsidRPr="00A406E2">
                    <w:rPr>
                      <w:color w:val="000000"/>
                      <w:sz w:val="18"/>
                      <w:szCs w:val="18"/>
                    </w:rPr>
                    <w:t>onderzoeksdeel</w:t>
                  </w:r>
                  <w:proofErr w:type="spellEnd"/>
                  <w:r w:rsidRPr="00A406E2">
                    <w:rPr>
                      <w:color w:val="000000"/>
                      <w:sz w:val="18"/>
                      <w:szCs w:val="18"/>
                    </w:rPr>
                    <w:t xml:space="preserve"> wo</w:t>
                  </w:r>
                </w:p>
              </w:tc>
              <w:tc>
                <w:tcPr>
                  <w:tcW w:w="993" w:type="dxa"/>
                  <w:noWrap/>
                  <w:hideMark/>
                </w:tcPr>
                <w:p w:rsidRPr="00A406E2" w:rsidR="00F17A20" w:rsidP="00F17A20" w:rsidRDefault="00F17A20" w14:paraId="40FB0BBB" w14:textId="77777777">
                  <w:pPr>
                    <w:spacing w:before="0" w:after="0"/>
                    <w:jc w:val="right"/>
                    <w:rPr>
                      <w:color w:val="000000"/>
                      <w:sz w:val="18"/>
                      <w:szCs w:val="18"/>
                    </w:rPr>
                  </w:pPr>
                  <w:r w:rsidRPr="00A406E2">
                    <w:rPr>
                      <w:color w:val="000000"/>
                      <w:sz w:val="18"/>
                      <w:szCs w:val="18"/>
                    </w:rPr>
                    <w:t>-374</w:t>
                  </w:r>
                </w:p>
              </w:tc>
            </w:tr>
            <w:tr w:rsidRPr="00A406E2" w:rsidR="00F17A20" w:rsidTr="009638D7" w14:paraId="5F130244" w14:textId="77777777">
              <w:trPr>
                <w:trHeight w:val="248"/>
              </w:trPr>
              <w:tc>
                <w:tcPr>
                  <w:tcW w:w="843" w:type="dxa"/>
                  <w:noWrap/>
                  <w:hideMark/>
                </w:tcPr>
                <w:p w:rsidRPr="00A406E2" w:rsidR="00F17A20" w:rsidP="00F17A20" w:rsidRDefault="00F17A20" w14:paraId="1D3B0DE1" w14:textId="77777777">
                  <w:pPr>
                    <w:spacing w:before="0" w:after="0"/>
                    <w:rPr>
                      <w:color w:val="000000"/>
                      <w:sz w:val="18"/>
                      <w:szCs w:val="18"/>
                    </w:rPr>
                  </w:pPr>
                  <w:r w:rsidRPr="00A406E2">
                    <w:rPr>
                      <w:color w:val="000000"/>
                      <w:sz w:val="18"/>
                      <w:szCs w:val="18"/>
                    </w:rPr>
                    <w:t>4</w:t>
                  </w:r>
                </w:p>
              </w:tc>
              <w:tc>
                <w:tcPr>
                  <w:tcW w:w="3827" w:type="dxa"/>
                  <w:noWrap/>
                  <w:hideMark/>
                </w:tcPr>
                <w:p w:rsidRPr="00A406E2" w:rsidR="00F17A20" w:rsidP="00F17A20" w:rsidRDefault="00F17A20" w14:paraId="7D90221D" w14:textId="77777777">
                  <w:pPr>
                    <w:spacing w:before="0" w:after="0"/>
                    <w:rPr>
                      <w:color w:val="000000"/>
                      <w:sz w:val="18"/>
                      <w:szCs w:val="18"/>
                    </w:rPr>
                  </w:pPr>
                  <w:r w:rsidRPr="00A406E2">
                    <w:rPr>
                      <w:color w:val="000000"/>
                      <w:sz w:val="18"/>
                      <w:szCs w:val="18"/>
                    </w:rPr>
                    <w:t>Opdrachten mbo</w:t>
                  </w:r>
                </w:p>
              </w:tc>
              <w:tc>
                <w:tcPr>
                  <w:tcW w:w="993" w:type="dxa"/>
                  <w:noWrap/>
                  <w:hideMark/>
                </w:tcPr>
                <w:p w:rsidRPr="00A406E2" w:rsidR="00F17A20" w:rsidP="00F17A20" w:rsidRDefault="00F17A20" w14:paraId="1D79A747" w14:textId="77777777">
                  <w:pPr>
                    <w:spacing w:before="0" w:after="0"/>
                    <w:jc w:val="right"/>
                    <w:rPr>
                      <w:color w:val="000000"/>
                      <w:sz w:val="18"/>
                      <w:szCs w:val="18"/>
                    </w:rPr>
                  </w:pPr>
                  <w:r w:rsidRPr="00A406E2">
                    <w:rPr>
                      <w:color w:val="000000"/>
                      <w:sz w:val="18"/>
                      <w:szCs w:val="18"/>
                    </w:rPr>
                    <w:t>-45</w:t>
                  </w:r>
                </w:p>
              </w:tc>
            </w:tr>
            <w:tr w:rsidRPr="00A406E2" w:rsidR="00F17A20" w:rsidTr="009638D7" w14:paraId="47E5CBE6" w14:textId="77777777">
              <w:trPr>
                <w:trHeight w:val="248"/>
              </w:trPr>
              <w:tc>
                <w:tcPr>
                  <w:tcW w:w="843" w:type="dxa"/>
                  <w:noWrap/>
                  <w:hideMark/>
                </w:tcPr>
                <w:p w:rsidRPr="00A406E2" w:rsidR="00F17A20" w:rsidP="00F17A20" w:rsidRDefault="00F17A20" w14:paraId="774AE2BC" w14:textId="77777777">
                  <w:pPr>
                    <w:spacing w:before="0" w:after="0"/>
                    <w:rPr>
                      <w:color w:val="000000"/>
                      <w:sz w:val="18"/>
                      <w:szCs w:val="18"/>
                    </w:rPr>
                  </w:pPr>
                  <w:r w:rsidRPr="00A406E2">
                    <w:rPr>
                      <w:color w:val="000000"/>
                      <w:sz w:val="18"/>
                      <w:szCs w:val="18"/>
                    </w:rPr>
                    <w:t>6</w:t>
                  </w:r>
                </w:p>
              </w:tc>
              <w:tc>
                <w:tcPr>
                  <w:tcW w:w="3827" w:type="dxa"/>
                  <w:noWrap/>
                  <w:hideMark/>
                </w:tcPr>
                <w:p w:rsidRPr="00A406E2" w:rsidR="00F17A20" w:rsidP="00F17A20" w:rsidRDefault="00F17A20" w14:paraId="0EE9460E" w14:textId="77777777">
                  <w:pPr>
                    <w:spacing w:before="0" w:after="0"/>
                    <w:rPr>
                      <w:color w:val="000000"/>
                      <w:sz w:val="18"/>
                      <w:szCs w:val="18"/>
                    </w:rPr>
                  </w:pPr>
                  <w:r w:rsidRPr="00A406E2">
                    <w:rPr>
                      <w:color w:val="000000"/>
                      <w:sz w:val="18"/>
                      <w:szCs w:val="18"/>
                    </w:rPr>
                    <w:t>Bijdrage aan agentschappen DUO</w:t>
                  </w:r>
                </w:p>
              </w:tc>
              <w:tc>
                <w:tcPr>
                  <w:tcW w:w="993" w:type="dxa"/>
                  <w:noWrap/>
                  <w:hideMark/>
                </w:tcPr>
                <w:p w:rsidRPr="00A406E2" w:rsidR="00F17A20" w:rsidP="00F17A20" w:rsidRDefault="00F17A20" w14:paraId="26312F06" w14:textId="77777777">
                  <w:pPr>
                    <w:spacing w:before="0" w:after="0"/>
                    <w:jc w:val="right"/>
                    <w:rPr>
                      <w:color w:val="000000"/>
                      <w:sz w:val="18"/>
                      <w:szCs w:val="18"/>
                    </w:rPr>
                  </w:pPr>
                  <w:r w:rsidRPr="00A406E2">
                    <w:rPr>
                      <w:color w:val="000000"/>
                      <w:sz w:val="18"/>
                      <w:szCs w:val="18"/>
                    </w:rPr>
                    <w:t>-45</w:t>
                  </w:r>
                </w:p>
              </w:tc>
            </w:tr>
            <w:tr w:rsidRPr="00A406E2" w:rsidR="00F17A20" w:rsidTr="009638D7" w14:paraId="304CACBA" w14:textId="77777777">
              <w:trPr>
                <w:trHeight w:val="248"/>
              </w:trPr>
              <w:tc>
                <w:tcPr>
                  <w:tcW w:w="843" w:type="dxa"/>
                  <w:noWrap/>
                  <w:hideMark/>
                </w:tcPr>
                <w:p w:rsidRPr="00A406E2" w:rsidR="00F17A20" w:rsidP="00F17A20" w:rsidRDefault="00F17A20" w14:paraId="55CC24C6" w14:textId="77777777">
                  <w:pPr>
                    <w:spacing w:before="0" w:after="0"/>
                    <w:rPr>
                      <w:color w:val="000000"/>
                      <w:sz w:val="18"/>
                      <w:szCs w:val="18"/>
                    </w:rPr>
                  </w:pPr>
                  <w:r w:rsidRPr="00A406E2">
                    <w:rPr>
                      <w:color w:val="000000"/>
                      <w:sz w:val="18"/>
                      <w:szCs w:val="18"/>
                    </w:rPr>
                    <w:t>8</w:t>
                  </w:r>
                </w:p>
              </w:tc>
              <w:tc>
                <w:tcPr>
                  <w:tcW w:w="3827" w:type="dxa"/>
                  <w:noWrap/>
                  <w:hideMark/>
                </w:tcPr>
                <w:p w:rsidRPr="00A406E2" w:rsidR="00F17A20" w:rsidP="00F17A20" w:rsidRDefault="00F17A20" w14:paraId="13ABA131" w14:textId="77777777">
                  <w:pPr>
                    <w:spacing w:before="0" w:after="0"/>
                    <w:rPr>
                      <w:color w:val="000000"/>
                      <w:sz w:val="18"/>
                      <w:szCs w:val="18"/>
                    </w:rPr>
                  </w:pPr>
                  <w:r w:rsidRPr="00A406E2">
                    <w:rPr>
                      <w:color w:val="000000"/>
                      <w:sz w:val="18"/>
                      <w:szCs w:val="18"/>
                    </w:rPr>
                    <w:t>Internationalisering onderwijs</w:t>
                  </w:r>
                </w:p>
              </w:tc>
              <w:tc>
                <w:tcPr>
                  <w:tcW w:w="993" w:type="dxa"/>
                  <w:noWrap/>
                  <w:hideMark/>
                </w:tcPr>
                <w:p w:rsidRPr="00A406E2" w:rsidR="00F17A20" w:rsidP="00F17A20" w:rsidRDefault="00F17A20" w14:paraId="3A537F70" w14:textId="77777777">
                  <w:pPr>
                    <w:spacing w:before="0" w:after="0"/>
                    <w:jc w:val="right"/>
                    <w:rPr>
                      <w:color w:val="000000"/>
                      <w:sz w:val="18"/>
                      <w:szCs w:val="18"/>
                    </w:rPr>
                  </w:pPr>
                  <w:r w:rsidRPr="00A406E2">
                    <w:rPr>
                      <w:color w:val="000000"/>
                      <w:sz w:val="18"/>
                      <w:szCs w:val="18"/>
                    </w:rPr>
                    <w:t>-30</w:t>
                  </w:r>
                </w:p>
              </w:tc>
            </w:tr>
            <w:tr w:rsidRPr="00A406E2" w:rsidR="00F17A20" w:rsidTr="009638D7" w14:paraId="7CE46BC6" w14:textId="77777777">
              <w:trPr>
                <w:trHeight w:val="248"/>
              </w:trPr>
              <w:tc>
                <w:tcPr>
                  <w:tcW w:w="843" w:type="dxa"/>
                  <w:noWrap/>
                  <w:hideMark/>
                </w:tcPr>
                <w:p w:rsidRPr="00A406E2" w:rsidR="00F17A20" w:rsidP="00F17A20" w:rsidRDefault="00F17A20" w14:paraId="088B2886" w14:textId="77777777">
                  <w:pPr>
                    <w:spacing w:before="0" w:after="0"/>
                    <w:jc w:val="right"/>
                    <w:rPr>
                      <w:color w:val="000000"/>
                      <w:sz w:val="18"/>
                      <w:szCs w:val="18"/>
                    </w:rPr>
                  </w:pPr>
                </w:p>
              </w:tc>
              <w:tc>
                <w:tcPr>
                  <w:tcW w:w="3827" w:type="dxa"/>
                  <w:noWrap/>
                  <w:hideMark/>
                </w:tcPr>
                <w:p w:rsidRPr="00A406E2" w:rsidR="00F17A20" w:rsidP="00F17A20" w:rsidRDefault="00F17A20" w14:paraId="5D9E650F" w14:textId="77777777">
                  <w:pPr>
                    <w:spacing w:before="0" w:after="0"/>
                    <w:rPr>
                      <w:b/>
                      <w:bCs/>
                      <w:color w:val="000000"/>
                      <w:sz w:val="18"/>
                      <w:szCs w:val="18"/>
                    </w:rPr>
                  </w:pPr>
                  <w:r w:rsidRPr="00A406E2">
                    <w:rPr>
                      <w:b/>
                      <w:bCs/>
                      <w:color w:val="000000"/>
                      <w:sz w:val="18"/>
                      <w:szCs w:val="18"/>
                    </w:rPr>
                    <w:t>Totaal overige extensiveringen</w:t>
                  </w:r>
                </w:p>
              </w:tc>
              <w:tc>
                <w:tcPr>
                  <w:tcW w:w="993" w:type="dxa"/>
                  <w:noWrap/>
                  <w:hideMark/>
                </w:tcPr>
                <w:p w:rsidRPr="00A406E2" w:rsidR="00F17A20" w:rsidP="00F17A20" w:rsidRDefault="00F17A20" w14:paraId="2097DC20" w14:textId="77777777">
                  <w:pPr>
                    <w:spacing w:before="0" w:after="0"/>
                    <w:jc w:val="right"/>
                    <w:rPr>
                      <w:b/>
                      <w:bCs/>
                      <w:color w:val="000000"/>
                      <w:sz w:val="18"/>
                      <w:szCs w:val="18"/>
                    </w:rPr>
                  </w:pPr>
                  <w:r w:rsidRPr="00A406E2">
                    <w:rPr>
                      <w:b/>
                      <w:bCs/>
                      <w:color w:val="000000"/>
                      <w:sz w:val="18"/>
                      <w:szCs w:val="18"/>
                    </w:rPr>
                    <w:t>-33.237</w:t>
                  </w:r>
                </w:p>
              </w:tc>
            </w:tr>
          </w:tbl>
          <w:p w:rsidRPr="00A406E2" w:rsidR="00F17A20" w:rsidP="00552EC0" w:rsidRDefault="00F17A20" w14:paraId="78BF0B62" w14:textId="77777777">
            <w:pPr>
              <w:rPr>
                <w:sz w:val="24"/>
                <w:szCs w:val="24"/>
              </w:rPr>
            </w:pPr>
          </w:p>
        </w:tc>
        <w:tc>
          <w:tcPr>
            <w:tcW w:w="850" w:type="dxa"/>
          </w:tcPr>
          <w:p w:rsidRPr="00A406E2" w:rsidR="00297A51" w:rsidP="00552EC0" w:rsidRDefault="00297A51" w14:paraId="54249687" w14:textId="5131A469">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1AAF907D" w14:textId="77777777">
            <w:pPr>
              <w:jc w:val="right"/>
              <w:rPr>
                <w:sz w:val="24"/>
                <w:szCs w:val="24"/>
              </w:rPr>
            </w:pPr>
            <w:r w:rsidRPr="00A406E2">
              <w:rPr>
                <w:sz w:val="24"/>
                <w:szCs w:val="24"/>
              </w:rPr>
              <w:t>10</w:t>
            </w:r>
          </w:p>
        </w:tc>
        <w:tc>
          <w:tcPr>
            <w:tcW w:w="567" w:type="dxa"/>
          </w:tcPr>
          <w:p w:rsidRPr="00A406E2" w:rsidR="00297A51" w:rsidP="00552EC0" w:rsidRDefault="00297A51" w14:paraId="5C46BDE9" w14:textId="77777777">
            <w:pPr>
              <w:jc w:val="right"/>
              <w:rPr>
                <w:sz w:val="24"/>
                <w:szCs w:val="24"/>
              </w:rPr>
            </w:pPr>
            <w:r w:rsidRPr="00A406E2">
              <w:rPr>
                <w:sz w:val="24"/>
                <w:szCs w:val="24"/>
              </w:rPr>
              <w:t xml:space="preserve"> </w:t>
            </w:r>
          </w:p>
        </w:tc>
      </w:tr>
      <w:tr w:rsidRPr="00A406E2" w:rsidR="00297A51" w:rsidTr="00B90BBB" w14:paraId="3D5A1B07" w14:textId="77777777">
        <w:tc>
          <w:tcPr>
            <w:tcW w:w="567" w:type="dxa"/>
          </w:tcPr>
          <w:p w:rsidRPr="00A406E2" w:rsidR="00297A51" w:rsidP="00552EC0" w:rsidRDefault="00297A51" w14:paraId="4517A387" w14:textId="277E6CBA">
            <w:pPr>
              <w:rPr>
                <w:sz w:val="24"/>
                <w:szCs w:val="24"/>
              </w:rPr>
            </w:pPr>
            <w:r w:rsidRPr="00A406E2">
              <w:rPr>
                <w:sz w:val="24"/>
                <w:szCs w:val="24"/>
              </w:rPr>
              <w:t>36</w:t>
            </w:r>
          </w:p>
        </w:tc>
        <w:tc>
          <w:tcPr>
            <w:tcW w:w="6521" w:type="dxa"/>
          </w:tcPr>
          <w:p w:rsidRPr="00A406E2" w:rsidR="00297A51" w:rsidP="00552EC0" w:rsidRDefault="00297A51" w14:paraId="6729CFD0" w14:textId="77777777">
            <w:pPr>
              <w:rPr>
                <w:sz w:val="24"/>
                <w:szCs w:val="24"/>
              </w:rPr>
            </w:pPr>
            <w:r w:rsidRPr="00A406E2">
              <w:rPr>
                <w:sz w:val="24"/>
                <w:szCs w:val="24"/>
              </w:rPr>
              <w:t>Welke gevolgen zal de bezuiniging op brugfunctionarissen hebben en met welke redenen is besloten om daarop te bezuinigen?</w:t>
            </w:r>
          </w:p>
          <w:p w:rsidRPr="00A406E2" w:rsidR="00145239" w:rsidP="00552EC0" w:rsidRDefault="00894378" w14:paraId="36E93B66" w14:textId="3BA287F6">
            <w:pPr>
              <w:rPr>
                <w:sz w:val="24"/>
                <w:szCs w:val="24"/>
              </w:rPr>
            </w:pPr>
            <w:r w:rsidRPr="00A406E2">
              <w:rPr>
                <w:sz w:val="24"/>
                <w:szCs w:val="24"/>
              </w:rPr>
              <w:t>In de praktijk heeft dit geen gevolgen, zie het antwoord op vraag 33.</w:t>
            </w:r>
          </w:p>
        </w:tc>
        <w:tc>
          <w:tcPr>
            <w:tcW w:w="850" w:type="dxa"/>
          </w:tcPr>
          <w:p w:rsidRPr="00A406E2" w:rsidR="00297A51" w:rsidP="00552EC0" w:rsidRDefault="00297A51" w14:paraId="2C988B3A" w14:textId="76CE828D">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7321FB5F" w14:textId="77777777">
            <w:pPr>
              <w:jc w:val="right"/>
              <w:rPr>
                <w:sz w:val="24"/>
                <w:szCs w:val="24"/>
              </w:rPr>
            </w:pPr>
            <w:r w:rsidRPr="00A406E2">
              <w:rPr>
                <w:sz w:val="24"/>
                <w:szCs w:val="24"/>
              </w:rPr>
              <w:t>10</w:t>
            </w:r>
          </w:p>
        </w:tc>
        <w:tc>
          <w:tcPr>
            <w:tcW w:w="567" w:type="dxa"/>
          </w:tcPr>
          <w:p w:rsidRPr="00A406E2" w:rsidR="00297A51" w:rsidP="00552EC0" w:rsidRDefault="00297A51" w14:paraId="79B55A67" w14:textId="77777777">
            <w:pPr>
              <w:jc w:val="right"/>
              <w:rPr>
                <w:sz w:val="24"/>
                <w:szCs w:val="24"/>
              </w:rPr>
            </w:pPr>
            <w:r w:rsidRPr="00A406E2">
              <w:rPr>
                <w:sz w:val="24"/>
                <w:szCs w:val="24"/>
              </w:rPr>
              <w:t xml:space="preserve"> </w:t>
            </w:r>
          </w:p>
        </w:tc>
      </w:tr>
      <w:tr w:rsidRPr="00A406E2" w:rsidR="00297A51" w:rsidTr="00B90BBB" w14:paraId="09D0B617" w14:textId="77777777">
        <w:tc>
          <w:tcPr>
            <w:tcW w:w="567" w:type="dxa"/>
          </w:tcPr>
          <w:p w:rsidRPr="00A406E2" w:rsidR="00297A51" w:rsidP="00552EC0" w:rsidRDefault="00297A51" w14:paraId="44CBADE4" w14:textId="6C6B9C35">
            <w:pPr>
              <w:rPr>
                <w:sz w:val="24"/>
                <w:szCs w:val="24"/>
              </w:rPr>
            </w:pPr>
            <w:r w:rsidRPr="00A406E2">
              <w:rPr>
                <w:sz w:val="24"/>
                <w:szCs w:val="24"/>
              </w:rPr>
              <w:t>37</w:t>
            </w:r>
          </w:p>
        </w:tc>
        <w:tc>
          <w:tcPr>
            <w:tcW w:w="6521" w:type="dxa"/>
          </w:tcPr>
          <w:p w:rsidRPr="00A406E2" w:rsidR="00297A51" w:rsidP="00552EC0" w:rsidRDefault="00297A51" w14:paraId="61DA3A07" w14:textId="114244E1">
            <w:pPr>
              <w:rPr>
                <w:sz w:val="24"/>
                <w:szCs w:val="24"/>
              </w:rPr>
            </w:pPr>
            <w:r w:rsidRPr="00A406E2">
              <w:rPr>
                <w:sz w:val="24"/>
                <w:szCs w:val="24"/>
              </w:rPr>
              <w:t>Waarom is ervoor gekozen om de praktijkgerichte havo niet verplicht te stellen voor alle havoleerlingen in de bovenbouw, maar facultatief aan te bieden?</w:t>
            </w:r>
          </w:p>
          <w:p w:rsidRPr="00A406E2" w:rsidR="00145239" w:rsidP="00552EC0" w:rsidRDefault="00145239" w14:paraId="54DACF34" w14:textId="126BA589">
            <w:pPr>
              <w:rPr>
                <w:sz w:val="24"/>
                <w:szCs w:val="24"/>
              </w:rPr>
            </w:pPr>
            <w:r w:rsidRPr="00A406E2">
              <w:rPr>
                <w:sz w:val="24"/>
                <w:szCs w:val="24"/>
              </w:rPr>
              <w:t xml:space="preserve">Alle havo-scholen kunnen vanaf het schooljaar 26/27 Maatschappij en Technologie als examenvak aanbieden. Zoals toegelicht in </w:t>
            </w:r>
            <w:hyperlink w:history="1" r:id="rId17">
              <w:r w:rsidRPr="00A406E2">
                <w:rPr>
                  <w:rStyle w:val="Hyperlink"/>
                  <w:sz w:val="24"/>
                  <w:szCs w:val="24"/>
                </w:rPr>
                <w:t>het besluit</w:t>
              </w:r>
            </w:hyperlink>
            <w:r w:rsidRPr="00A406E2">
              <w:rPr>
                <w:sz w:val="24"/>
                <w:szCs w:val="24"/>
              </w:rPr>
              <w:t xml:space="preserve"> wordt het aanbieden van een praktijkgericht vak geen verplichting, omdat een school zelf het beste de afweging kan maken of het aanbieden van één of beide praktijkgerichte examenvakken op het havo past bij de onderwijsvisie van de school en de behoeften van de leerlingen. Hoewel het niet verplicht is voor </w:t>
            </w:r>
            <w:r w:rsidRPr="00A406E2">
              <w:rPr>
                <w:sz w:val="24"/>
                <w:szCs w:val="24"/>
              </w:rPr>
              <w:lastRenderedPageBreak/>
              <w:t>scholen om een praktijkgericht vak op het havo aan te bieden, is het wel de wens en verwachting dat veel scholen hiervoor zullen kiezen. Een jaarlijks groeiende groep scholen, inmiddels de helft van alle havo’s, werkt met een of beide praktijkgerichte vakken.</w:t>
            </w:r>
          </w:p>
        </w:tc>
        <w:tc>
          <w:tcPr>
            <w:tcW w:w="850" w:type="dxa"/>
          </w:tcPr>
          <w:p w:rsidRPr="00A406E2" w:rsidR="00297A51" w:rsidP="00552EC0" w:rsidRDefault="00297A51" w14:paraId="694BF3C0" w14:textId="3FB02293">
            <w:pPr>
              <w:jc w:val="right"/>
              <w:rPr>
                <w:sz w:val="24"/>
                <w:szCs w:val="24"/>
              </w:rPr>
            </w:pPr>
            <w:r w:rsidRPr="00A406E2">
              <w:rPr>
                <w:sz w:val="24"/>
                <w:szCs w:val="24"/>
              </w:rPr>
              <w:lastRenderedPageBreak/>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21D3023D" w14:textId="77777777">
            <w:pPr>
              <w:jc w:val="right"/>
              <w:rPr>
                <w:sz w:val="24"/>
                <w:szCs w:val="24"/>
              </w:rPr>
            </w:pPr>
            <w:r w:rsidRPr="00A406E2">
              <w:rPr>
                <w:sz w:val="24"/>
                <w:szCs w:val="24"/>
              </w:rPr>
              <w:t>10</w:t>
            </w:r>
          </w:p>
        </w:tc>
        <w:tc>
          <w:tcPr>
            <w:tcW w:w="567" w:type="dxa"/>
          </w:tcPr>
          <w:p w:rsidRPr="00A406E2" w:rsidR="00297A51" w:rsidP="00552EC0" w:rsidRDefault="00297A51" w14:paraId="3709B0CF" w14:textId="77777777">
            <w:pPr>
              <w:jc w:val="right"/>
              <w:rPr>
                <w:sz w:val="24"/>
                <w:szCs w:val="24"/>
              </w:rPr>
            </w:pPr>
            <w:r w:rsidRPr="00A406E2">
              <w:rPr>
                <w:sz w:val="24"/>
                <w:szCs w:val="24"/>
              </w:rPr>
              <w:t xml:space="preserve"> </w:t>
            </w:r>
          </w:p>
        </w:tc>
      </w:tr>
      <w:tr w:rsidRPr="00A406E2" w:rsidR="00297A51" w:rsidTr="00B90BBB" w14:paraId="25ECB68D" w14:textId="77777777">
        <w:tc>
          <w:tcPr>
            <w:tcW w:w="567" w:type="dxa"/>
          </w:tcPr>
          <w:p w:rsidRPr="00A406E2" w:rsidR="00297A51" w:rsidP="00552EC0" w:rsidRDefault="00297A51" w14:paraId="26E64F5F" w14:textId="026617A2">
            <w:pPr>
              <w:rPr>
                <w:sz w:val="24"/>
                <w:szCs w:val="24"/>
              </w:rPr>
            </w:pPr>
            <w:r w:rsidRPr="00A406E2">
              <w:rPr>
                <w:sz w:val="24"/>
                <w:szCs w:val="24"/>
              </w:rPr>
              <w:t>38</w:t>
            </w:r>
          </w:p>
        </w:tc>
        <w:tc>
          <w:tcPr>
            <w:tcW w:w="6521" w:type="dxa"/>
          </w:tcPr>
          <w:p w:rsidRPr="00A406E2" w:rsidR="00297A51" w:rsidP="00552EC0" w:rsidRDefault="00297A51" w14:paraId="3950115C" w14:textId="4FB6D415">
            <w:pPr>
              <w:rPr>
                <w:sz w:val="24"/>
                <w:szCs w:val="24"/>
              </w:rPr>
            </w:pPr>
            <w:r w:rsidRPr="00A406E2">
              <w:rPr>
                <w:sz w:val="24"/>
                <w:szCs w:val="24"/>
              </w:rPr>
              <w:t>Wat is het huidige budget voor de regeling brugfunctionaris?</w:t>
            </w:r>
          </w:p>
          <w:p w:rsidRPr="00A406E2" w:rsidR="00145239" w:rsidP="00552EC0" w:rsidRDefault="00145239" w14:paraId="6C7FC022" w14:textId="19D516AB">
            <w:pPr>
              <w:rPr>
                <w:sz w:val="24"/>
                <w:szCs w:val="24"/>
              </w:rPr>
            </w:pPr>
            <w:r w:rsidRPr="00A406E2">
              <w:rPr>
                <w:sz w:val="24"/>
                <w:szCs w:val="24"/>
              </w:rPr>
              <w:t>Het budget in 2026 is € 41,9 miljoen voor het primair onderwijs en € 11,5 miljoen voor het voortgezet onderwijs.</w:t>
            </w:r>
          </w:p>
        </w:tc>
        <w:tc>
          <w:tcPr>
            <w:tcW w:w="850" w:type="dxa"/>
          </w:tcPr>
          <w:p w:rsidRPr="00A406E2" w:rsidR="00297A51" w:rsidP="00552EC0" w:rsidRDefault="00297A51" w14:paraId="7BFAC345" w14:textId="0C085126">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5E22360F" w14:textId="77777777">
            <w:pPr>
              <w:jc w:val="right"/>
              <w:rPr>
                <w:sz w:val="24"/>
                <w:szCs w:val="24"/>
              </w:rPr>
            </w:pPr>
            <w:r w:rsidRPr="00A406E2">
              <w:rPr>
                <w:sz w:val="24"/>
                <w:szCs w:val="24"/>
              </w:rPr>
              <w:t>10</w:t>
            </w:r>
          </w:p>
        </w:tc>
        <w:tc>
          <w:tcPr>
            <w:tcW w:w="567" w:type="dxa"/>
          </w:tcPr>
          <w:p w:rsidRPr="00A406E2" w:rsidR="00297A51" w:rsidP="00552EC0" w:rsidRDefault="00297A51" w14:paraId="6180D15D" w14:textId="77777777">
            <w:pPr>
              <w:jc w:val="right"/>
              <w:rPr>
                <w:sz w:val="24"/>
                <w:szCs w:val="24"/>
              </w:rPr>
            </w:pPr>
            <w:r w:rsidRPr="00A406E2">
              <w:rPr>
                <w:sz w:val="24"/>
                <w:szCs w:val="24"/>
              </w:rPr>
              <w:t xml:space="preserve"> </w:t>
            </w:r>
          </w:p>
        </w:tc>
      </w:tr>
      <w:tr w:rsidRPr="00A406E2" w:rsidR="00297A51" w:rsidTr="00B90BBB" w14:paraId="1A5E1DCB" w14:textId="77777777">
        <w:tc>
          <w:tcPr>
            <w:tcW w:w="567" w:type="dxa"/>
          </w:tcPr>
          <w:p w:rsidRPr="00A406E2" w:rsidR="00297A51" w:rsidP="00552EC0" w:rsidRDefault="00297A51" w14:paraId="052409EE" w14:textId="60093AB4">
            <w:pPr>
              <w:rPr>
                <w:sz w:val="24"/>
                <w:szCs w:val="24"/>
              </w:rPr>
            </w:pPr>
            <w:r w:rsidRPr="00A406E2">
              <w:rPr>
                <w:sz w:val="24"/>
                <w:szCs w:val="24"/>
              </w:rPr>
              <w:t>39</w:t>
            </w:r>
          </w:p>
        </w:tc>
        <w:tc>
          <w:tcPr>
            <w:tcW w:w="6521" w:type="dxa"/>
          </w:tcPr>
          <w:p w:rsidRPr="00A406E2" w:rsidR="00297A51" w:rsidP="00552EC0" w:rsidRDefault="00297A51" w14:paraId="280EFA18" w14:textId="77777777">
            <w:pPr>
              <w:rPr>
                <w:sz w:val="24"/>
                <w:szCs w:val="24"/>
              </w:rPr>
            </w:pPr>
            <w:r w:rsidRPr="00A406E2">
              <w:rPr>
                <w:sz w:val="24"/>
                <w:szCs w:val="24"/>
              </w:rPr>
              <w:t>Wat is het percentage waarmee de loonbijstelling in 2026 wordt verhoogd?</w:t>
            </w:r>
          </w:p>
          <w:p w:rsidRPr="00A406E2" w:rsidR="003E634A" w:rsidP="00552EC0" w:rsidRDefault="003E634A" w14:paraId="529DA69B" w14:textId="69F294DA">
            <w:pPr>
              <w:rPr>
                <w:sz w:val="24"/>
                <w:szCs w:val="24"/>
              </w:rPr>
            </w:pPr>
            <w:r w:rsidRPr="00A406E2">
              <w:rPr>
                <w:sz w:val="24"/>
                <w:szCs w:val="24"/>
              </w:rPr>
              <w:t xml:space="preserve">De percentages voor de loonbijstelling zijn gebaseerd op de ramingen uit het Centraal Economisch Plan (CEP) van het Centraal Planbureau (CPB). Deze ramingen worden door het ministerie van Financiën </w:t>
            </w:r>
            <w:proofErr w:type="spellStart"/>
            <w:r w:rsidRPr="00A406E2">
              <w:rPr>
                <w:sz w:val="24"/>
                <w:szCs w:val="24"/>
              </w:rPr>
              <w:t>doorvertaald</w:t>
            </w:r>
            <w:proofErr w:type="spellEnd"/>
            <w:r w:rsidRPr="00A406E2">
              <w:rPr>
                <w:sz w:val="24"/>
                <w:szCs w:val="24"/>
              </w:rPr>
              <w:t xml:space="preserve"> en vastgesteld als percentages waarmee de loongevoelige budgetten worden geïndexeerd. Deze percentages worden niet openbaar gemaakt</w:t>
            </w:r>
            <w:r w:rsidRPr="00A406E2" w:rsidR="00924F6F">
              <w:rPr>
                <w:sz w:val="24"/>
                <w:szCs w:val="24"/>
              </w:rPr>
              <w:t xml:space="preserve"> in verband met de verantwoordelijkheidsverdeling tijdens cao-onderhandelingen</w:t>
            </w:r>
            <w:r w:rsidRPr="00A406E2">
              <w:rPr>
                <w:sz w:val="24"/>
                <w:szCs w:val="24"/>
              </w:rPr>
              <w:t xml:space="preserve">. Werkgevers in de kabinetssectoren (o.a. rijksoverheid, politie, rechtspraak etc.) en in het onderwijs worden op korte termijn vertrouwelijk geïnformeerd over de kabinetsbijdrage. OCW verwerkt de kabinetsbijdrage onverkort in de bekostiging van de onderwijsinstellingen.  </w:t>
            </w:r>
          </w:p>
        </w:tc>
        <w:tc>
          <w:tcPr>
            <w:tcW w:w="850" w:type="dxa"/>
          </w:tcPr>
          <w:p w:rsidRPr="00A406E2" w:rsidR="00297A51" w:rsidP="00552EC0" w:rsidRDefault="00297A51" w14:paraId="050D7C87" w14:textId="30B16A7C">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716EEFF3" w14:textId="77777777">
            <w:pPr>
              <w:jc w:val="right"/>
              <w:rPr>
                <w:sz w:val="24"/>
                <w:szCs w:val="24"/>
              </w:rPr>
            </w:pPr>
            <w:r w:rsidRPr="00A406E2">
              <w:rPr>
                <w:sz w:val="24"/>
                <w:szCs w:val="24"/>
              </w:rPr>
              <w:t>11</w:t>
            </w:r>
          </w:p>
        </w:tc>
        <w:tc>
          <w:tcPr>
            <w:tcW w:w="567" w:type="dxa"/>
          </w:tcPr>
          <w:p w:rsidRPr="00A406E2" w:rsidR="00297A51" w:rsidP="00552EC0" w:rsidRDefault="00297A51" w14:paraId="47F84439" w14:textId="77777777">
            <w:pPr>
              <w:jc w:val="right"/>
              <w:rPr>
                <w:sz w:val="24"/>
                <w:szCs w:val="24"/>
              </w:rPr>
            </w:pPr>
            <w:r w:rsidRPr="00A406E2">
              <w:rPr>
                <w:sz w:val="24"/>
                <w:szCs w:val="24"/>
              </w:rPr>
              <w:t xml:space="preserve"> </w:t>
            </w:r>
          </w:p>
        </w:tc>
      </w:tr>
      <w:tr w:rsidRPr="00A406E2" w:rsidR="00297A51" w:rsidTr="00B90BBB" w14:paraId="2B5DB8BB" w14:textId="77777777">
        <w:tc>
          <w:tcPr>
            <w:tcW w:w="567" w:type="dxa"/>
          </w:tcPr>
          <w:p w:rsidRPr="00A406E2" w:rsidR="00297A51" w:rsidP="00552EC0" w:rsidRDefault="00297A51" w14:paraId="27A9BB7B" w14:textId="6223153F">
            <w:pPr>
              <w:rPr>
                <w:sz w:val="24"/>
                <w:szCs w:val="24"/>
              </w:rPr>
            </w:pPr>
            <w:r w:rsidRPr="00A406E2">
              <w:rPr>
                <w:sz w:val="24"/>
                <w:szCs w:val="24"/>
              </w:rPr>
              <w:t>40</w:t>
            </w:r>
          </w:p>
        </w:tc>
        <w:tc>
          <w:tcPr>
            <w:tcW w:w="6521" w:type="dxa"/>
          </w:tcPr>
          <w:p w:rsidRPr="00A406E2" w:rsidR="00297A51" w:rsidP="00552EC0" w:rsidRDefault="00297A51" w14:paraId="7D943D37" w14:textId="77777777">
            <w:pPr>
              <w:rPr>
                <w:sz w:val="24"/>
                <w:szCs w:val="24"/>
              </w:rPr>
            </w:pPr>
            <w:r w:rsidRPr="00A406E2">
              <w:rPr>
                <w:sz w:val="24"/>
                <w:szCs w:val="24"/>
              </w:rPr>
              <w:t xml:space="preserve">Op welke manier gaat de achterstand van de loonontwikkeling in het onderwijs van circa 3,3 procent op de cao-lonen marktsectoren, waarvan sprake is in de antwoorden van het verslag van een schriftelijk overleg over de toezegging gedaan tijdens het </w:t>
            </w:r>
            <w:proofErr w:type="spellStart"/>
            <w:r w:rsidRPr="00A406E2">
              <w:rPr>
                <w:sz w:val="24"/>
                <w:szCs w:val="24"/>
              </w:rPr>
              <w:t>commissiedebat</w:t>
            </w:r>
            <w:proofErr w:type="spellEnd"/>
            <w:r w:rsidRPr="00A406E2">
              <w:rPr>
                <w:sz w:val="24"/>
                <w:szCs w:val="24"/>
              </w:rPr>
              <w:t xml:space="preserve"> sturing in het funderend onderwijs over vertrouwelijke informatiedeling voor de cao-onderhandelingen</w:t>
            </w:r>
            <w:r w:rsidRPr="00A406E2" w:rsidR="003A4106">
              <w:rPr>
                <w:rStyle w:val="Voetnootmarkering"/>
                <w:sz w:val="24"/>
                <w:szCs w:val="24"/>
              </w:rPr>
              <w:footnoteReference w:id="3"/>
            </w:r>
            <w:r w:rsidRPr="00A406E2">
              <w:rPr>
                <w:sz w:val="24"/>
                <w:szCs w:val="24"/>
              </w:rPr>
              <w:t>, goed worden gemaakt?</w:t>
            </w:r>
          </w:p>
          <w:p w:rsidRPr="00A406E2" w:rsidR="003E634A" w:rsidP="00552EC0" w:rsidRDefault="003E634A" w14:paraId="358A2325" w14:textId="46BA4605">
            <w:pPr>
              <w:rPr>
                <w:sz w:val="24"/>
                <w:szCs w:val="24"/>
              </w:rPr>
            </w:pPr>
            <w:r w:rsidRPr="00A406E2">
              <w:rPr>
                <w:sz w:val="24"/>
                <w:szCs w:val="24"/>
              </w:rPr>
              <w:t xml:space="preserve">Onderwijssectoren krijgen via de jaarlijkse kabinetsbijdrage een bijdrage in de stijging van de arbeidskostenontwikkeling. Het referentiemodel vormt hiervoor de basis en is erop gericht dat de loonontwikkeling bij onderwijs- en kabinetssectoren de loonontwikkeling in de marktsector kan volgen. Periodiek wordt onderzocht hoe de beloning in o.a. de onderwijssectoren zich verhoudt tot de beloning voor vergelijkbare functies in andere sectoren. Afwijkingen naar boven en naar beneden middelen op de lange termijn uit, zo blijkt uit de </w:t>
            </w:r>
            <w:hyperlink w:history="1" r:id="rId18">
              <w:r w:rsidRPr="00A406E2">
                <w:rPr>
                  <w:rStyle w:val="Hyperlink"/>
                  <w:sz w:val="24"/>
                  <w:szCs w:val="24"/>
                </w:rPr>
                <w:t>evaluatie van het referentiemodel</w:t>
              </w:r>
            </w:hyperlink>
            <w:r w:rsidRPr="00A406E2" w:rsidR="005D3371">
              <w:rPr>
                <w:sz w:val="24"/>
                <w:szCs w:val="24"/>
              </w:rPr>
              <w:t>.</w:t>
            </w:r>
          </w:p>
        </w:tc>
        <w:tc>
          <w:tcPr>
            <w:tcW w:w="850" w:type="dxa"/>
          </w:tcPr>
          <w:p w:rsidRPr="00A406E2" w:rsidR="00297A51" w:rsidP="00552EC0" w:rsidRDefault="00297A51" w14:paraId="0F730488" w14:textId="6BA74FB4">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4A8190D3" w14:textId="77777777">
            <w:pPr>
              <w:jc w:val="right"/>
              <w:rPr>
                <w:sz w:val="24"/>
                <w:szCs w:val="24"/>
              </w:rPr>
            </w:pPr>
            <w:r w:rsidRPr="00A406E2">
              <w:rPr>
                <w:sz w:val="24"/>
                <w:szCs w:val="24"/>
              </w:rPr>
              <w:t>11</w:t>
            </w:r>
          </w:p>
        </w:tc>
        <w:tc>
          <w:tcPr>
            <w:tcW w:w="567" w:type="dxa"/>
          </w:tcPr>
          <w:p w:rsidRPr="00A406E2" w:rsidR="00297A51" w:rsidP="00552EC0" w:rsidRDefault="00297A51" w14:paraId="679DCA10" w14:textId="77777777">
            <w:pPr>
              <w:jc w:val="right"/>
              <w:rPr>
                <w:sz w:val="24"/>
                <w:szCs w:val="24"/>
              </w:rPr>
            </w:pPr>
            <w:r w:rsidRPr="00A406E2">
              <w:rPr>
                <w:sz w:val="24"/>
                <w:szCs w:val="24"/>
              </w:rPr>
              <w:t xml:space="preserve"> </w:t>
            </w:r>
          </w:p>
        </w:tc>
      </w:tr>
      <w:tr w:rsidRPr="00A406E2" w:rsidR="00297A51" w:rsidTr="00B90BBB" w14:paraId="2009B121" w14:textId="77777777">
        <w:tc>
          <w:tcPr>
            <w:tcW w:w="567" w:type="dxa"/>
          </w:tcPr>
          <w:p w:rsidRPr="00A406E2" w:rsidR="00297A51" w:rsidP="00552EC0" w:rsidRDefault="00297A51" w14:paraId="4584AD82" w14:textId="626F178A">
            <w:pPr>
              <w:rPr>
                <w:sz w:val="24"/>
                <w:szCs w:val="24"/>
              </w:rPr>
            </w:pPr>
            <w:r w:rsidRPr="00A406E2">
              <w:rPr>
                <w:sz w:val="24"/>
                <w:szCs w:val="24"/>
              </w:rPr>
              <w:t>41</w:t>
            </w:r>
          </w:p>
        </w:tc>
        <w:tc>
          <w:tcPr>
            <w:tcW w:w="6521" w:type="dxa"/>
          </w:tcPr>
          <w:p w:rsidRPr="00A406E2" w:rsidR="00297A51" w:rsidP="00552EC0" w:rsidRDefault="00297A51" w14:paraId="0A712397" w14:textId="77777777">
            <w:pPr>
              <w:rPr>
                <w:sz w:val="24"/>
                <w:szCs w:val="24"/>
              </w:rPr>
            </w:pPr>
            <w:r w:rsidRPr="00A406E2">
              <w:rPr>
                <w:sz w:val="24"/>
                <w:szCs w:val="24"/>
              </w:rPr>
              <w:t>Wordt voor het jaar 2026 de incidentele loonontwikkeling (ILO) uitbetaald?</w:t>
            </w:r>
          </w:p>
          <w:p w:rsidRPr="00A406E2" w:rsidR="003E634A" w:rsidP="00552EC0" w:rsidRDefault="00527B74" w14:paraId="0E012A53" w14:textId="57F2C2BA">
            <w:pPr>
              <w:rPr>
                <w:sz w:val="24"/>
                <w:szCs w:val="24"/>
              </w:rPr>
            </w:pPr>
            <w:r w:rsidRPr="00A406E2">
              <w:rPr>
                <w:sz w:val="24"/>
                <w:szCs w:val="24"/>
              </w:rPr>
              <w:t>Als onderdeel van de kabinetsbijdrage in de arbeidskostenontwikkeling wordt de ILO bij Voorjaarsnota definitief vastgesteld. De onderwijswerkgevers worden op korte termijn vertrouwelijk geïnformeerd over de kabinetsbijdrage 2026.</w:t>
            </w:r>
          </w:p>
        </w:tc>
        <w:tc>
          <w:tcPr>
            <w:tcW w:w="850" w:type="dxa"/>
          </w:tcPr>
          <w:p w:rsidRPr="00A406E2" w:rsidR="00297A51" w:rsidP="00552EC0" w:rsidRDefault="00297A51" w14:paraId="5DC15A50" w14:textId="63F3191A">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5DB296B0" w14:textId="77777777">
            <w:pPr>
              <w:jc w:val="right"/>
              <w:rPr>
                <w:sz w:val="24"/>
                <w:szCs w:val="24"/>
              </w:rPr>
            </w:pPr>
            <w:r w:rsidRPr="00A406E2">
              <w:rPr>
                <w:sz w:val="24"/>
                <w:szCs w:val="24"/>
              </w:rPr>
              <w:t>11</w:t>
            </w:r>
          </w:p>
        </w:tc>
        <w:tc>
          <w:tcPr>
            <w:tcW w:w="567" w:type="dxa"/>
          </w:tcPr>
          <w:p w:rsidRPr="00A406E2" w:rsidR="00297A51" w:rsidP="00552EC0" w:rsidRDefault="00297A51" w14:paraId="274BBFCC" w14:textId="77777777">
            <w:pPr>
              <w:jc w:val="right"/>
              <w:rPr>
                <w:sz w:val="24"/>
                <w:szCs w:val="24"/>
              </w:rPr>
            </w:pPr>
            <w:r w:rsidRPr="00A406E2">
              <w:rPr>
                <w:sz w:val="24"/>
                <w:szCs w:val="24"/>
              </w:rPr>
              <w:t xml:space="preserve"> </w:t>
            </w:r>
          </w:p>
        </w:tc>
      </w:tr>
      <w:tr w:rsidRPr="00A406E2" w:rsidR="00297A51" w:rsidTr="00B90BBB" w14:paraId="6F79A427" w14:textId="77777777">
        <w:tc>
          <w:tcPr>
            <w:tcW w:w="567" w:type="dxa"/>
          </w:tcPr>
          <w:p w:rsidRPr="00A406E2" w:rsidR="00297A51" w:rsidP="00552EC0" w:rsidRDefault="00297A51" w14:paraId="2EDD056C" w14:textId="6955DCD4">
            <w:pPr>
              <w:rPr>
                <w:sz w:val="24"/>
                <w:szCs w:val="24"/>
              </w:rPr>
            </w:pPr>
            <w:r w:rsidRPr="00A406E2">
              <w:rPr>
                <w:sz w:val="24"/>
                <w:szCs w:val="24"/>
              </w:rPr>
              <w:lastRenderedPageBreak/>
              <w:t>42</w:t>
            </w:r>
          </w:p>
        </w:tc>
        <w:tc>
          <w:tcPr>
            <w:tcW w:w="6521" w:type="dxa"/>
          </w:tcPr>
          <w:p w:rsidRPr="00A406E2" w:rsidR="00297A51" w:rsidP="00552EC0" w:rsidRDefault="00297A51" w14:paraId="005F8137" w14:textId="77777777">
            <w:pPr>
              <w:rPr>
                <w:sz w:val="24"/>
                <w:szCs w:val="24"/>
              </w:rPr>
            </w:pPr>
            <w:r w:rsidRPr="00A406E2">
              <w:rPr>
                <w:sz w:val="24"/>
                <w:szCs w:val="24"/>
              </w:rPr>
              <w:t>Is de eerdere bezuiniging op de IL</w:t>
            </w:r>
            <w:r w:rsidRPr="00A406E2" w:rsidR="00A4029D">
              <w:rPr>
                <w:sz w:val="24"/>
                <w:szCs w:val="24"/>
              </w:rPr>
              <w:t xml:space="preserve">O </w:t>
            </w:r>
            <w:r w:rsidRPr="00A406E2">
              <w:rPr>
                <w:sz w:val="24"/>
                <w:szCs w:val="24"/>
              </w:rPr>
              <w:t>in 2029 uit de Voorjaarsnota 2025 en begroting 2026 geschrapt? Zo nee, wat is het bedrag dat deze bezuiniging behelst (in euro’s en in percentage)?</w:t>
            </w:r>
          </w:p>
          <w:p w:rsidRPr="00A406E2" w:rsidR="003E634A" w:rsidP="00552EC0" w:rsidRDefault="003E634A" w14:paraId="7025D02E" w14:textId="51B508D3">
            <w:pPr>
              <w:rPr>
                <w:sz w:val="24"/>
                <w:szCs w:val="24"/>
              </w:rPr>
            </w:pPr>
            <w:r w:rsidRPr="00A406E2">
              <w:rPr>
                <w:sz w:val="24"/>
                <w:szCs w:val="24"/>
              </w:rPr>
              <w:t xml:space="preserve">De vergoeding voor de incidentele loonontwikkeling (ILO) wordt in 2029 niet uitgekeerd aan de onderwijssectoren en de kabinetssectoren Rijk, Politie en Rechterlijke Macht (Defensie </w:t>
            </w:r>
            <w:r w:rsidRPr="00A406E2" w:rsidR="00A7030A">
              <w:rPr>
                <w:sz w:val="24"/>
                <w:szCs w:val="24"/>
              </w:rPr>
              <w:t>kent een andere indexatie</w:t>
            </w:r>
            <w:r w:rsidRPr="00A406E2">
              <w:rPr>
                <w:sz w:val="24"/>
                <w:szCs w:val="24"/>
              </w:rPr>
              <w:t>). Dit is besloten bij Voorjaarsnota 2025</w:t>
            </w:r>
            <w:r w:rsidRPr="00A406E2" w:rsidR="00D53410">
              <w:rPr>
                <w:sz w:val="24"/>
                <w:szCs w:val="24"/>
              </w:rPr>
              <w:t xml:space="preserve"> en Miljoenennota 2026</w:t>
            </w:r>
            <w:r w:rsidRPr="00A406E2">
              <w:rPr>
                <w:sz w:val="24"/>
                <w:szCs w:val="24"/>
              </w:rPr>
              <w:t xml:space="preserve"> en dit besluit is door dit kabinet niet gewijzigd. Het percentage van de ILO betreft 0,3%. </w:t>
            </w:r>
            <w:r w:rsidRPr="00A406E2" w:rsidR="00A7030A">
              <w:rPr>
                <w:sz w:val="24"/>
                <w:szCs w:val="24"/>
              </w:rPr>
              <w:t xml:space="preserve">Het precieze bedrag in euro’s is afhankelijk van de grondslag op het moment van uitkeren. </w:t>
            </w:r>
          </w:p>
        </w:tc>
        <w:tc>
          <w:tcPr>
            <w:tcW w:w="850" w:type="dxa"/>
          </w:tcPr>
          <w:p w:rsidRPr="00A406E2" w:rsidR="00297A51" w:rsidP="00552EC0" w:rsidRDefault="00297A51" w14:paraId="75B06DA4" w14:textId="0A58BDFA">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0C6B3361" w14:textId="77777777">
            <w:pPr>
              <w:jc w:val="right"/>
              <w:rPr>
                <w:sz w:val="24"/>
                <w:szCs w:val="24"/>
              </w:rPr>
            </w:pPr>
            <w:r w:rsidRPr="00A406E2">
              <w:rPr>
                <w:sz w:val="24"/>
                <w:szCs w:val="24"/>
              </w:rPr>
              <w:t>11</w:t>
            </w:r>
          </w:p>
        </w:tc>
        <w:tc>
          <w:tcPr>
            <w:tcW w:w="567" w:type="dxa"/>
          </w:tcPr>
          <w:p w:rsidRPr="00A406E2" w:rsidR="00297A51" w:rsidP="00552EC0" w:rsidRDefault="00297A51" w14:paraId="079EBB07" w14:textId="77777777">
            <w:pPr>
              <w:jc w:val="right"/>
              <w:rPr>
                <w:sz w:val="24"/>
                <w:szCs w:val="24"/>
              </w:rPr>
            </w:pPr>
            <w:r w:rsidRPr="00A406E2">
              <w:rPr>
                <w:sz w:val="24"/>
                <w:szCs w:val="24"/>
              </w:rPr>
              <w:t xml:space="preserve"> </w:t>
            </w:r>
          </w:p>
        </w:tc>
      </w:tr>
      <w:tr w:rsidRPr="00A406E2" w:rsidR="00297A51" w:rsidTr="00B90BBB" w14:paraId="266230B5" w14:textId="77777777">
        <w:tc>
          <w:tcPr>
            <w:tcW w:w="567" w:type="dxa"/>
          </w:tcPr>
          <w:p w:rsidRPr="00A406E2" w:rsidR="00297A51" w:rsidP="00552EC0" w:rsidRDefault="00297A51" w14:paraId="289B573E" w14:textId="5B610388">
            <w:pPr>
              <w:rPr>
                <w:sz w:val="24"/>
                <w:szCs w:val="24"/>
              </w:rPr>
            </w:pPr>
            <w:r w:rsidRPr="00A406E2">
              <w:rPr>
                <w:sz w:val="24"/>
                <w:szCs w:val="24"/>
              </w:rPr>
              <w:t>43</w:t>
            </w:r>
          </w:p>
        </w:tc>
        <w:tc>
          <w:tcPr>
            <w:tcW w:w="6521" w:type="dxa"/>
          </w:tcPr>
          <w:p w:rsidRPr="00A406E2" w:rsidR="00297A51" w:rsidP="00552EC0" w:rsidRDefault="00297A51" w14:paraId="71A5C622" w14:textId="77777777">
            <w:pPr>
              <w:rPr>
                <w:sz w:val="24"/>
                <w:szCs w:val="24"/>
              </w:rPr>
            </w:pPr>
            <w:r w:rsidRPr="00A406E2">
              <w:rPr>
                <w:sz w:val="24"/>
                <w:szCs w:val="24"/>
              </w:rPr>
              <w:t>Wat is het percentage waarmee de prijsbijstelling in 2026 wordt verhoogd?</w:t>
            </w:r>
          </w:p>
          <w:p w:rsidRPr="00A406E2" w:rsidR="003E634A" w:rsidP="00552EC0" w:rsidRDefault="003E634A" w14:paraId="6A6EAEBA" w14:textId="7B0EDE8C">
            <w:pPr>
              <w:rPr>
                <w:sz w:val="24"/>
                <w:szCs w:val="24"/>
              </w:rPr>
            </w:pPr>
            <w:r w:rsidRPr="00A406E2">
              <w:rPr>
                <w:sz w:val="24"/>
                <w:szCs w:val="24"/>
              </w:rPr>
              <w:t xml:space="preserve">De percentages voor de prijsbijstelling zijn gebaseerd op de ramingen uit het Centraal Economisch Plan (CEP) van het Centraal Planbureau (CPB). Deze ramingen worden door het ministerie van Financiën </w:t>
            </w:r>
            <w:proofErr w:type="spellStart"/>
            <w:r w:rsidRPr="00A406E2">
              <w:rPr>
                <w:sz w:val="24"/>
                <w:szCs w:val="24"/>
              </w:rPr>
              <w:t>doorvertaald</w:t>
            </w:r>
            <w:proofErr w:type="spellEnd"/>
            <w:r w:rsidRPr="00A406E2">
              <w:rPr>
                <w:sz w:val="24"/>
                <w:szCs w:val="24"/>
              </w:rPr>
              <w:t xml:space="preserve"> en vastgesteld als percentages waarmee de prijsgevoelige budgetten worden geïndexeerd. Voor deze budgetten op de OCW-begroting gelden verschillende prijscodes met bijbehorende percentages. </w:t>
            </w:r>
            <w:r w:rsidRPr="00A406E2" w:rsidR="004C475D">
              <w:rPr>
                <w:sz w:val="24"/>
                <w:szCs w:val="24"/>
              </w:rPr>
              <w:t xml:space="preserve"> Deze Voorjaarsnota was sprake van een </w:t>
            </w:r>
            <w:proofErr w:type="spellStart"/>
            <w:r w:rsidRPr="00A406E2" w:rsidR="004C475D">
              <w:rPr>
                <w:sz w:val="24"/>
                <w:szCs w:val="24"/>
              </w:rPr>
              <w:t>rijksbrede</w:t>
            </w:r>
            <w:proofErr w:type="spellEnd"/>
            <w:r w:rsidRPr="00A406E2" w:rsidR="004C475D">
              <w:rPr>
                <w:sz w:val="24"/>
                <w:szCs w:val="24"/>
              </w:rPr>
              <w:t xml:space="preserve"> korting op de prijsbijstelling vanaf 2028 op de tranche 2026, waartoe is besloten door het kabinet Schoof in de Miljoenennota 2026. Door de korting kan de prijsbijstelling niet op alle budgetten volledig uitgekeerd worden.</w:t>
            </w:r>
          </w:p>
        </w:tc>
        <w:tc>
          <w:tcPr>
            <w:tcW w:w="850" w:type="dxa"/>
          </w:tcPr>
          <w:p w:rsidRPr="00A406E2" w:rsidR="00297A51" w:rsidP="00552EC0" w:rsidRDefault="00297A51" w14:paraId="3332012B" w14:textId="1258E5BF">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2063A22B" w14:textId="77777777">
            <w:pPr>
              <w:jc w:val="right"/>
              <w:rPr>
                <w:sz w:val="24"/>
                <w:szCs w:val="24"/>
              </w:rPr>
            </w:pPr>
            <w:r w:rsidRPr="00A406E2">
              <w:rPr>
                <w:sz w:val="24"/>
                <w:szCs w:val="24"/>
              </w:rPr>
              <w:t>11</w:t>
            </w:r>
          </w:p>
        </w:tc>
        <w:tc>
          <w:tcPr>
            <w:tcW w:w="567" w:type="dxa"/>
          </w:tcPr>
          <w:p w:rsidRPr="00A406E2" w:rsidR="00297A51" w:rsidP="00552EC0" w:rsidRDefault="00297A51" w14:paraId="29511367" w14:textId="77777777">
            <w:pPr>
              <w:jc w:val="right"/>
              <w:rPr>
                <w:sz w:val="24"/>
                <w:szCs w:val="24"/>
              </w:rPr>
            </w:pPr>
            <w:r w:rsidRPr="00A406E2">
              <w:rPr>
                <w:sz w:val="24"/>
                <w:szCs w:val="24"/>
              </w:rPr>
              <w:t xml:space="preserve"> </w:t>
            </w:r>
          </w:p>
        </w:tc>
      </w:tr>
      <w:tr w:rsidRPr="00A406E2" w:rsidR="00297A51" w:rsidTr="00B90BBB" w14:paraId="3F65DF9E" w14:textId="77777777">
        <w:tc>
          <w:tcPr>
            <w:tcW w:w="567" w:type="dxa"/>
          </w:tcPr>
          <w:p w:rsidRPr="00A406E2" w:rsidR="00297A51" w:rsidP="00552EC0" w:rsidRDefault="00297A51" w14:paraId="1FF364E0" w14:textId="02B430E3">
            <w:pPr>
              <w:rPr>
                <w:sz w:val="24"/>
                <w:szCs w:val="24"/>
              </w:rPr>
            </w:pPr>
            <w:r w:rsidRPr="00A406E2">
              <w:rPr>
                <w:sz w:val="24"/>
                <w:szCs w:val="24"/>
              </w:rPr>
              <w:t>44</w:t>
            </w:r>
          </w:p>
        </w:tc>
        <w:tc>
          <w:tcPr>
            <w:tcW w:w="6521" w:type="dxa"/>
          </w:tcPr>
          <w:p w:rsidRPr="00A406E2" w:rsidR="00297A51" w:rsidP="00552EC0" w:rsidRDefault="00297A51" w14:paraId="02B95531" w14:textId="77777777">
            <w:pPr>
              <w:rPr>
                <w:sz w:val="24"/>
                <w:szCs w:val="24"/>
              </w:rPr>
            </w:pPr>
            <w:r w:rsidRPr="00A406E2">
              <w:rPr>
                <w:sz w:val="24"/>
                <w:szCs w:val="24"/>
              </w:rPr>
              <w:t xml:space="preserve">Kunt u een overzicht geven van de hoeveelheid </w:t>
            </w:r>
            <w:proofErr w:type="spellStart"/>
            <w:r w:rsidRPr="00A406E2">
              <w:rPr>
                <w:sz w:val="24"/>
                <w:szCs w:val="24"/>
              </w:rPr>
              <w:t>bbl</w:t>
            </w:r>
            <w:proofErr w:type="spellEnd"/>
            <w:r w:rsidRPr="00A406E2">
              <w:rPr>
                <w:sz w:val="24"/>
                <w:szCs w:val="24"/>
              </w:rPr>
              <w:t>-studenten van de afgelopen vijf jaar?</w:t>
            </w:r>
          </w:p>
          <w:p w:rsidRPr="00A406E2" w:rsidR="00AC3D3F" w:rsidP="00552EC0" w:rsidRDefault="00AC3D3F" w14:paraId="673191C1" w14:textId="77777777">
            <w:pPr>
              <w:rPr>
                <w:sz w:val="24"/>
                <w:szCs w:val="24"/>
              </w:rPr>
            </w:pPr>
            <w:r w:rsidRPr="00A406E2">
              <w:rPr>
                <w:sz w:val="24"/>
                <w:szCs w:val="24"/>
              </w:rPr>
              <w:t xml:space="preserve">Hieronder is een overzicht opgenomen van het aantal </w:t>
            </w:r>
            <w:proofErr w:type="spellStart"/>
            <w:r w:rsidRPr="00A406E2">
              <w:rPr>
                <w:sz w:val="24"/>
                <w:szCs w:val="24"/>
              </w:rPr>
              <w:t>bbl</w:t>
            </w:r>
            <w:proofErr w:type="spellEnd"/>
            <w:r w:rsidRPr="00A406E2">
              <w:rPr>
                <w:sz w:val="24"/>
                <w:szCs w:val="24"/>
              </w:rPr>
              <w:t xml:space="preserve">-studenten in de afgelopen vijf jaar en het relatieve aandeel </w:t>
            </w:r>
            <w:proofErr w:type="spellStart"/>
            <w:r w:rsidRPr="00A406E2">
              <w:rPr>
                <w:sz w:val="24"/>
                <w:szCs w:val="24"/>
              </w:rPr>
              <w:t>bbl</w:t>
            </w:r>
            <w:proofErr w:type="spellEnd"/>
            <w:r w:rsidRPr="00A406E2">
              <w:rPr>
                <w:sz w:val="24"/>
                <w:szCs w:val="24"/>
              </w:rPr>
              <w:t xml:space="preserve"> (aantal </w:t>
            </w:r>
            <w:proofErr w:type="spellStart"/>
            <w:r w:rsidRPr="00A406E2">
              <w:rPr>
                <w:sz w:val="24"/>
                <w:szCs w:val="24"/>
              </w:rPr>
              <w:t>bbl</w:t>
            </w:r>
            <w:proofErr w:type="spellEnd"/>
            <w:r w:rsidRPr="00A406E2">
              <w:rPr>
                <w:sz w:val="24"/>
                <w:szCs w:val="24"/>
              </w:rPr>
              <w:t xml:space="preserve">-studenten ten opzichte van het totale aantal mbo studenten). De geraamde aantallen voor 2026 zijn opgenomen in de </w:t>
            </w:r>
            <w:hyperlink w:history="1" r:id="rId19">
              <w:r w:rsidRPr="00A406E2">
                <w:rPr>
                  <w:rStyle w:val="Hyperlink"/>
                  <w:sz w:val="24"/>
                  <w:szCs w:val="24"/>
                </w:rPr>
                <w:t>Referentieraming OCW 2026</w:t>
              </w:r>
            </w:hyperlink>
            <w:r w:rsidRPr="00A406E2">
              <w:rPr>
                <w:sz w:val="24"/>
                <w:szCs w:val="24"/>
              </w:rPr>
              <w:t xml:space="preserve">. </w:t>
            </w:r>
          </w:p>
          <w:p w:rsidRPr="00A406E2" w:rsidR="007B2DBF" w:rsidP="00552EC0" w:rsidRDefault="007B2DBF" w14:paraId="5771A609" w14:textId="73B199EA">
            <w:pPr>
              <w:rPr>
                <w:sz w:val="24"/>
                <w:szCs w:val="24"/>
              </w:rPr>
            </w:pPr>
            <w:r w:rsidRPr="00A406E2">
              <w:rPr>
                <w:noProof/>
                <w:sz w:val="24"/>
                <w:szCs w:val="24"/>
              </w:rPr>
              <w:drawing>
                <wp:inline distT="0" distB="0" distL="0" distR="0" wp14:anchorId="7F6A890F" wp14:editId="0FE5CB6D">
                  <wp:extent cx="4037162" cy="372923"/>
                  <wp:effectExtent l="0" t="0" r="1905" b="8255"/>
                  <wp:docPr id="161431699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43480" cy="391981"/>
                          </a:xfrm>
                          <a:prstGeom prst="rect">
                            <a:avLst/>
                          </a:prstGeom>
                          <a:noFill/>
                          <a:ln>
                            <a:noFill/>
                          </a:ln>
                        </pic:spPr>
                      </pic:pic>
                    </a:graphicData>
                  </a:graphic>
                </wp:inline>
              </w:drawing>
            </w:r>
          </w:p>
        </w:tc>
        <w:tc>
          <w:tcPr>
            <w:tcW w:w="850" w:type="dxa"/>
          </w:tcPr>
          <w:p w:rsidRPr="00A406E2" w:rsidR="00297A51" w:rsidP="00552EC0" w:rsidRDefault="00297A51" w14:paraId="3DFB9E1B" w14:textId="7EDE430F">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78ED4ECB" w14:textId="77777777">
            <w:pPr>
              <w:jc w:val="right"/>
              <w:rPr>
                <w:sz w:val="24"/>
                <w:szCs w:val="24"/>
              </w:rPr>
            </w:pPr>
            <w:r w:rsidRPr="00A406E2">
              <w:rPr>
                <w:sz w:val="24"/>
                <w:szCs w:val="24"/>
              </w:rPr>
              <w:t>11</w:t>
            </w:r>
          </w:p>
        </w:tc>
        <w:tc>
          <w:tcPr>
            <w:tcW w:w="567" w:type="dxa"/>
          </w:tcPr>
          <w:p w:rsidRPr="00A406E2" w:rsidR="00297A51" w:rsidP="00552EC0" w:rsidRDefault="00297A51" w14:paraId="42F4AB8C" w14:textId="77777777">
            <w:pPr>
              <w:jc w:val="right"/>
              <w:rPr>
                <w:sz w:val="24"/>
                <w:szCs w:val="24"/>
              </w:rPr>
            </w:pPr>
            <w:r w:rsidRPr="00A406E2">
              <w:rPr>
                <w:sz w:val="24"/>
                <w:szCs w:val="24"/>
              </w:rPr>
              <w:t xml:space="preserve"> </w:t>
            </w:r>
          </w:p>
        </w:tc>
      </w:tr>
      <w:tr w:rsidRPr="00A406E2" w:rsidR="00297A51" w:rsidTr="00B90BBB" w14:paraId="190F1B56" w14:textId="77777777">
        <w:tc>
          <w:tcPr>
            <w:tcW w:w="567" w:type="dxa"/>
          </w:tcPr>
          <w:p w:rsidRPr="00A406E2" w:rsidR="00297A51" w:rsidP="00552EC0" w:rsidRDefault="00297A51" w14:paraId="42408E5C" w14:textId="613D1A39">
            <w:pPr>
              <w:rPr>
                <w:sz w:val="24"/>
                <w:szCs w:val="24"/>
              </w:rPr>
            </w:pPr>
            <w:r w:rsidRPr="00A406E2">
              <w:rPr>
                <w:sz w:val="24"/>
                <w:szCs w:val="24"/>
              </w:rPr>
              <w:t>45</w:t>
            </w:r>
          </w:p>
        </w:tc>
        <w:tc>
          <w:tcPr>
            <w:tcW w:w="6521" w:type="dxa"/>
          </w:tcPr>
          <w:p w:rsidRPr="00A406E2" w:rsidR="00297A51" w:rsidP="00552EC0" w:rsidRDefault="00A4029D" w14:paraId="4A6D503B" w14:textId="77777777">
            <w:pPr>
              <w:rPr>
                <w:sz w:val="24"/>
                <w:szCs w:val="24"/>
              </w:rPr>
            </w:pPr>
            <w:r w:rsidRPr="00A406E2">
              <w:rPr>
                <w:sz w:val="24"/>
                <w:szCs w:val="24"/>
              </w:rPr>
              <w:t>Kunt u</w:t>
            </w:r>
            <w:r w:rsidRPr="00A406E2" w:rsidR="00297A51">
              <w:rPr>
                <w:sz w:val="24"/>
                <w:szCs w:val="24"/>
              </w:rPr>
              <w:t xml:space="preserve"> toelichten welke keuzes ten grondslag liggen aan de verschillende toedeling van de prijsbijstelling over de sectoren? Waarom krijgen het voortgezet onderwijs en onderzoeksinstellingen er geld bij en worden andere gekort?</w:t>
            </w:r>
          </w:p>
          <w:p w:rsidRPr="00A406E2" w:rsidR="003E634A" w:rsidP="003E634A" w:rsidRDefault="003E634A" w14:paraId="5EABCF22" w14:textId="1725428C">
            <w:pPr>
              <w:rPr>
                <w:sz w:val="24"/>
                <w:szCs w:val="24"/>
              </w:rPr>
            </w:pPr>
            <w:r w:rsidRPr="00A406E2">
              <w:rPr>
                <w:sz w:val="24"/>
                <w:szCs w:val="24"/>
              </w:rPr>
              <w:t>De toedeling van de loon- en prijsbijstelling over sectoren wordt als eerste gebaseerd op de mate van loon- of prijsgevoeligheid van budgetten op de OCW-begroting. Daarnaast geldt er voor de bekostiging van het primair onderwijs, de studiefinanciering en de rijksbijdrage media een wettelijke verplichting om de prijsbijstelling volledig uit te keren. Vervolgens hangt de toedeling voora</w:t>
            </w:r>
            <w:r w:rsidRPr="00A406E2" w:rsidR="00EC7EE1">
              <w:rPr>
                <w:sz w:val="24"/>
                <w:szCs w:val="24"/>
              </w:rPr>
              <w:t>l</w:t>
            </w:r>
            <w:r w:rsidRPr="00A406E2">
              <w:rPr>
                <w:sz w:val="24"/>
                <w:szCs w:val="24"/>
              </w:rPr>
              <w:t xml:space="preserve"> af van of en hoeveel prijsbijstelling bij Voorjaarsnota door het kabinet wordt uitgekeerd. Indien het kabinet bij Voorjaarsnota besluit de prijsbijstelling volledig uit te keren aan de departementen, dan keert OCW altijd de volledige prijsbijstelling</w:t>
            </w:r>
            <w:r w:rsidRPr="00A406E2">
              <w:t xml:space="preserve"> </w:t>
            </w:r>
            <w:r w:rsidRPr="00A406E2">
              <w:rPr>
                <w:sz w:val="24"/>
                <w:szCs w:val="24"/>
              </w:rPr>
              <w:lastRenderedPageBreak/>
              <w:t xml:space="preserve">uit aan de bekostiging van onderwijsinstellingen (po, vo, mbo, hbo, wo), onderzoek, culturele instellingen en musea, de rijksbijdrage media en de studiefinanciering. </w:t>
            </w:r>
          </w:p>
          <w:p w:rsidRPr="00A406E2" w:rsidR="003E634A" w:rsidP="003E634A" w:rsidRDefault="003E634A" w14:paraId="0036342E" w14:textId="693805FE">
            <w:pPr>
              <w:rPr>
                <w:sz w:val="24"/>
                <w:szCs w:val="24"/>
              </w:rPr>
            </w:pPr>
            <w:r w:rsidRPr="00A406E2">
              <w:rPr>
                <w:sz w:val="24"/>
                <w:szCs w:val="24"/>
              </w:rPr>
              <w:t xml:space="preserve">Deze Voorjaarsnota was sprake van een </w:t>
            </w:r>
            <w:proofErr w:type="spellStart"/>
            <w:r w:rsidRPr="00A406E2">
              <w:rPr>
                <w:sz w:val="24"/>
                <w:szCs w:val="24"/>
              </w:rPr>
              <w:t>rijksbrede</w:t>
            </w:r>
            <w:proofErr w:type="spellEnd"/>
            <w:r w:rsidRPr="00A406E2">
              <w:rPr>
                <w:sz w:val="24"/>
                <w:szCs w:val="24"/>
              </w:rPr>
              <w:t xml:space="preserve"> korting op de prijsbijstelling vanaf 2028 op de tranche 2026, waartoe is besloten door het kabinet Schoof in de Miljoenennota 2026. De korting bedr</w:t>
            </w:r>
            <w:r w:rsidRPr="00A406E2" w:rsidR="006B02AB">
              <w:rPr>
                <w:sz w:val="24"/>
                <w:szCs w:val="24"/>
              </w:rPr>
              <w:t>aa</w:t>
            </w:r>
            <w:r w:rsidRPr="00A406E2">
              <w:rPr>
                <w:sz w:val="24"/>
                <w:szCs w:val="24"/>
              </w:rPr>
              <w:t>g</w:t>
            </w:r>
            <w:r w:rsidRPr="00A406E2" w:rsidR="006B02AB">
              <w:rPr>
                <w:sz w:val="24"/>
                <w:szCs w:val="24"/>
              </w:rPr>
              <w:t>t</w:t>
            </w:r>
            <w:r w:rsidRPr="00A406E2">
              <w:rPr>
                <w:sz w:val="24"/>
                <w:szCs w:val="24"/>
              </w:rPr>
              <w:t xml:space="preserve"> voor OCW structureel € 109 miljoen. Door de korting k</w:t>
            </w:r>
            <w:r w:rsidRPr="00A406E2" w:rsidR="006B02AB">
              <w:rPr>
                <w:sz w:val="24"/>
                <w:szCs w:val="24"/>
              </w:rPr>
              <w:t>a</w:t>
            </w:r>
            <w:r w:rsidRPr="00A406E2">
              <w:rPr>
                <w:sz w:val="24"/>
                <w:szCs w:val="24"/>
              </w:rPr>
              <w:t>n de prijsbijstelling niet op alle budgetten volledig uitgekeerd worden, omdat eerst voldaan moet worden aan de wettelijke verplichtingen in het primair onderwijs, de studiefinanciering en op de rijksbijdrage media. Op die budgetten is de prijsbijstelling volledig uitgekeerd. Vervolgens resteer</w:t>
            </w:r>
            <w:r w:rsidRPr="00A406E2" w:rsidR="006B02AB">
              <w:rPr>
                <w:sz w:val="24"/>
                <w:szCs w:val="24"/>
              </w:rPr>
              <w:t>t</w:t>
            </w:r>
            <w:r w:rsidRPr="00A406E2">
              <w:rPr>
                <w:sz w:val="24"/>
                <w:szCs w:val="24"/>
              </w:rPr>
              <w:t xml:space="preserve"> er minder prijsbijstelling voor de overige sectoren. De prijsbijstelling per begrotingsartikel staat toegelicht in de tabellen 8, 9 en 10 van de Eerste suppletoire begroting. Daaruit blijkt dat alle begrotingsartikelen prijsbijstelling krijgen, zij het minder dan wanneer er geen </w:t>
            </w:r>
            <w:proofErr w:type="spellStart"/>
            <w:r w:rsidRPr="00A406E2">
              <w:rPr>
                <w:sz w:val="24"/>
                <w:szCs w:val="24"/>
              </w:rPr>
              <w:t>rijksbrede</w:t>
            </w:r>
            <w:proofErr w:type="spellEnd"/>
            <w:r w:rsidRPr="00A406E2">
              <w:rPr>
                <w:sz w:val="24"/>
                <w:szCs w:val="24"/>
              </w:rPr>
              <w:t xml:space="preserve"> korting was geweest. </w:t>
            </w:r>
          </w:p>
          <w:p w:rsidRPr="00A406E2" w:rsidR="003E634A" w:rsidP="00552EC0" w:rsidRDefault="003E634A" w14:paraId="41A230B8" w14:textId="2BDDE5BF">
            <w:pPr>
              <w:rPr>
                <w:sz w:val="24"/>
                <w:szCs w:val="24"/>
              </w:rPr>
            </w:pPr>
            <w:r w:rsidRPr="00A406E2">
              <w:rPr>
                <w:sz w:val="24"/>
                <w:szCs w:val="24"/>
              </w:rPr>
              <w:t xml:space="preserve">Het positieve bedrag in tabel 10 voor begrotingsartikelen 1 (Voortgezet onderwijs) en 16 (Onderzoeks- en wetenschapsbeleid) in de jaren 2026 en 2027 wordt verklaard doordat er in die jaren nog geen kabinetskorting </w:t>
            </w:r>
            <w:r w:rsidRPr="00A406E2" w:rsidR="006B02AB">
              <w:rPr>
                <w:sz w:val="24"/>
                <w:szCs w:val="24"/>
              </w:rPr>
              <w:t>i</w:t>
            </w:r>
            <w:r w:rsidRPr="00A406E2">
              <w:rPr>
                <w:sz w:val="24"/>
                <w:szCs w:val="24"/>
              </w:rPr>
              <w:t>s</w:t>
            </w:r>
            <w:r w:rsidRPr="00A406E2" w:rsidR="009E7A68">
              <w:rPr>
                <w:sz w:val="24"/>
                <w:szCs w:val="24"/>
              </w:rPr>
              <w:t xml:space="preserve"> en omdat er</w:t>
            </w:r>
            <w:r w:rsidRPr="00A406E2">
              <w:rPr>
                <w:sz w:val="24"/>
                <w:szCs w:val="24"/>
              </w:rPr>
              <w:t xml:space="preserve"> eenmalig meer prijsbijstelling op deze artikelen </w:t>
            </w:r>
            <w:r w:rsidRPr="00A406E2" w:rsidR="009E7A68">
              <w:rPr>
                <w:sz w:val="24"/>
                <w:szCs w:val="24"/>
              </w:rPr>
              <w:t xml:space="preserve">is </w:t>
            </w:r>
            <w:r w:rsidRPr="00A406E2">
              <w:rPr>
                <w:sz w:val="24"/>
                <w:szCs w:val="24"/>
              </w:rPr>
              <w:t>uitgekeerd.</w:t>
            </w:r>
            <w:r w:rsidRPr="00A406E2" w:rsidR="009E7A68">
              <w:rPr>
                <w:sz w:val="24"/>
                <w:szCs w:val="24"/>
              </w:rPr>
              <w:t xml:space="preserve"> Op begrotingsartikel 16 was dit per abuis en wordt dit op een later moment op de juiste begrotingsartikelen gezet. Op begrotingsartikel 3 wordt het op een later moment herverdeeld binnen de </w:t>
            </w:r>
            <w:proofErr w:type="spellStart"/>
            <w:r w:rsidRPr="00A406E2" w:rsidR="009E7A68">
              <w:rPr>
                <w:sz w:val="24"/>
                <w:szCs w:val="24"/>
              </w:rPr>
              <w:t>meerjarenperiode</w:t>
            </w:r>
            <w:proofErr w:type="spellEnd"/>
            <w:r w:rsidRPr="00A406E2" w:rsidR="009E7A68">
              <w:rPr>
                <w:sz w:val="24"/>
                <w:szCs w:val="24"/>
              </w:rPr>
              <w:t>.</w:t>
            </w:r>
            <w:r w:rsidRPr="00A406E2">
              <w:rPr>
                <w:sz w:val="24"/>
                <w:szCs w:val="24"/>
              </w:rPr>
              <w:t xml:space="preserve"> </w:t>
            </w:r>
          </w:p>
        </w:tc>
        <w:tc>
          <w:tcPr>
            <w:tcW w:w="850" w:type="dxa"/>
          </w:tcPr>
          <w:p w:rsidRPr="00A406E2" w:rsidR="00297A51" w:rsidP="00552EC0" w:rsidRDefault="00297A51" w14:paraId="0633DFC2" w14:textId="64E38C53">
            <w:pPr>
              <w:jc w:val="right"/>
              <w:rPr>
                <w:sz w:val="24"/>
                <w:szCs w:val="24"/>
              </w:rPr>
            </w:pPr>
            <w:r w:rsidRPr="00A406E2">
              <w:rPr>
                <w:sz w:val="24"/>
                <w:szCs w:val="24"/>
              </w:rPr>
              <w:lastRenderedPageBreak/>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0F1BD1F2" w14:textId="77777777">
            <w:pPr>
              <w:jc w:val="right"/>
              <w:rPr>
                <w:sz w:val="24"/>
                <w:szCs w:val="24"/>
              </w:rPr>
            </w:pPr>
            <w:r w:rsidRPr="00A406E2">
              <w:rPr>
                <w:sz w:val="24"/>
                <w:szCs w:val="24"/>
              </w:rPr>
              <w:t>13</w:t>
            </w:r>
          </w:p>
        </w:tc>
        <w:tc>
          <w:tcPr>
            <w:tcW w:w="567" w:type="dxa"/>
          </w:tcPr>
          <w:p w:rsidRPr="00A406E2" w:rsidR="00297A51" w:rsidP="00552EC0" w:rsidRDefault="00297A51" w14:paraId="3951FACB" w14:textId="77777777">
            <w:pPr>
              <w:jc w:val="right"/>
              <w:rPr>
                <w:sz w:val="24"/>
                <w:szCs w:val="24"/>
              </w:rPr>
            </w:pPr>
            <w:r w:rsidRPr="00A406E2">
              <w:rPr>
                <w:sz w:val="24"/>
                <w:szCs w:val="24"/>
              </w:rPr>
              <w:t xml:space="preserve"> </w:t>
            </w:r>
          </w:p>
        </w:tc>
      </w:tr>
      <w:tr w:rsidRPr="00A406E2" w:rsidR="00297A51" w:rsidTr="00B90BBB" w14:paraId="37BE0DD2" w14:textId="77777777">
        <w:tc>
          <w:tcPr>
            <w:tcW w:w="567" w:type="dxa"/>
          </w:tcPr>
          <w:p w:rsidRPr="00A406E2" w:rsidR="00297A51" w:rsidP="00552EC0" w:rsidRDefault="00297A51" w14:paraId="739860B2" w14:textId="7D4BC39A">
            <w:pPr>
              <w:rPr>
                <w:sz w:val="24"/>
                <w:szCs w:val="24"/>
              </w:rPr>
            </w:pPr>
            <w:r w:rsidRPr="00A406E2">
              <w:rPr>
                <w:sz w:val="24"/>
                <w:szCs w:val="24"/>
              </w:rPr>
              <w:t>46</w:t>
            </w:r>
          </w:p>
        </w:tc>
        <w:tc>
          <w:tcPr>
            <w:tcW w:w="6521" w:type="dxa"/>
          </w:tcPr>
          <w:p w:rsidRPr="00A406E2" w:rsidR="00297A51" w:rsidP="00552EC0" w:rsidRDefault="00297A51" w14:paraId="28C67257" w14:textId="77777777">
            <w:pPr>
              <w:rPr>
                <w:sz w:val="24"/>
                <w:szCs w:val="24"/>
              </w:rPr>
            </w:pPr>
            <w:r w:rsidRPr="00A406E2">
              <w:rPr>
                <w:sz w:val="24"/>
                <w:szCs w:val="24"/>
              </w:rPr>
              <w:t>Welke motivatie ligt ten grondslag aan de keuze om de prijsbijstellingen voor het voortgezet onderwijs en voor onderzoeks- en wetenschapsbeleid positief bij te stellen, terwijl op de meeste andere artikelen gekort wordt op de prijsbijstelling?</w:t>
            </w:r>
          </w:p>
          <w:p w:rsidRPr="00A406E2" w:rsidR="003E634A" w:rsidP="00552EC0" w:rsidRDefault="003E634A" w14:paraId="37C27E2E" w14:textId="7AC39D56">
            <w:pPr>
              <w:rPr>
                <w:sz w:val="24"/>
                <w:szCs w:val="24"/>
              </w:rPr>
            </w:pPr>
            <w:r w:rsidRPr="00A406E2">
              <w:rPr>
                <w:sz w:val="24"/>
                <w:szCs w:val="24"/>
              </w:rPr>
              <w:t>Zie het antwoord op vraag 45.</w:t>
            </w:r>
          </w:p>
        </w:tc>
        <w:tc>
          <w:tcPr>
            <w:tcW w:w="850" w:type="dxa"/>
          </w:tcPr>
          <w:p w:rsidRPr="00A406E2" w:rsidR="00297A51" w:rsidP="00552EC0" w:rsidRDefault="00297A51" w14:paraId="3B6F8BBE" w14:textId="61C97E91">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4150DA7B" w14:textId="77777777">
            <w:pPr>
              <w:jc w:val="right"/>
              <w:rPr>
                <w:sz w:val="24"/>
                <w:szCs w:val="24"/>
              </w:rPr>
            </w:pPr>
            <w:r w:rsidRPr="00A406E2">
              <w:rPr>
                <w:sz w:val="24"/>
                <w:szCs w:val="24"/>
              </w:rPr>
              <w:t>13</w:t>
            </w:r>
          </w:p>
        </w:tc>
        <w:tc>
          <w:tcPr>
            <w:tcW w:w="567" w:type="dxa"/>
          </w:tcPr>
          <w:p w:rsidRPr="00A406E2" w:rsidR="00297A51" w:rsidP="00552EC0" w:rsidRDefault="00297A51" w14:paraId="55DA6E15" w14:textId="77777777">
            <w:pPr>
              <w:jc w:val="right"/>
              <w:rPr>
                <w:sz w:val="24"/>
                <w:szCs w:val="24"/>
              </w:rPr>
            </w:pPr>
            <w:r w:rsidRPr="00A406E2">
              <w:rPr>
                <w:sz w:val="24"/>
                <w:szCs w:val="24"/>
              </w:rPr>
              <w:t xml:space="preserve"> </w:t>
            </w:r>
          </w:p>
        </w:tc>
      </w:tr>
      <w:tr w:rsidRPr="00A406E2" w:rsidR="00297A51" w:rsidTr="00B90BBB" w14:paraId="5D817329" w14:textId="77777777">
        <w:tc>
          <w:tcPr>
            <w:tcW w:w="567" w:type="dxa"/>
          </w:tcPr>
          <w:p w:rsidRPr="00A406E2" w:rsidR="00297A51" w:rsidP="00552EC0" w:rsidRDefault="00297A51" w14:paraId="1125043D" w14:textId="1C9C27C2">
            <w:pPr>
              <w:rPr>
                <w:sz w:val="24"/>
                <w:szCs w:val="24"/>
              </w:rPr>
            </w:pPr>
            <w:r w:rsidRPr="00A406E2">
              <w:rPr>
                <w:sz w:val="24"/>
                <w:szCs w:val="24"/>
              </w:rPr>
              <w:t>47</w:t>
            </w:r>
          </w:p>
        </w:tc>
        <w:tc>
          <w:tcPr>
            <w:tcW w:w="6521" w:type="dxa"/>
          </w:tcPr>
          <w:p w:rsidRPr="00A406E2" w:rsidR="00297A51" w:rsidP="00552EC0" w:rsidRDefault="00297A51" w14:paraId="6193FBA1" w14:textId="77777777">
            <w:pPr>
              <w:rPr>
                <w:sz w:val="24"/>
                <w:szCs w:val="24"/>
              </w:rPr>
            </w:pPr>
            <w:r w:rsidRPr="00A406E2">
              <w:rPr>
                <w:sz w:val="24"/>
                <w:szCs w:val="24"/>
              </w:rPr>
              <w:t>Op basis van welk indexatiecijfer wordt rekening gehouden met de korting op de prijsbijstelling per 2028?</w:t>
            </w:r>
          </w:p>
          <w:p w:rsidRPr="00A406E2" w:rsidR="003E634A" w:rsidP="00552EC0" w:rsidRDefault="003E634A" w14:paraId="54204E8F" w14:textId="678ABB99">
            <w:pPr>
              <w:rPr>
                <w:sz w:val="24"/>
                <w:szCs w:val="24"/>
              </w:rPr>
            </w:pPr>
            <w:r w:rsidRPr="00A406E2">
              <w:rPr>
                <w:sz w:val="24"/>
                <w:szCs w:val="24"/>
              </w:rPr>
              <w:t>De korting vanaf 2028 op de prijsbijstelling tranche 2026 is een besluit van het kabinet Schoof uit de Miljoenennota 2026. D</w:t>
            </w:r>
            <w:r w:rsidRPr="00A406E2" w:rsidR="006B02AB">
              <w:rPr>
                <w:sz w:val="24"/>
                <w:szCs w:val="24"/>
              </w:rPr>
              <w:t xml:space="preserve">aar ligt geen indexatiecijfer aan ten grondslag. </w:t>
            </w:r>
          </w:p>
        </w:tc>
        <w:tc>
          <w:tcPr>
            <w:tcW w:w="850" w:type="dxa"/>
          </w:tcPr>
          <w:p w:rsidRPr="00A406E2" w:rsidR="00297A51" w:rsidP="00552EC0" w:rsidRDefault="00297A51" w14:paraId="767298D7" w14:textId="26A84BAF">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255E6898" w14:textId="77777777">
            <w:pPr>
              <w:jc w:val="right"/>
              <w:rPr>
                <w:sz w:val="24"/>
                <w:szCs w:val="24"/>
              </w:rPr>
            </w:pPr>
            <w:r w:rsidRPr="00A406E2">
              <w:rPr>
                <w:sz w:val="24"/>
                <w:szCs w:val="24"/>
              </w:rPr>
              <w:t>13</w:t>
            </w:r>
          </w:p>
        </w:tc>
        <w:tc>
          <w:tcPr>
            <w:tcW w:w="567" w:type="dxa"/>
          </w:tcPr>
          <w:p w:rsidRPr="00A406E2" w:rsidR="00297A51" w:rsidP="00552EC0" w:rsidRDefault="00297A51" w14:paraId="31DF45B1" w14:textId="77777777">
            <w:pPr>
              <w:jc w:val="right"/>
              <w:rPr>
                <w:sz w:val="24"/>
                <w:szCs w:val="24"/>
              </w:rPr>
            </w:pPr>
            <w:r w:rsidRPr="00A406E2">
              <w:rPr>
                <w:sz w:val="24"/>
                <w:szCs w:val="24"/>
              </w:rPr>
              <w:t xml:space="preserve"> </w:t>
            </w:r>
          </w:p>
        </w:tc>
      </w:tr>
      <w:tr w:rsidRPr="00A406E2" w:rsidR="00297A51" w:rsidTr="00B90BBB" w14:paraId="6C4898EE" w14:textId="77777777">
        <w:tc>
          <w:tcPr>
            <w:tcW w:w="567" w:type="dxa"/>
          </w:tcPr>
          <w:p w:rsidRPr="00A406E2" w:rsidR="00297A51" w:rsidP="00552EC0" w:rsidRDefault="00297A51" w14:paraId="4A2BE042" w14:textId="044C7A77">
            <w:pPr>
              <w:rPr>
                <w:sz w:val="24"/>
                <w:szCs w:val="24"/>
              </w:rPr>
            </w:pPr>
            <w:r w:rsidRPr="00A406E2">
              <w:rPr>
                <w:sz w:val="24"/>
                <w:szCs w:val="24"/>
              </w:rPr>
              <w:t>48</w:t>
            </w:r>
          </w:p>
        </w:tc>
        <w:tc>
          <w:tcPr>
            <w:tcW w:w="6521" w:type="dxa"/>
          </w:tcPr>
          <w:p w:rsidRPr="00A406E2" w:rsidR="00297A51" w:rsidP="00552EC0" w:rsidRDefault="00297A51" w14:paraId="48BAAC4B" w14:textId="77777777">
            <w:pPr>
              <w:rPr>
                <w:sz w:val="24"/>
                <w:szCs w:val="24"/>
              </w:rPr>
            </w:pPr>
            <w:r w:rsidRPr="00A406E2">
              <w:rPr>
                <w:sz w:val="24"/>
                <w:szCs w:val="24"/>
              </w:rPr>
              <w:t>Geldt de korting op de prijsbijstelling voor de onderwijssectoren vanaf 2028 tevens voor de bekostiging (excl. primair onderwijs)?</w:t>
            </w:r>
          </w:p>
          <w:p w:rsidRPr="00A406E2" w:rsidR="003E634A" w:rsidP="00552EC0" w:rsidRDefault="003E634A" w14:paraId="10472131" w14:textId="23BCFCC4">
            <w:pPr>
              <w:rPr>
                <w:sz w:val="24"/>
                <w:szCs w:val="24"/>
              </w:rPr>
            </w:pPr>
            <w:r w:rsidRPr="00A406E2">
              <w:rPr>
                <w:sz w:val="24"/>
                <w:szCs w:val="24"/>
              </w:rPr>
              <w:t>De korting op de prijsbijstelling vanaf 2028 geldt, met uitzondering van de bekostiging van het primair onderwijs, ook voor de bekostiging van de overige onderwijssectoren.</w:t>
            </w:r>
          </w:p>
        </w:tc>
        <w:tc>
          <w:tcPr>
            <w:tcW w:w="850" w:type="dxa"/>
          </w:tcPr>
          <w:p w:rsidRPr="00A406E2" w:rsidR="00297A51" w:rsidP="00552EC0" w:rsidRDefault="00297A51" w14:paraId="13D106C8" w14:textId="50808243">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54FDE00D" w14:textId="77777777">
            <w:pPr>
              <w:jc w:val="right"/>
              <w:rPr>
                <w:sz w:val="24"/>
                <w:szCs w:val="24"/>
              </w:rPr>
            </w:pPr>
            <w:r w:rsidRPr="00A406E2">
              <w:rPr>
                <w:sz w:val="24"/>
                <w:szCs w:val="24"/>
              </w:rPr>
              <w:t>13</w:t>
            </w:r>
          </w:p>
        </w:tc>
        <w:tc>
          <w:tcPr>
            <w:tcW w:w="567" w:type="dxa"/>
          </w:tcPr>
          <w:p w:rsidRPr="00A406E2" w:rsidR="00297A51" w:rsidP="00552EC0" w:rsidRDefault="00297A51" w14:paraId="2A8931CF" w14:textId="77777777">
            <w:pPr>
              <w:jc w:val="right"/>
              <w:rPr>
                <w:sz w:val="24"/>
                <w:szCs w:val="24"/>
              </w:rPr>
            </w:pPr>
            <w:r w:rsidRPr="00A406E2">
              <w:rPr>
                <w:sz w:val="24"/>
                <w:szCs w:val="24"/>
              </w:rPr>
              <w:t xml:space="preserve"> </w:t>
            </w:r>
          </w:p>
        </w:tc>
      </w:tr>
      <w:tr w:rsidRPr="00A406E2" w:rsidR="00297A51" w:rsidTr="00B90BBB" w14:paraId="10DB6535" w14:textId="77777777">
        <w:tc>
          <w:tcPr>
            <w:tcW w:w="567" w:type="dxa"/>
          </w:tcPr>
          <w:p w:rsidRPr="00A406E2" w:rsidR="00297A51" w:rsidP="00552EC0" w:rsidRDefault="00297A51" w14:paraId="381FCE49" w14:textId="5825D397">
            <w:pPr>
              <w:rPr>
                <w:sz w:val="24"/>
                <w:szCs w:val="24"/>
              </w:rPr>
            </w:pPr>
            <w:r w:rsidRPr="00A406E2">
              <w:rPr>
                <w:sz w:val="24"/>
                <w:szCs w:val="24"/>
              </w:rPr>
              <w:t>49</w:t>
            </w:r>
          </w:p>
        </w:tc>
        <w:tc>
          <w:tcPr>
            <w:tcW w:w="6521" w:type="dxa"/>
          </w:tcPr>
          <w:p w:rsidRPr="00A406E2" w:rsidR="00297A51" w:rsidP="00552EC0" w:rsidRDefault="00297A51" w14:paraId="5B7DC081" w14:textId="77777777">
            <w:pPr>
              <w:rPr>
                <w:sz w:val="24"/>
                <w:szCs w:val="24"/>
              </w:rPr>
            </w:pPr>
            <w:r w:rsidRPr="00A406E2">
              <w:rPr>
                <w:sz w:val="24"/>
                <w:szCs w:val="24"/>
              </w:rPr>
              <w:t xml:space="preserve">Hoe staat het met de uitwerking van de </w:t>
            </w:r>
            <w:r w:rsidRPr="00A406E2" w:rsidR="00A4029D">
              <w:rPr>
                <w:sz w:val="24"/>
                <w:szCs w:val="24"/>
              </w:rPr>
              <w:t>m</w:t>
            </w:r>
            <w:r w:rsidRPr="00A406E2">
              <w:rPr>
                <w:sz w:val="24"/>
                <w:szCs w:val="24"/>
              </w:rPr>
              <w:t>otie van het lid Vijlbrief c.s. over onderzoeken hoe een wettelijk kader voor de prijsontwikkeling ingesteld kan worden voor vervolgonderwijs</w:t>
            </w:r>
            <w:r w:rsidRPr="00A406E2" w:rsidR="00411AA4">
              <w:rPr>
                <w:rStyle w:val="Voetnootmarkering"/>
                <w:sz w:val="24"/>
                <w:szCs w:val="24"/>
              </w:rPr>
              <w:footnoteReference w:id="4"/>
            </w:r>
            <w:r w:rsidRPr="00A406E2">
              <w:rPr>
                <w:sz w:val="24"/>
                <w:szCs w:val="24"/>
              </w:rPr>
              <w:t>?</w:t>
            </w:r>
          </w:p>
          <w:p w:rsidRPr="00A406E2" w:rsidR="003E634A" w:rsidP="00552EC0" w:rsidRDefault="003E634A" w14:paraId="373988AF" w14:textId="7E7C312F">
            <w:pPr>
              <w:rPr>
                <w:sz w:val="24"/>
                <w:szCs w:val="24"/>
              </w:rPr>
            </w:pPr>
            <w:r w:rsidRPr="00A406E2">
              <w:rPr>
                <w:sz w:val="24"/>
                <w:szCs w:val="24"/>
              </w:rPr>
              <w:lastRenderedPageBreak/>
              <w:t xml:space="preserve">De Tweede Kamer is op 19 december 2025 met een </w:t>
            </w:r>
            <w:r w:rsidRPr="00A406E2" w:rsidR="00F17A20">
              <w:rPr>
                <w:sz w:val="24"/>
                <w:szCs w:val="24"/>
              </w:rPr>
              <w:t>K</w:t>
            </w:r>
            <w:r w:rsidRPr="00A406E2">
              <w:rPr>
                <w:sz w:val="24"/>
                <w:szCs w:val="24"/>
              </w:rPr>
              <w:t xml:space="preserve">amerbrief geïnformeerd over </w:t>
            </w:r>
            <w:hyperlink w:history="1" r:id="rId21">
              <w:r w:rsidRPr="00A406E2">
                <w:rPr>
                  <w:rStyle w:val="Hyperlink"/>
                  <w:sz w:val="24"/>
                  <w:szCs w:val="24"/>
                </w:rPr>
                <w:t>de uitwerking van de motie van het lid Vijlbrief c.s</w:t>
              </w:r>
            </w:hyperlink>
            <w:r w:rsidRPr="00A406E2">
              <w:rPr>
                <w:sz w:val="24"/>
                <w:szCs w:val="24"/>
              </w:rPr>
              <w:t>.</w:t>
            </w:r>
          </w:p>
        </w:tc>
        <w:tc>
          <w:tcPr>
            <w:tcW w:w="850" w:type="dxa"/>
          </w:tcPr>
          <w:p w:rsidRPr="00A406E2" w:rsidR="00297A51" w:rsidP="00552EC0" w:rsidRDefault="00297A51" w14:paraId="353D63F6" w14:textId="6AE03F19">
            <w:pPr>
              <w:jc w:val="right"/>
              <w:rPr>
                <w:sz w:val="24"/>
                <w:szCs w:val="24"/>
              </w:rPr>
            </w:pPr>
            <w:r w:rsidRPr="00A406E2">
              <w:rPr>
                <w:sz w:val="24"/>
                <w:szCs w:val="24"/>
              </w:rPr>
              <w:lastRenderedPageBreak/>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0F30ABA9" w14:textId="77777777">
            <w:pPr>
              <w:jc w:val="right"/>
              <w:rPr>
                <w:sz w:val="24"/>
                <w:szCs w:val="24"/>
              </w:rPr>
            </w:pPr>
            <w:r w:rsidRPr="00A406E2">
              <w:rPr>
                <w:sz w:val="24"/>
                <w:szCs w:val="24"/>
              </w:rPr>
              <w:t>13</w:t>
            </w:r>
          </w:p>
        </w:tc>
        <w:tc>
          <w:tcPr>
            <w:tcW w:w="567" w:type="dxa"/>
          </w:tcPr>
          <w:p w:rsidRPr="00A406E2" w:rsidR="00297A51" w:rsidP="00552EC0" w:rsidRDefault="00297A51" w14:paraId="59363D52" w14:textId="77777777">
            <w:pPr>
              <w:jc w:val="right"/>
              <w:rPr>
                <w:sz w:val="24"/>
                <w:szCs w:val="24"/>
              </w:rPr>
            </w:pPr>
            <w:r w:rsidRPr="00A406E2">
              <w:rPr>
                <w:sz w:val="24"/>
                <w:szCs w:val="24"/>
              </w:rPr>
              <w:t xml:space="preserve"> </w:t>
            </w:r>
          </w:p>
        </w:tc>
      </w:tr>
      <w:tr w:rsidRPr="00A406E2" w:rsidR="00297A51" w:rsidTr="00B90BBB" w14:paraId="4DBE6680" w14:textId="77777777">
        <w:tc>
          <w:tcPr>
            <w:tcW w:w="567" w:type="dxa"/>
          </w:tcPr>
          <w:p w:rsidRPr="00A406E2" w:rsidR="00297A51" w:rsidP="00552EC0" w:rsidRDefault="00297A51" w14:paraId="4BC663BE" w14:textId="4D04BFCA">
            <w:pPr>
              <w:rPr>
                <w:sz w:val="24"/>
                <w:szCs w:val="24"/>
              </w:rPr>
            </w:pPr>
            <w:r w:rsidRPr="00A406E2">
              <w:rPr>
                <w:sz w:val="24"/>
                <w:szCs w:val="24"/>
              </w:rPr>
              <w:t>50</w:t>
            </w:r>
          </w:p>
        </w:tc>
        <w:tc>
          <w:tcPr>
            <w:tcW w:w="6521" w:type="dxa"/>
          </w:tcPr>
          <w:p w:rsidRPr="00A406E2" w:rsidR="00297A51" w:rsidP="00552EC0" w:rsidRDefault="001B3332" w14:paraId="48FCF46E" w14:textId="77777777">
            <w:pPr>
              <w:rPr>
                <w:sz w:val="24"/>
                <w:szCs w:val="24"/>
              </w:rPr>
            </w:pPr>
            <w:r w:rsidRPr="00A406E2">
              <w:rPr>
                <w:sz w:val="24"/>
                <w:szCs w:val="24"/>
              </w:rPr>
              <w:t>In hoeverre wordt bij de prijsbijstelling rekening gehouden met de te verwachten stijgende energieprijzen voor scholen?</w:t>
            </w:r>
          </w:p>
          <w:p w:rsidRPr="00A406E2" w:rsidR="003E634A" w:rsidP="00552EC0" w:rsidRDefault="003E634A" w14:paraId="14ED406D" w14:textId="04D2D134">
            <w:pPr>
              <w:rPr>
                <w:sz w:val="24"/>
                <w:szCs w:val="24"/>
              </w:rPr>
            </w:pPr>
            <w:r w:rsidRPr="00A406E2">
              <w:rPr>
                <w:sz w:val="24"/>
                <w:szCs w:val="24"/>
              </w:rPr>
              <w:t xml:space="preserve">De hoogte van de prijsbijstelling is gebaseerd op de </w:t>
            </w:r>
            <w:proofErr w:type="spellStart"/>
            <w:r w:rsidRPr="00A406E2">
              <w:rPr>
                <w:sz w:val="24"/>
                <w:szCs w:val="24"/>
              </w:rPr>
              <w:t>onafhankelĳke</w:t>
            </w:r>
            <w:proofErr w:type="spellEnd"/>
            <w:r w:rsidRPr="00A406E2">
              <w:rPr>
                <w:sz w:val="24"/>
                <w:szCs w:val="24"/>
              </w:rPr>
              <w:t xml:space="preserve"> indices voor </w:t>
            </w:r>
            <w:proofErr w:type="spellStart"/>
            <w:r w:rsidRPr="00A406E2">
              <w:rPr>
                <w:sz w:val="24"/>
                <w:szCs w:val="24"/>
              </w:rPr>
              <w:t>prĳsontwikkeling</w:t>
            </w:r>
            <w:proofErr w:type="spellEnd"/>
            <w:r w:rsidRPr="00A406E2">
              <w:rPr>
                <w:sz w:val="24"/>
                <w:szCs w:val="24"/>
              </w:rPr>
              <w:t xml:space="preserve"> van het CPB, zoals jaarlijks gepubliceerd in het Centraal Economisch Plan. In de </w:t>
            </w:r>
            <w:r w:rsidRPr="00A406E2" w:rsidR="004260EA">
              <w:rPr>
                <w:sz w:val="24"/>
                <w:szCs w:val="24"/>
              </w:rPr>
              <w:t xml:space="preserve">prijsindices </w:t>
            </w:r>
            <w:r w:rsidRPr="00A406E2">
              <w:rPr>
                <w:sz w:val="24"/>
                <w:szCs w:val="24"/>
              </w:rPr>
              <w:t xml:space="preserve"> van het CPB wordt ook rekening gehouden met energieprijzen. Naar aanleiding van de </w:t>
            </w:r>
            <w:r w:rsidRPr="00A406E2" w:rsidR="004260EA">
              <w:rPr>
                <w:sz w:val="24"/>
                <w:szCs w:val="24"/>
              </w:rPr>
              <w:t xml:space="preserve">sterk gestegen </w:t>
            </w:r>
            <w:r w:rsidRPr="00A406E2">
              <w:rPr>
                <w:sz w:val="24"/>
                <w:szCs w:val="24"/>
              </w:rPr>
              <w:t>energie</w:t>
            </w:r>
            <w:r w:rsidRPr="00A406E2" w:rsidR="004260EA">
              <w:rPr>
                <w:sz w:val="24"/>
                <w:szCs w:val="24"/>
              </w:rPr>
              <w:t>prijzen</w:t>
            </w:r>
            <w:r w:rsidRPr="00A406E2">
              <w:rPr>
                <w:sz w:val="24"/>
                <w:szCs w:val="24"/>
              </w:rPr>
              <w:t xml:space="preserve"> in 2022 heeft het CPB bovendien de meetmethode van inflatie aangepast om </w:t>
            </w:r>
            <w:r w:rsidRPr="00A406E2" w:rsidR="004260EA">
              <w:rPr>
                <w:sz w:val="24"/>
                <w:szCs w:val="24"/>
              </w:rPr>
              <w:t xml:space="preserve">hier </w:t>
            </w:r>
            <w:r w:rsidRPr="00A406E2">
              <w:rPr>
                <w:sz w:val="24"/>
                <w:szCs w:val="24"/>
              </w:rPr>
              <w:t>beter rekening</w:t>
            </w:r>
            <w:r w:rsidRPr="00A406E2" w:rsidR="004260EA">
              <w:rPr>
                <w:sz w:val="24"/>
                <w:szCs w:val="24"/>
              </w:rPr>
              <w:t xml:space="preserve"> mee</w:t>
            </w:r>
            <w:r w:rsidRPr="00A406E2">
              <w:rPr>
                <w:sz w:val="24"/>
                <w:szCs w:val="24"/>
              </w:rPr>
              <w:t xml:space="preserve"> te houden met stijgende energieprijzen. </w:t>
            </w:r>
            <w:r w:rsidRPr="00A406E2" w:rsidR="004260EA">
              <w:rPr>
                <w:sz w:val="24"/>
                <w:szCs w:val="24"/>
              </w:rPr>
              <w:t xml:space="preserve">In </w:t>
            </w:r>
            <w:hyperlink w:history="1" r:id="rId22">
              <w:r w:rsidRPr="00A406E2" w:rsidR="004260EA">
                <w:rPr>
                  <w:rStyle w:val="Hyperlink"/>
                  <w:sz w:val="24"/>
                  <w:szCs w:val="24"/>
                </w:rPr>
                <w:t>het Centraal Economisch Plan 2026</w:t>
              </w:r>
            </w:hyperlink>
            <w:r w:rsidRPr="00A406E2" w:rsidR="004260EA">
              <w:rPr>
                <w:sz w:val="24"/>
                <w:szCs w:val="24"/>
              </w:rPr>
              <w:t xml:space="preserve"> is op blz. 9 door het CPB toegelicht hoe de stijgende energieprijzen doorwerken in de prijsindices.</w:t>
            </w:r>
          </w:p>
        </w:tc>
        <w:tc>
          <w:tcPr>
            <w:tcW w:w="850" w:type="dxa"/>
          </w:tcPr>
          <w:p w:rsidRPr="00A406E2" w:rsidR="00297A51" w:rsidP="00552EC0" w:rsidRDefault="00297A51" w14:paraId="6CCD4540" w14:textId="3C4B703F">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1B3332" w14:paraId="19E6962C" w14:textId="586DD728">
            <w:pPr>
              <w:jc w:val="right"/>
              <w:rPr>
                <w:sz w:val="24"/>
                <w:szCs w:val="24"/>
              </w:rPr>
            </w:pPr>
            <w:r w:rsidRPr="00A406E2">
              <w:rPr>
                <w:sz w:val="24"/>
                <w:szCs w:val="24"/>
              </w:rPr>
              <w:t>14</w:t>
            </w:r>
          </w:p>
        </w:tc>
        <w:tc>
          <w:tcPr>
            <w:tcW w:w="567" w:type="dxa"/>
          </w:tcPr>
          <w:p w:rsidRPr="00A406E2" w:rsidR="00297A51" w:rsidP="00552EC0" w:rsidRDefault="00297A51" w14:paraId="3E1BDB71" w14:textId="2F0A3202">
            <w:pPr>
              <w:jc w:val="right"/>
              <w:rPr>
                <w:sz w:val="24"/>
                <w:szCs w:val="24"/>
              </w:rPr>
            </w:pPr>
            <w:r w:rsidRPr="00A406E2">
              <w:rPr>
                <w:sz w:val="24"/>
                <w:szCs w:val="24"/>
              </w:rPr>
              <w:t xml:space="preserve"> </w:t>
            </w:r>
          </w:p>
        </w:tc>
      </w:tr>
      <w:tr w:rsidRPr="00A406E2" w:rsidR="00297A51" w:rsidTr="00B90BBB" w14:paraId="735BA585" w14:textId="77777777">
        <w:tc>
          <w:tcPr>
            <w:tcW w:w="567" w:type="dxa"/>
          </w:tcPr>
          <w:p w:rsidRPr="00A406E2" w:rsidR="00297A51" w:rsidP="00552EC0" w:rsidRDefault="00297A51" w14:paraId="1C6F1E49" w14:textId="5BB4AF44">
            <w:pPr>
              <w:rPr>
                <w:sz w:val="24"/>
                <w:szCs w:val="24"/>
              </w:rPr>
            </w:pPr>
            <w:r w:rsidRPr="00A406E2">
              <w:rPr>
                <w:sz w:val="24"/>
                <w:szCs w:val="24"/>
              </w:rPr>
              <w:t>51</w:t>
            </w:r>
          </w:p>
        </w:tc>
        <w:tc>
          <w:tcPr>
            <w:tcW w:w="6521" w:type="dxa"/>
          </w:tcPr>
          <w:p w:rsidRPr="00A406E2" w:rsidR="00297A51" w:rsidP="00552EC0" w:rsidRDefault="001B3332" w14:paraId="5E051839" w14:textId="77777777">
            <w:pPr>
              <w:rPr>
                <w:sz w:val="24"/>
                <w:szCs w:val="24"/>
              </w:rPr>
            </w:pPr>
            <w:r w:rsidRPr="00A406E2">
              <w:rPr>
                <w:sz w:val="24"/>
                <w:szCs w:val="24"/>
              </w:rPr>
              <w:t>Leidt de bezuiniging op de prijsbijstelling niet tot financiële problemen bij scholen?</w:t>
            </w:r>
          </w:p>
          <w:p w:rsidRPr="00A406E2" w:rsidR="003E634A" w:rsidP="003E634A" w:rsidRDefault="003E634A" w14:paraId="047F1BA7" w14:textId="77777777">
            <w:pPr>
              <w:rPr>
                <w:sz w:val="24"/>
                <w:szCs w:val="24"/>
              </w:rPr>
            </w:pPr>
            <w:r w:rsidRPr="00A406E2">
              <w:rPr>
                <w:sz w:val="24"/>
                <w:szCs w:val="24"/>
              </w:rPr>
              <w:t xml:space="preserve">De kabinetsbrede korting op de prijsbijstelling is niet verwerkt in een korting op de prijsbijstelling op de bekostiging van het primair onderwijs, omdat deze geheel wettelijk verplicht is. </w:t>
            </w:r>
          </w:p>
          <w:p w:rsidRPr="00A406E2" w:rsidR="003E634A" w:rsidP="00552EC0" w:rsidRDefault="003E634A" w14:paraId="6DE98B91" w14:textId="03319011">
            <w:pPr>
              <w:rPr>
                <w:sz w:val="24"/>
                <w:szCs w:val="24"/>
              </w:rPr>
            </w:pPr>
            <w:r w:rsidRPr="00A406E2">
              <w:rPr>
                <w:sz w:val="24"/>
                <w:szCs w:val="24"/>
              </w:rPr>
              <w:t>Door een korting op de prijsbijstelling worden de budgetten van door OCW gefinancierde instellingen reëel verlaagd. Onderwijsinstellingen, onderzoeksinstellingen en culturele organisaties hebben namelijk kosten voor materieel.</w:t>
            </w:r>
            <w:r w:rsidRPr="00A406E2">
              <w:t xml:space="preserve"> </w:t>
            </w:r>
            <w:r w:rsidRPr="00A406E2">
              <w:rPr>
                <w:sz w:val="24"/>
                <w:szCs w:val="24"/>
              </w:rPr>
              <w:t>Door inflatie nemen deze kosten jaarlijks toe. Om tegelijkertijd hetzelfde onderwijs, onderzoek en cultureel aanbod te kunnen blijven leveren, worden instellingen via de prijsbijstelling gecompenseerd voor deze kostenstijgingen. Hoe een korting op de prijsbijstelling precies neerslaat bij een instelling is moeilijk te bepalen. De financiële situatie van een instelling is immers ook afhankelijk van vele andere factoren.</w:t>
            </w:r>
          </w:p>
        </w:tc>
        <w:tc>
          <w:tcPr>
            <w:tcW w:w="850" w:type="dxa"/>
          </w:tcPr>
          <w:p w:rsidRPr="00A406E2" w:rsidR="00297A51" w:rsidP="00552EC0" w:rsidRDefault="00297A51" w14:paraId="339C2A98" w14:textId="75571E81">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091AD8DF" w14:textId="13E5305C">
            <w:pPr>
              <w:jc w:val="right"/>
              <w:rPr>
                <w:sz w:val="24"/>
                <w:szCs w:val="24"/>
              </w:rPr>
            </w:pPr>
            <w:r w:rsidRPr="00A406E2">
              <w:rPr>
                <w:sz w:val="24"/>
                <w:szCs w:val="24"/>
              </w:rPr>
              <w:t>14</w:t>
            </w:r>
          </w:p>
        </w:tc>
        <w:tc>
          <w:tcPr>
            <w:tcW w:w="567" w:type="dxa"/>
          </w:tcPr>
          <w:p w:rsidRPr="00A406E2" w:rsidR="00297A51" w:rsidP="00552EC0" w:rsidRDefault="00297A51" w14:paraId="65FE99B5" w14:textId="09113D45">
            <w:pPr>
              <w:jc w:val="right"/>
              <w:rPr>
                <w:sz w:val="24"/>
                <w:szCs w:val="24"/>
              </w:rPr>
            </w:pPr>
            <w:r w:rsidRPr="00A406E2">
              <w:rPr>
                <w:sz w:val="24"/>
                <w:szCs w:val="24"/>
              </w:rPr>
              <w:t xml:space="preserve"> </w:t>
            </w:r>
          </w:p>
        </w:tc>
      </w:tr>
      <w:tr w:rsidRPr="00A406E2" w:rsidR="00297A51" w:rsidTr="00B90BBB" w14:paraId="2765245B" w14:textId="77777777">
        <w:tc>
          <w:tcPr>
            <w:tcW w:w="567" w:type="dxa"/>
          </w:tcPr>
          <w:p w:rsidRPr="00A406E2" w:rsidR="00297A51" w:rsidP="00552EC0" w:rsidRDefault="00297A51" w14:paraId="1DE9C752" w14:textId="558289DD">
            <w:pPr>
              <w:rPr>
                <w:sz w:val="24"/>
                <w:szCs w:val="24"/>
              </w:rPr>
            </w:pPr>
            <w:r w:rsidRPr="00A406E2">
              <w:rPr>
                <w:sz w:val="24"/>
                <w:szCs w:val="24"/>
              </w:rPr>
              <w:t>52</w:t>
            </w:r>
          </w:p>
        </w:tc>
        <w:tc>
          <w:tcPr>
            <w:tcW w:w="6521" w:type="dxa"/>
          </w:tcPr>
          <w:p w:rsidRPr="00A406E2" w:rsidR="00297A51" w:rsidP="00552EC0" w:rsidRDefault="001B3332" w14:paraId="68DB643D" w14:textId="77777777">
            <w:pPr>
              <w:rPr>
                <w:sz w:val="24"/>
                <w:szCs w:val="24"/>
              </w:rPr>
            </w:pPr>
            <w:r w:rsidRPr="00A406E2">
              <w:rPr>
                <w:sz w:val="24"/>
                <w:szCs w:val="24"/>
              </w:rPr>
              <w:t>Waar wordt de daling in het percentage van studenten dat gebruikt maakt van studieleningen door veroorzaakt?</w:t>
            </w:r>
          </w:p>
          <w:p w:rsidRPr="00A406E2" w:rsidR="00FD626B" w:rsidP="00552EC0" w:rsidRDefault="00FD626B" w14:paraId="2C904CC3" w14:textId="26B05C15">
            <w:pPr>
              <w:rPr>
                <w:sz w:val="24"/>
                <w:szCs w:val="24"/>
              </w:rPr>
            </w:pPr>
            <w:r w:rsidRPr="00A406E2">
              <w:rPr>
                <w:sz w:val="24"/>
                <w:szCs w:val="24"/>
              </w:rPr>
              <w:t xml:space="preserve">De precieze oorzaak van de daling in het percentage studenten dat gebruikmaakt van studieleningen is niet bekend. Er </w:t>
            </w:r>
            <w:r w:rsidRPr="00A406E2" w:rsidR="00CA2574">
              <w:rPr>
                <w:sz w:val="24"/>
                <w:szCs w:val="24"/>
              </w:rPr>
              <w:t>is</w:t>
            </w:r>
            <w:r w:rsidRPr="00A406E2">
              <w:rPr>
                <w:sz w:val="24"/>
                <w:szCs w:val="24"/>
              </w:rPr>
              <w:t xml:space="preserve"> een aantal verklaringen denkbaar. Ten eerste lijkt de herinvoering van de basisbeurs ertoe te hebben geleid dat de noodzaak om te lenen is afgenomen. Ten tweede is de rente de afgelopen jaren gestegen, waardoor het duurder wordt om te lenen. Dit kan een reden zijn voor studenten om geen of minder gebruik te maken van studieleningen. Daarnaast is er mogelijk ook meer bewustwording onder studenten wat de financiële gevolgen kunnen zijn van het hebben van een studieschuld.</w:t>
            </w:r>
          </w:p>
        </w:tc>
        <w:tc>
          <w:tcPr>
            <w:tcW w:w="850" w:type="dxa"/>
          </w:tcPr>
          <w:p w:rsidRPr="00A406E2" w:rsidR="00297A51" w:rsidP="00552EC0" w:rsidRDefault="00297A51" w14:paraId="36DDA29E" w14:textId="2EC1CFE6">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1B3332" w14:paraId="6FB44FB4" w14:textId="39829FB7">
            <w:pPr>
              <w:jc w:val="right"/>
              <w:rPr>
                <w:sz w:val="24"/>
                <w:szCs w:val="24"/>
              </w:rPr>
            </w:pPr>
            <w:r w:rsidRPr="00A406E2">
              <w:rPr>
                <w:sz w:val="24"/>
                <w:szCs w:val="24"/>
              </w:rPr>
              <w:t>15</w:t>
            </w:r>
          </w:p>
        </w:tc>
        <w:tc>
          <w:tcPr>
            <w:tcW w:w="567" w:type="dxa"/>
          </w:tcPr>
          <w:p w:rsidRPr="00A406E2" w:rsidR="00297A51" w:rsidP="00552EC0" w:rsidRDefault="00297A51" w14:paraId="73629117" w14:textId="2ADCA2CA">
            <w:pPr>
              <w:jc w:val="right"/>
              <w:rPr>
                <w:sz w:val="24"/>
                <w:szCs w:val="24"/>
              </w:rPr>
            </w:pPr>
            <w:r w:rsidRPr="00A406E2">
              <w:rPr>
                <w:sz w:val="24"/>
                <w:szCs w:val="24"/>
              </w:rPr>
              <w:t xml:space="preserve"> </w:t>
            </w:r>
          </w:p>
        </w:tc>
      </w:tr>
      <w:tr w:rsidRPr="00A406E2" w:rsidR="00297A51" w:rsidTr="00B90BBB" w14:paraId="1BD13A69" w14:textId="77777777">
        <w:tc>
          <w:tcPr>
            <w:tcW w:w="567" w:type="dxa"/>
          </w:tcPr>
          <w:p w:rsidRPr="00A406E2" w:rsidR="00297A51" w:rsidP="00552EC0" w:rsidRDefault="00297A51" w14:paraId="6E307A6B" w14:textId="0A92BFA2">
            <w:pPr>
              <w:rPr>
                <w:sz w:val="24"/>
                <w:szCs w:val="24"/>
              </w:rPr>
            </w:pPr>
            <w:r w:rsidRPr="00A406E2">
              <w:rPr>
                <w:sz w:val="24"/>
                <w:szCs w:val="24"/>
              </w:rPr>
              <w:t>53</w:t>
            </w:r>
          </w:p>
        </w:tc>
        <w:tc>
          <w:tcPr>
            <w:tcW w:w="6521" w:type="dxa"/>
          </w:tcPr>
          <w:p w:rsidRPr="00A406E2" w:rsidR="00297A51" w:rsidP="00552EC0" w:rsidRDefault="001B3332" w14:paraId="17368BC7" w14:textId="77777777">
            <w:pPr>
              <w:rPr>
                <w:sz w:val="24"/>
                <w:szCs w:val="24"/>
              </w:rPr>
            </w:pPr>
            <w:r w:rsidRPr="00A406E2">
              <w:rPr>
                <w:sz w:val="24"/>
                <w:szCs w:val="24"/>
              </w:rPr>
              <w:t>Wat is de verwachte koopkrachtontwikkeling voor studenten die geen gebruik maken van studieleningen en voor studenten die dit wel doen?</w:t>
            </w:r>
          </w:p>
          <w:p w:rsidRPr="00A406E2" w:rsidR="00FD626B" w:rsidP="00552EC0" w:rsidRDefault="00FD626B" w14:paraId="54D54006" w14:textId="73B6FE46">
            <w:pPr>
              <w:rPr>
                <w:sz w:val="24"/>
                <w:szCs w:val="24"/>
              </w:rPr>
            </w:pPr>
            <w:r w:rsidRPr="00A406E2">
              <w:rPr>
                <w:sz w:val="24"/>
                <w:szCs w:val="24"/>
              </w:rPr>
              <w:lastRenderedPageBreak/>
              <w:t>Deze vraag is niet te beantwoorden. Het Nibud publiceert jaarlijks op Prinsjesdag koopkrachtberekeningen van uitwonende studenten. Het Nibud neemt daar de studielening niet in mee, omdat die niet past in de systematiek van koopkrachtberekeningen. Een koopkrachtberekening laat zien wat het saldo van inkomsten en uitgaven wordt, als gevolg van economische ontwikkelingen en beleidsbesluiten. De inflatie en indexatie van de basisbeurs worden hier bijvoorbeeld in meegenomen. De studielening kan weliswaar als inkomen van de student worden gezien, maar de student bepaalt zelf de hoogte daarvan.</w:t>
            </w:r>
          </w:p>
        </w:tc>
        <w:tc>
          <w:tcPr>
            <w:tcW w:w="850" w:type="dxa"/>
          </w:tcPr>
          <w:p w:rsidRPr="00A406E2" w:rsidR="00297A51" w:rsidP="00552EC0" w:rsidRDefault="00297A51" w14:paraId="1406086A" w14:textId="75CBD957">
            <w:pPr>
              <w:jc w:val="right"/>
              <w:rPr>
                <w:sz w:val="24"/>
                <w:szCs w:val="24"/>
              </w:rPr>
            </w:pPr>
            <w:r w:rsidRPr="00A406E2">
              <w:rPr>
                <w:sz w:val="24"/>
                <w:szCs w:val="24"/>
              </w:rPr>
              <w:lastRenderedPageBreak/>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467D8301" w14:textId="34BDB6FF">
            <w:pPr>
              <w:jc w:val="right"/>
              <w:rPr>
                <w:sz w:val="24"/>
                <w:szCs w:val="24"/>
              </w:rPr>
            </w:pPr>
            <w:r w:rsidRPr="00A406E2">
              <w:rPr>
                <w:sz w:val="24"/>
                <w:szCs w:val="24"/>
              </w:rPr>
              <w:t>15</w:t>
            </w:r>
          </w:p>
        </w:tc>
        <w:tc>
          <w:tcPr>
            <w:tcW w:w="567" w:type="dxa"/>
          </w:tcPr>
          <w:p w:rsidRPr="00A406E2" w:rsidR="00297A51" w:rsidP="00552EC0" w:rsidRDefault="00297A51" w14:paraId="5817958E" w14:textId="54AE20DC">
            <w:pPr>
              <w:jc w:val="right"/>
              <w:rPr>
                <w:sz w:val="24"/>
                <w:szCs w:val="24"/>
              </w:rPr>
            </w:pPr>
            <w:r w:rsidRPr="00A406E2">
              <w:rPr>
                <w:sz w:val="24"/>
                <w:szCs w:val="24"/>
              </w:rPr>
              <w:t xml:space="preserve"> </w:t>
            </w:r>
          </w:p>
        </w:tc>
      </w:tr>
      <w:tr w:rsidRPr="00A406E2" w:rsidR="00297A51" w:rsidTr="00B90BBB" w14:paraId="562FC470" w14:textId="77777777">
        <w:tc>
          <w:tcPr>
            <w:tcW w:w="567" w:type="dxa"/>
          </w:tcPr>
          <w:p w:rsidRPr="00A406E2" w:rsidR="00297A51" w:rsidP="00552EC0" w:rsidRDefault="00297A51" w14:paraId="44BA8F1B" w14:textId="191E99DB">
            <w:pPr>
              <w:rPr>
                <w:sz w:val="24"/>
                <w:szCs w:val="24"/>
              </w:rPr>
            </w:pPr>
            <w:r w:rsidRPr="00A406E2">
              <w:rPr>
                <w:sz w:val="24"/>
                <w:szCs w:val="24"/>
              </w:rPr>
              <w:t>54</w:t>
            </w:r>
          </w:p>
        </w:tc>
        <w:tc>
          <w:tcPr>
            <w:tcW w:w="6521" w:type="dxa"/>
          </w:tcPr>
          <w:p w:rsidRPr="00A406E2" w:rsidR="00297A51" w:rsidP="00552EC0" w:rsidRDefault="001B3332" w14:paraId="5AF489A3" w14:textId="77777777">
            <w:pPr>
              <w:rPr>
                <w:sz w:val="24"/>
                <w:szCs w:val="24"/>
              </w:rPr>
            </w:pPr>
            <w:r w:rsidRPr="00A406E2">
              <w:rPr>
                <w:sz w:val="24"/>
                <w:szCs w:val="24"/>
              </w:rPr>
              <w:t>Welke beleidsinitiatieven worden niet meer of minder ontwikkeld als gevolg van de verlaging van het beschikbare budget op de overige subsidies van artikel 1?</w:t>
            </w:r>
          </w:p>
          <w:p w:rsidRPr="00A406E2" w:rsidR="00145239" w:rsidP="00552EC0" w:rsidRDefault="00010498" w14:paraId="4410EB28" w14:textId="6FF82003">
            <w:pPr>
              <w:rPr>
                <w:sz w:val="24"/>
                <w:szCs w:val="24"/>
              </w:rPr>
            </w:pPr>
            <w:r>
              <w:rPr>
                <w:sz w:val="24"/>
                <w:szCs w:val="24"/>
              </w:rPr>
              <w:t xml:space="preserve">Er kan niet precies gezegd worden </w:t>
            </w:r>
            <w:r w:rsidRPr="00C666F0">
              <w:rPr>
                <w:sz w:val="24"/>
                <w:szCs w:val="24"/>
              </w:rPr>
              <w:t xml:space="preserve">welke beleidsinitiatieven </w:t>
            </w:r>
            <w:r>
              <w:rPr>
                <w:sz w:val="24"/>
                <w:szCs w:val="24"/>
              </w:rPr>
              <w:t>gevolgen ondervinden van de budgetverlaging uit deze Voorjaarsnota.</w:t>
            </w:r>
            <w:r w:rsidR="00C10E07">
              <w:rPr>
                <w:sz w:val="24"/>
                <w:szCs w:val="24"/>
              </w:rPr>
              <w:t xml:space="preserve"> </w:t>
            </w:r>
            <w:r>
              <w:rPr>
                <w:sz w:val="24"/>
                <w:szCs w:val="24"/>
              </w:rPr>
              <w:t>Er zullen op basis van het reeds verlaagde budget besluiten worden genomen. Deze besluiten worden gedurende het jaar genomen.</w:t>
            </w:r>
            <w:r w:rsidR="00C10E07">
              <w:rPr>
                <w:sz w:val="24"/>
                <w:szCs w:val="24"/>
              </w:rPr>
              <w:t xml:space="preserve"> Naar verwachting zijn er geen bestaande beleidsinitiatieven die teruggedraaid moeten worden door dit verlaagde budget. </w:t>
            </w:r>
          </w:p>
        </w:tc>
        <w:tc>
          <w:tcPr>
            <w:tcW w:w="850" w:type="dxa"/>
          </w:tcPr>
          <w:p w:rsidRPr="00A406E2" w:rsidR="00297A51" w:rsidP="00552EC0" w:rsidRDefault="00297A51" w14:paraId="581A2A08" w14:textId="2B177835">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1B3332" w14:paraId="7ECB6033" w14:textId="37A5EE53">
            <w:pPr>
              <w:jc w:val="right"/>
              <w:rPr>
                <w:sz w:val="24"/>
                <w:szCs w:val="24"/>
              </w:rPr>
            </w:pPr>
            <w:r w:rsidRPr="00A406E2">
              <w:rPr>
                <w:sz w:val="24"/>
                <w:szCs w:val="24"/>
              </w:rPr>
              <w:t>19</w:t>
            </w:r>
          </w:p>
        </w:tc>
        <w:tc>
          <w:tcPr>
            <w:tcW w:w="567" w:type="dxa"/>
          </w:tcPr>
          <w:p w:rsidRPr="00A406E2" w:rsidR="00297A51" w:rsidP="00552EC0" w:rsidRDefault="00297A51" w14:paraId="5B3688ED" w14:textId="76A996CA">
            <w:pPr>
              <w:jc w:val="right"/>
              <w:rPr>
                <w:sz w:val="24"/>
                <w:szCs w:val="24"/>
              </w:rPr>
            </w:pPr>
            <w:r w:rsidRPr="00A406E2">
              <w:rPr>
                <w:sz w:val="24"/>
                <w:szCs w:val="24"/>
              </w:rPr>
              <w:t xml:space="preserve"> </w:t>
            </w:r>
          </w:p>
        </w:tc>
      </w:tr>
      <w:tr w:rsidRPr="00A406E2" w:rsidR="00297A51" w:rsidTr="00B90BBB" w14:paraId="7E9E279D" w14:textId="77777777">
        <w:tc>
          <w:tcPr>
            <w:tcW w:w="567" w:type="dxa"/>
          </w:tcPr>
          <w:p w:rsidRPr="00A406E2" w:rsidR="00297A51" w:rsidP="00552EC0" w:rsidRDefault="00297A51" w14:paraId="018FDC73" w14:textId="3461B0A8">
            <w:pPr>
              <w:rPr>
                <w:sz w:val="24"/>
                <w:szCs w:val="24"/>
              </w:rPr>
            </w:pPr>
            <w:r w:rsidRPr="00A406E2">
              <w:rPr>
                <w:sz w:val="24"/>
                <w:szCs w:val="24"/>
              </w:rPr>
              <w:t>55</w:t>
            </w:r>
          </w:p>
        </w:tc>
        <w:tc>
          <w:tcPr>
            <w:tcW w:w="6521" w:type="dxa"/>
          </w:tcPr>
          <w:p w:rsidRPr="00A406E2" w:rsidR="00297A51" w:rsidP="00552EC0" w:rsidRDefault="001B3332" w14:paraId="38C1097A" w14:textId="77777777">
            <w:pPr>
              <w:rPr>
                <w:sz w:val="24"/>
                <w:szCs w:val="24"/>
              </w:rPr>
            </w:pPr>
            <w:r w:rsidRPr="00A406E2">
              <w:rPr>
                <w:sz w:val="24"/>
                <w:szCs w:val="24"/>
              </w:rPr>
              <w:t xml:space="preserve">Wat zijn de gevolgen van het niet </w:t>
            </w:r>
            <w:proofErr w:type="spellStart"/>
            <w:r w:rsidRPr="00A406E2">
              <w:rPr>
                <w:sz w:val="24"/>
                <w:szCs w:val="24"/>
              </w:rPr>
              <w:t>doorverdelen</w:t>
            </w:r>
            <w:proofErr w:type="spellEnd"/>
            <w:r w:rsidRPr="00A406E2">
              <w:rPr>
                <w:sz w:val="24"/>
                <w:szCs w:val="24"/>
              </w:rPr>
              <w:t xml:space="preserve"> van de loon- en prijsbijstelling op de andere instrumenten van artikel 3?</w:t>
            </w:r>
          </w:p>
          <w:p w:rsidRPr="00A406E2" w:rsidR="00145239" w:rsidP="00552EC0" w:rsidRDefault="00145239" w14:paraId="0708E080" w14:textId="79843507">
            <w:pPr>
              <w:rPr>
                <w:sz w:val="24"/>
                <w:szCs w:val="24"/>
              </w:rPr>
            </w:pPr>
            <w:r w:rsidRPr="00A406E2">
              <w:rPr>
                <w:sz w:val="24"/>
                <w:szCs w:val="24"/>
              </w:rPr>
              <w:t xml:space="preserve">De loon- en prijsbijstelling tranche 2026 wordt op de instrumenten subsidies en opdrachten niet volledig </w:t>
            </w:r>
            <w:proofErr w:type="spellStart"/>
            <w:r w:rsidRPr="00A406E2">
              <w:rPr>
                <w:sz w:val="24"/>
                <w:szCs w:val="24"/>
              </w:rPr>
              <w:t>doorverdeeld</w:t>
            </w:r>
            <w:proofErr w:type="spellEnd"/>
            <w:r w:rsidRPr="00A406E2">
              <w:rPr>
                <w:sz w:val="24"/>
                <w:szCs w:val="24"/>
              </w:rPr>
              <w:t xml:space="preserve">. Het gevolg is dat subsidieregelingen niet geïndexeerd worden met de loon- en prijsbijstelling tranche 2026. Daarnaast is er door stijgende prijzen minder budgettaire ruimte voor bijvoorbeeld project- en instellingssubsidies en het laten uitvoeren van onderzoeken via het instrument opdrachten. </w:t>
            </w:r>
          </w:p>
        </w:tc>
        <w:tc>
          <w:tcPr>
            <w:tcW w:w="850" w:type="dxa"/>
          </w:tcPr>
          <w:p w:rsidRPr="00A406E2" w:rsidR="00297A51" w:rsidP="00552EC0" w:rsidRDefault="00297A51" w14:paraId="7A99553B" w14:textId="1C7A93F5">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1B3332" w14:paraId="6767AFC1" w14:textId="5C30EF39">
            <w:pPr>
              <w:jc w:val="right"/>
              <w:rPr>
                <w:sz w:val="24"/>
                <w:szCs w:val="24"/>
              </w:rPr>
            </w:pPr>
            <w:r w:rsidRPr="00A406E2">
              <w:rPr>
                <w:sz w:val="24"/>
                <w:szCs w:val="24"/>
              </w:rPr>
              <w:t>22</w:t>
            </w:r>
          </w:p>
        </w:tc>
        <w:tc>
          <w:tcPr>
            <w:tcW w:w="567" w:type="dxa"/>
          </w:tcPr>
          <w:p w:rsidRPr="00A406E2" w:rsidR="00297A51" w:rsidP="00552EC0" w:rsidRDefault="00297A51" w14:paraId="0FCE7654" w14:textId="72616A3F">
            <w:pPr>
              <w:jc w:val="right"/>
              <w:rPr>
                <w:sz w:val="24"/>
                <w:szCs w:val="24"/>
              </w:rPr>
            </w:pPr>
            <w:r w:rsidRPr="00A406E2">
              <w:rPr>
                <w:sz w:val="24"/>
                <w:szCs w:val="24"/>
              </w:rPr>
              <w:t xml:space="preserve"> </w:t>
            </w:r>
          </w:p>
        </w:tc>
      </w:tr>
      <w:tr w:rsidRPr="00A406E2" w:rsidR="00297A51" w:rsidTr="00B90BBB" w14:paraId="57F266A5" w14:textId="77777777">
        <w:tc>
          <w:tcPr>
            <w:tcW w:w="567" w:type="dxa"/>
          </w:tcPr>
          <w:p w:rsidRPr="00A406E2" w:rsidR="00297A51" w:rsidP="00552EC0" w:rsidRDefault="00297A51" w14:paraId="1462AD98" w14:textId="2B46890A">
            <w:pPr>
              <w:rPr>
                <w:sz w:val="24"/>
                <w:szCs w:val="24"/>
              </w:rPr>
            </w:pPr>
            <w:r w:rsidRPr="00A406E2">
              <w:rPr>
                <w:sz w:val="24"/>
                <w:szCs w:val="24"/>
              </w:rPr>
              <w:t>56</w:t>
            </w:r>
          </w:p>
        </w:tc>
        <w:tc>
          <w:tcPr>
            <w:tcW w:w="6521" w:type="dxa"/>
          </w:tcPr>
          <w:p w:rsidRPr="00A406E2" w:rsidR="00297A51" w:rsidP="00552EC0" w:rsidRDefault="001B3332" w14:paraId="070193A0" w14:textId="77777777">
            <w:pPr>
              <w:rPr>
                <w:sz w:val="24"/>
                <w:szCs w:val="24"/>
              </w:rPr>
            </w:pPr>
            <w:r w:rsidRPr="00A406E2">
              <w:rPr>
                <w:sz w:val="24"/>
                <w:szCs w:val="24"/>
              </w:rPr>
              <w:t xml:space="preserve">In hoeverre raakt het niet </w:t>
            </w:r>
            <w:proofErr w:type="spellStart"/>
            <w:r w:rsidRPr="00A406E2">
              <w:rPr>
                <w:sz w:val="24"/>
                <w:szCs w:val="24"/>
              </w:rPr>
              <w:t>doorverdelen</w:t>
            </w:r>
            <w:proofErr w:type="spellEnd"/>
            <w:r w:rsidRPr="00A406E2">
              <w:rPr>
                <w:sz w:val="24"/>
                <w:szCs w:val="24"/>
              </w:rPr>
              <w:t xml:space="preserve"> van de loonbijstelling op de subsidies ook het personeel dat werkzaam is op basis van subsidies?</w:t>
            </w:r>
          </w:p>
          <w:p w:rsidRPr="00A406E2" w:rsidR="00145239" w:rsidP="00552EC0" w:rsidRDefault="00145239" w14:paraId="28AA67ED" w14:textId="5E2B46D7">
            <w:pPr>
              <w:rPr>
                <w:sz w:val="24"/>
                <w:szCs w:val="24"/>
              </w:rPr>
            </w:pPr>
            <w:r w:rsidRPr="00A406E2">
              <w:rPr>
                <w:sz w:val="24"/>
                <w:szCs w:val="24"/>
              </w:rPr>
              <w:t xml:space="preserve">De looptijd van subsidies is vaak beperkt en de hoogte wordt gedurende de looptijd in de regel niet bijgesteld. In zijn algemeenheid kan wel gesteld worden, dat het inhouden van een tranche loon- en prijsbijstelling op termijn leidt tot het in reële waarde dalen van het budget. De lonen stijgen in de regel wel, waardoor de kosten van de subsidieontvanger stijgen. Dat maakt dat er minder ruimte is voor de uitvoering van het beleidsinitiatief. </w:t>
            </w:r>
          </w:p>
        </w:tc>
        <w:tc>
          <w:tcPr>
            <w:tcW w:w="850" w:type="dxa"/>
          </w:tcPr>
          <w:p w:rsidRPr="00A406E2" w:rsidR="00297A51" w:rsidP="00552EC0" w:rsidRDefault="00297A51" w14:paraId="2C61C26B" w14:textId="06BCB495">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3D6C5C1C" w14:textId="11E0A061">
            <w:pPr>
              <w:jc w:val="right"/>
              <w:rPr>
                <w:sz w:val="24"/>
                <w:szCs w:val="24"/>
              </w:rPr>
            </w:pPr>
            <w:r w:rsidRPr="00A406E2">
              <w:rPr>
                <w:sz w:val="24"/>
                <w:szCs w:val="24"/>
              </w:rPr>
              <w:t>22</w:t>
            </w:r>
          </w:p>
        </w:tc>
        <w:tc>
          <w:tcPr>
            <w:tcW w:w="567" w:type="dxa"/>
          </w:tcPr>
          <w:p w:rsidRPr="00A406E2" w:rsidR="00297A51" w:rsidP="00552EC0" w:rsidRDefault="00297A51" w14:paraId="011684D4" w14:textId="3F7B1E41">
            <w:pPr>
              <w:jc w:val="right"/>
              <w:rPr>
                <w:sz w:val="24"/>
                <w:szCs w:val="24"/>
              </w:rPr>
            </w:pPr>
            <w:r w:rsidRPr="00A406E2">
              <w:rPr>
                <w:sz w:val="24"/>
                <w:szCs w:val="24"/>
              </w:rPr>
              <w:t xml:space="preserve"> </w:t>
            </w:r>
          </w:p>
        </w:tc>
      </w:tr>
      <w:tr w:rsidRPr="00A406E2" w:rsidR="00297A51" w:rsidTr="00B90BBB" w14:paraId="75EA2C08" w14:textId="77777777">
        <w:tc>
          <w:tcPr>
            <w:tcW w:w="567" w:type="dxa"/>
          </w:tcPr>
          <w:p w:rsidRPr="00A406E2" w:rsidR="00297A51" w:rsidP="00552EC0" w:rsidRDefault="00297A51" w14:paraId="0958B98A" w14:textId="54907F73">
            <w:pPr>
              <w:rPr>
                <w:sz w:val="24"/>
                <w:szCs w:val="24"/>
              </w:rPr>
            </w:pPr>
            <w:r w:rsidRPr="00A406E2">
              <w:rPr>
                <w:sz w:val="24"/>
                <w:szCs w:val="24"/>
              </w:rPr>
              <w:t>57</w:t>
            </w:r>
          </w:p>
        </w:tc>
        <w:tc>
          <w:tcPr>
            <w:tcW w:w="6521" w:type="dxa"/>
          </w:tcPr>
          <w:p w:rsidR="00297A51" w:rsidP="00552EC0" w:rsidRDefault="001B3332" w14:paraId="1BCD3B90" w14:textId="77777777">
            <w:pPr>
              <w:rPr>
                <w:sz w:val="24"/>
                <w:szCs w:val="24"/>
              </w:rPr>
            </w:pPr>
            <w:r w:rsidRPr="00A406E2">
              <w:rPr>
                <w:sz w:val="24"/>
                <w:szCs w:val="24"/>
              </w:rPr>
              <w:t>Welke beleidsinitiatieven worden niet meer of minder ontwikkeld als gevolg van de verlaging van het beschikbare budget op de overige subsidies van artikel 3?</w:t>
            </w:r>
          </w:p>
          <w:p w:rsidRPr="00A406E2" w:rsidR="00145239" w:rsidP="00552EC0" w:rsidRDefault="00C10E07" w14:paraId="2BD289CC" w14:textId="542E4F3E">
            <w:pPr>
              <w:rPr>
                <w:sz w:val="24"/>
                <w:szCs w:val="24"/>
              </w:rPr>
            </w:pPr>
            <w:r>
              <w:rPr>
                <w:sz w:val="24"/>
                <w:szCs w:val="24"/>
              </w:rPr>
              <w:t xml:space="preserve">Er kan niet precies gezegd worden </w:t>
            </w:r>
            <w:r w:rsidRPr="00C666F0">
              <w:rPr>
                <w:sz w:val="24"/>
                <w:szCs w:val="24"/>
              </w:rPr>
              <w:t xml:space="preserve">welke beleidsinitiatieven </w:t>
            </w:r>
            <w:r>
              <w:rPr>
                <w:sz w:val="24"/>
                <w:szCs w:val="24"/>
              </w:rPr>
              <w:t xml:space="preserve">gevolgen ondervinden van de budgetverlaging uit deze Voorjaarsnota. Er zullen op basis van het reeds verlaagde budget besluiten worden genomen. Deze besluiten worden gedurende het jaar genomen. Naar verwachting zijn er geen bestaande </w:t>
            </w:r>
            <w:r>
              <w:rPr>
                <w:sz w:val="24"/>
                <w:szCs w:val="24"/>
              </w:rPr>
              <w:lastRenderedPageBreak/>
              <w:t>beleidsinitiatieven die teruggedraaid moeten worden door dit verlaagde budget.</w:t>
            </w:r>
          </w:p>
        </w:tc>
        <w:tc>
          <w:tcPr>
            <w:tcW w:w="850" w:type="dxa"/>
          </w:tcPr>
          <w:p w:rsidRPr="00A406E2" w:rsidR="00297A51" w:rsidP="00552EC0" w:rsidRDefault="00297A51" w14:paraId="46FD2675" w14:textId="1DD99A0A">
            <w:pPr>
              <w:jc w:val="right"/>
              <w:rPr>
                <w:sz w:val="24"/>
                <w:szCs w:val="24"/>
              </w:rPr>
            </w:pPr>
            <w:r w:rsidRPr="00A406E2">
              <w:rPr>
                <w:sz w:val="24"/>
                <w:szCs w:val="24"/>
              </w:rPr>
              <w:lastRenderedPageBreak/>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1B3332" w14:paraId="78B93E0D" w14:textId="09FAF675">
            <w:pPr>
              <w:jc w:val="right"/>
              <w:rPr>
                <w:sz w:val="24"/>
                <w:szCs w:val="24"/>
              </w:rPr>
            </w:pPr>
            <w:r w:rsidRPr="00A406E2">
              <w:rPr>
                <w:sz w:val="24"/>
                <w:szCs w:val="24"/>
              </w:rPr>
              <w:t>23</w:t>
            </w:r>
          </w:p>
        </w:tc>
        <w:tc>
          <w:tcPr>
            <w:tcW w:w="567" w:type="dxa"/>
          </w:tcPr>
          <w:p w:rsidRPr="00A406E2" w:rsidR="00297A51" w:rsidP="00552EC0" w:rsidRDefault="00297A51" w14:paraId="758E79F9" w14:textId="182074CD">
            <w:pPr>
              <w:jc w:val="right"/>
              <w:rPr>
                <w:sz w:val="24"/>
                <w:szCs w:val="24"/>
              </w:rPr>
            </w:pPr>
            <w:r w:rsidRPr="00A406E2">
              <w:rPr>
                <w:sz w:val="24"/>
                <w:szCs w:val="24"/>
              </w:rPr>
              <w:t xml:space="preserve"> </w:t>
            </w:r>
          </w:p>
        </w:tc>
      </w:tr>
      <w:tr w:rsidRPr="00A406E2" w:rsidR="00297A51" w:rsidTr="00B90BBB" w14:paraId="46688B33" w14:textId="77777777">
        <w:tc>
          <w:tcPr>
            <w:tcW w:w="567" w:type="dxa"/>
          </w:tcPr>
          <w:p w:rsidRPr="00A406E2" w:rsidR="00297A51" w:rsidP="00552EC0" w:rsidRDefault="00297A51" w14:paraId="33A8225F" w14:textId="3F6142D7">
            <w:pPr>
              <w:rPr>
                <w:sz w:val="24"/>
                <w:szCs w:val="24"/>
              </w:rPr>
            </w:pPr>
            <w:r w:rsidRPr="00A406E2">
              <w:rPr>
                <w:sz w:val="24"/>
                <w:szCs w:val="24"/>
              </w:rPr>
              <w:t>58</w:t>
            </w:r>
          </w:p>
        </w:tc>
        <w:tc>
          <w:tcPr>
            <w:tcW w:w="6521" w:type="dxa"/>
          </w:tcPr>
          <w:p w:rsidRPr="00A406E2" w:rsidR="00297A51" w:rsidP="00552EC0" w:rsidRDefault="001B3332" w14:paraId="6E4A8F66" w14:textId="77777777">
            <w:pPr>
              <w:rPr>
                <w:sz w:val="24"/>
                <w:szCs w:val="24"/>
              </w:rPr>
            </w:pPr>
            <w:r w:rsidRPr="00A406E2">
              <w:rPr>
                <w:sz w:val="24"/>
                <w:szCs w:val="24"/>
              </w:rPr>
              <w:t>In hoeverre verhoudt de bezuiniging op bekostiging van mbo-instellingen in 2027 tot en met 2030 zich met het extra budget (envelop onderwijs) uit het coalitieakkoord?</w:t>
            </w:r>
          </w:p>
          <w:p w:rsidRPr="00A406E2" w:rsidR="007B2DBF" w:rsidP="00552EC0" w:rsidRDefault="007B2DBF" w14:paraId="543B6CE7" w14:textId="4E928CC1">
            <w:pPr>
              <w:rPr>
                <w:sz w:val="24"/>
                <w:szCs w:val="24"/>
              </w:rPr>
            </w:pPr>
            <w:r w:rsidRPr="00A406E2">
              <w:rPr>
                <w:sz w:val="24"/>
                <w:szCs w:val="24"/>
              </w:rPr>
              <w:t xml:space="preserve">De bezuiniging op de lumpsum bekostiging van mbo-instellingen van in totaal circa € 33,8 miljoen in de jaren 2027 t/m 2030 wordt gebruikt als dekking voor de intensivering van de richtlijn geweld tegen vrouwen (GTV), LHBTIQ+ veiligheid en de hersteloperatie controle uitwonende beurs (CUB). Over de extra middelen uit het coalitieakkoord </w:t>
            </w:r>
            <w:r w:rsidRPr="00A406E2" w:rsidR="00F61A71">
              <w:rPr>
                <w:sz w:val="24"/>
                <w:szCs w:val="24"/>
              </w:rPr>
              <w:t>wordt</w:t>
            </w:r>
            <w:r w:rsidRPr="00A406E2" w:rsidR="00CD407E">
              <w:rPr>
                <w:sz w:val="24"/>
                <w:szCs w:val="24"/>
              </w:rPr>
              <w:t xml:space="preserve"> uw</w:t>
            </w:r>
            <w:r w:rsidRPr="00A406E2">
              <w:rPr>
                <w:sz w:val="24"/>
                <w:szCs w:val="24"/>
              </w:rPr>
              <w:t xml:space="preserve"> Kamer</w:t>
            </w:r>
            <w:r w:rsidRPr="00A406E2" w:rsidR="00F61A71">
              <w:rPr>
                <w:sz w:val="24"/>
                <w:szCs w:val="24"/>
              </w:rPr>
              <w:t xml:space="preserve"> binnenkort</w:t>
            </w:r>
            <w:r w:rsidRPr="00A406E2">
              <w:rPr>
                <w:sz w:val="24"/>
                <w:szCs w:val="24"/>
              </w:rPr>
              <w:t xml:space="preserve"> geïnformeerd </w:t>
            </w:r>
            <w:r w:rsidRPr="00A406E2" w:rsidR="00CE0EBF">
              <w:rPr>
                <w:sz w:val="24"/>
                <w:szCs w:val="24"/>
              </w:rPr>
              <w:t>middels</w:t>
            </w:r>
            <w:r w:rsidRPr="00A406E2">
              <w:rPr>
                <w:sz w:val="24"/>
                <w:szCs w:val="24"/>
              </w:rPr>
              <w:t xml:space="preserve"> de beleidsbrief</w:t>
            </w:r>
            <w:r w:rsidRPr="00A406E2" w:rsidR="00F61A71">
              <w:rPr>
                <w:sz w:val="24"/>
                <w:szCs w:val="24"/>
              </w:rPr>
              <w:t xml:space="preserve"> van OCW</w:t>
            </w:r>
            <w:r w:rsidRPr="00A406E2">
              <w:rPr>
                <w:sz w:val="24"/>
                <w:szCs w:val="24"/>
              </w:rPr>
              <w:t>.</w:t>
            </w:r>
          </w:p>
        </w:tc>
        <w:tc>
          <w:tcPr>
            <w:tcW w:w="850" w:type="dxa"/>
          </w:tcPr>
          <w:p w:rsidRPr="00A406E2" w:rsidR="00297A51" w:rsidP="00552EC0" w:rsidRDefault="00297A51" w14:paraId="06CDC452" w14:textId="5259E9D5">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1B3332" w14:paraId="1EF12E92" w14:textId="043309FB">
            <w:pPr>
              <w:jc w:val="right"/>
              <w:rPr>
                <w:sz w:val="24"/>
                <w:szCs w:val="24"/>
              </w:rPr>
            </w:pPr>
            <w:r w:rsidRPr="00A406E2">
              <w:rPr>
                <w:sz w:val="24"/>
                <w:szCs w:val="24"/>
              </w:rPr>
              <w:t>25</w:t>
            </w:r>
          </w:p>
        </w:tc>
        <w:tc>
          <w:tcPr>
            <w:tcW w:w="567" w:type="dxa"/>
          </w:tcPr>
          <w:p w:rsidRPr="00A406E2" w:rsidR="00297A51" w:rsidP="00552EC0" w:rsidRDefault="00297A51" w14:paraId="25945408" w14:textId="238E96E1">
            <w:pPr>
              <w:jc w:val="right"/>
              <w:rPr>
                <w:sz w:val="24"/>
                <w:szCs w:val="24"/>
              </w:rPr>
            </w:pPr>
            <w:r w:rsidRPr="00A406E2">
              <w:rPr>
                <w:sz w:val="24"/>
                <w:szCs w:val="24"/>
              </w:rPr>
              <w:t xml:space="preserve"> </w:t>
            </w:r>
          </w:p>
        </w:tc>
      </w:tr>
      <w:tr w:rsidRPr="00A406E2" w:rsidR="00297A51" w:rsidTr="00B90BBB" w14:paraId="54DFCF78" w14:textId="77777777">
        <w:tc>
          <w:tcPr>
            <w:tcW w:w="567" w:type="dxa"/>
          </w:tcPr>
          <w:p w:rsidRPr="00A406E2" w:rsidR="00297A51" w:rsidP="00552EC0" w:rsidRDefault="00297A51" w14:paraId="33B10AA1" w14:textId="78D1443B">
            <w:pPr>
              <w:rPr>
                <w:sz w:val="24"/>
                <w:szCs w:val="24"/>
              </w:rPr>
            </w:pPr>
            <w:r w:rsidRPr="00A406E2">
              <w:rPr>
                <w:sz w:val="24"/>
                <w:szCs w:val="24"/>
              </w:rPr>
              <w:t>59</w:t>
            </w:r>
          </w:p>
        </w:tc>
        <w:tc>
          <w:tcPr>
            <w:tcW w:w="6521" w:type="dxa"/>
          </w:tcPr>
          <w:p w:rsidRPr="00A406E2" w:rsidR="00297A51" w:rsidP="00552EC0" w:rsidRDefault="001B3332" w14:paraId="30B5B14C" w14:textId="77777777">
            <w:pPr>
              <w:rPr>
                <w:sz w:val="24"/>
                <w:szCs w:val="24"/>
              </w:rPr>
            </w:pPr>
            <w:r w:rsidRPr="00A406E2">
              <w:rPr>
                <w:sz w:val="24"/>
                <w:szCs w:val="24"/>
              </w:rPr>
              <w:t>Welke beleidsinitiatieven worden niet meer of minder ontwikkeld als gevolg van de verlaging van het beschikbare budget op de overige subsidies van artikel 4?</w:t>
            </w:r>
          </w:p>
          <w:p w:rsidRPr="00A406E2" w:rsidR="007B2DBF" w:rsidP="00552EC0" w:rsidRDefault="007B2DBF" w14:paraId="29F199EE" w14:textId="08FB16AB">
            <w:pPr>
              <w:rPr>
                <w:sz w:val="24"/>
                <w:szCs w:val="24"/>
              </w:rPr>
            </w:pPr>
            <w:r w:rsidRPr="00A406E2">
              <w:rPr>
                <w:sz w:val="24"/>
                <w:szCs w:val="24"/>
              </w:rPr>
              <w:t xml:space="preserve">Voor de invulling van de subsidietaakstelling wordt overige subsidies van </w:t>
            </w:r>
            <w:r w:rsidRPr="00A406E2" w:rsidR="00D84D3F">
              <w:rPr>
                <w:sz w:val="24"/>
                <w:szCs w:val="24"/>
              </w:rPr>
              <w:t>a</w:t>
            </w:r>
            <w:r w:rsidRPr="00A406E2">
              <w:rPr>
                <w:sz w:val="24"/>
                <w:szCs w:val="24"/>
              </w:rPr>
              <w:t xml:space="preserve">rtikel 4 incidenteel met € 1,6 miljoen in de periode 2027 tot en met 2029 verlaagd. Door de inzet van deze middelen voor de invulling van de subsidietaakstelling is er minder budgettaire ruimte voor de ontwikkeling van beleidsinitiatieven. Voor deze middelen bij overige subsidies was nog geen concrete beleidsinhoudelijke invulling, waardoor er niet gekort hoeft te worden op al verleende subsidies. Verschillende projectsubsidies voor tijdelijke expertisepunten lopen af na 2026. De inzet is om expertise en de implementatie van nieuwe wet- en regelgeving in het mbo efficiënter en structureel te organiseren en te bundelen in KLIM (Kennispunt Landelijke Informatie MBO), waardoor er naar verwachting minder subsidiebudget nodig is. </w:t>
            </w:r>
          </w:p>
        </w:tc>
        <w:tc>
          <w:tcPr>
            <w:tcW w:w="850" w:type="dxa"/>
          </w:tcPr>
          <w:p w:rsidRPr="00A406E2" w:rsidR="00297A51" w:rsidP="00552EC0" w:rsidRDefault="00297A51" w14:paraId="34AB1854" w14:textId="0368A4B4">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1B3332" w14:paraId="22D11254" w14:textId="26791507">
            <w:pPr>
              <w:jc w:val="right"/>
              <w:rPr>
                <w:sz w:val="24"/>
                <w:szCs w:val="24"/>
              </w:rPr>
            </w:pPr>
            <w:r w:rsidRPr="00A406E2">
              <w:rPr>
                <w:sz w:val="24"/>
                <w:szCs w:val="24"/>
              </w:rPr>
              <w:t>26</w:t>
            </w:r>
          </w:p>
        </w:tc>
        <w:tc>
          <w:tcPr>
            <w:tcW w:w="567" w:type="dxa"/>
          </w:tcPr>
          <w:p w:rsidRPr="00A406E2" w:rsidR="00297A51" w:rsidP="00552EC0" w:rsidRDefault="00297A51" w14:paraId="49B8E2C1" w14:textId="436011F7">
            <w:pPr>
              <w:jc w:val="right"/>
              <w:rPr>
                <w:sz w:val="24"/>
                <w:szCs w:val="24"/>
              </w:rPr>
            </w:pPr>
            <w:r w:rsidRPr="00A406E2">
              <w:rPr>
                <w:sz w:val="24"/>
                <w:szCs w:val="24"/>
              </w:rPr>
              <w:t xml:space="preserve"> </w:t>
            </w:r>
          </w:p>
        </w:tc>
      </w:tr>
      <w:tr w:rsidRPr="00A406E2" w:rsidR="00297A51" w:rsidTr="00B90BBB" w14:paraId="5F950517" w14:textId="77777777">
        <w:tc>
          <w:tcPr>
            <w:tcW w:w="567" w:type="dxa"/>
          </w:tcPr>
          <w:p w:rsidRPr="00A406E2" w:rsidR="00297A51" w:rsidP="00552EC0" w:rsidRDefault="00297A51" w14:paraId="292701C4" w14:textId="476C9ECB">
            <w:pPr>
              <w:rPr>
                <w:sz w:val="24"/>
                <w:szCs w:val="24"/>
              </w:rPr>
            </w:pPr>
            <w:r w:rsidRPr="00A406E2">
              <w:rPr>
                <w:sz w:val="24"/>
                <w:szCs w:val="24"/>
              </w:rPr>
              <w:t>60</w:t>
            </w:r>
          </w:p>
        </w:tc>
        <w:tc>
          <w:tcPr>
            <w:tcW w:w="6521" w:type="dxa"/>
          </w:tcPr>
          <w:p w:rsidRPr="00A406E2" w:rsidR="00297A51" w:rsidP="00552EC0" w:rsidRDefault="001B3332" w14:paraId="4E4691C0" w14:textId="77777777">
            <w:pPr>
              <w:rPr>
                <w:sz w:val="24"/>
                <w:szCs w:val="24"/>
              </w:rPr>
            </w:pPr>
            <w:r w:rsidRPr="00A406E2">
              <w:rPr>
                <w:sz w:val="24"/>
                <w:szCs w:val="24"/>
              </w:rPr>
              <w:t>Welke gevolgen zal het incidenteel neerwaarts bijstellen van de bekostiging voor mbo-instellingen naar verwachting hebben voor het mbo?</w:t>
            </w:r>
          </w:p>
          <w:p w:rsidRPr="00A406E2" w:rsidR="007B2DBF" w:rsidP="007B2DBF" w:rsidRDefault="007B2DBF" w14:paraId="045247B9" w14:textId="37B6705F">
            <w:pPr>
              <w:rPr>
                <w:sz w:val="24"/>
                <w:szCs w:val="24"/>
              </w:rPr>
            </w:pPr>
            <w:r w:rsidRPr="00A406E2">
              <w:rPr>
                <w:sz w:val="24"/>
                <w:szCs w:val="24"/>
              </w:rPr>
              <w:t xml:space="preserve">De mbo-bezuinigingen in de Eerste suppletoire begroting 2026 zijn zo verantwoord mogelijk en met zo min mogelijk impact voor het primaire onderwijsproces ingevuld. </w:t>
            </w:r>
          </w:p>
          <w:p w:rsidRPr="00A406E2" w:rsidR="007B2DBF" w:rsidP="007B2DBF" w:rsidRDefault="007B2DBF" w14:paraId="587B8781" w14:textId="544568F3">
            <w:pPr>
              <w:spacing w:before="0" w:after="160" w:line="259" w:lineRule="auto"/>
              <w:rPr>
                <w:sz w:val="24"/>
                <w:szCs w:val="24"/>
              </w:rPr>
            </w:pPr>
            <w:r w:rsidRPr="00A406E2">
              <w:rPr>
                <w:sz w:val="24"/>
                <w:szCs w:val="24"/>
              </w:rPr>
              <w:t>Ter dekking van OCW-brede problematiek is de mbo-bekostiging incidenteel verlaagd met in totaal € 33,8 miljoen in de jaren 2027 tot en met 2030. Deze bezuiniging betreft voor deze periode een incidentele verlaging van de bekostiging van gemiddeld bijna 0,2 procent per jaar. De verwachting is dat onderwijsinstellingen deze verlaging van de bekostiging kunnen dragen. Het is aan de instellingen zelf om een keuze te maken waar de bezuiniging neerslaat.</w:t>
            </w:r>
          </w:p>
        </w:tc>
        <w:tc>
          <w:tcPr>
            <w:tcW w:w="850" w:type="dxa"/>
          </w:tcPr>
          <w:p w:rsidRPr="00A406E2" w:rsidR="00297A51" w:rsidP="00552EC0" w:rsidRDefault="00297A51" w14:paraId="160A4EC3" w14:textId="3155C2D9">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247C3BB9" w14:textId="0158CDD5">
            <w:pPr>
              <w:jc w:val="right"/>
              <w:rPr>
                <w:sz w:val="24"/>
                <w:szCs w:val="24"/>
              </w:rPr>
            </w:pPr>
            <w:r w:rsidRPr="00A406E2">
              <w:rPr>
                <w:sz w:val="24"/>
                <w:szCs w:val="24"/>
              </w:rPr>
              <w:t>26</w:t>
            </w:r>
          </w:p>
        </w:tc>
        <w:tc>
          <w:tcPr>
            <w:tcW w:w="567" w:type="dxa"/>
          </w:tcPr>
          <w:p w:rsidRPr="00A406E2" w:rsidR="00297A51" w:rsidP="00552EC0" w:rsidRDefault="00297A51" w14:paraId="4D0BFA7A" w14:textId="2B397A9D">
            <w:pPr>
              <w:jc w:val="right"/>
              <w:rPr>
                <w:sz w:val="24"/>
                <w:szCs w:val="24"/>
              </w:rPr>
            </w:pPr>
            <w:r w:rsidRPr="00A406E2">
              <w:rPr>
                <w:sz w:val="24"/>
                <w:szCs w:val="24"/>
              </w:rPr>
              <w:t xml:space="preserve"> </w:t>
            </w:r>
          </w:p>
        </w:tc>
      </w:tr>
      <w:tr w:rsidRPr="00A406E2" w:rsidR="00297A51" w:rsidTr="00B90BBB" w14:paraId="38AB235C" w14:textId="77777777">
        <w:tc>
          <w:tcPr>
            <w:tcW w:w="567" w:type="dxa"/>
          </w:tcPr>
          <w:p w:rsidRPr="00A406E2" w:rsidR="00297A51" w:rsidP="00552EC0" w:rsidRDefault="00297A51" w14:paraId="72F13D56" w14:textId="0B891C5E">
            <w:pPr>
              <w:rPr>
                <w:sz w:val="24"/>
                <w:szCs w:val="24"/>
              </w:rPr>
            </w:pPr>
            <w:r w:rsidRPr="00A406E2">
              <w:rPr>
                <w:sz w:val="24"/>
                <w:szCs w:val="24"/>
              </w:rPr>
              <w:t>61</w:t>
            </w:r>
          </w:p>
        </w:tc>
        <w:tc>
          <w:tcPr>
            <w:tcW w:w="6521" w:type="dxa"/>
          </w:tcPr>
          <w:p w:rsidRPr="00A406E2" w:rsidR="00297A51" w:rsidP="00552EC0" w:rsidRDefault="001B3332" w14:paraId="25AC4FCA" w14:textId="77777777">
            <w:pPr>
              <w:rPr>
                <w:sz w:val="24"/>
                <w:szCs w:val="24"/>
              </w:rPr>
            </w:pPr>
            <w:r w:rsidRPr="00A406E2">
              <w:rPr>
                <w:sz w:val="24"/>
                <w:szCs w:val="24"/>
              </w:rPr>
              <w:t>Kunt u nader toelichten hoe de subsidietaakstelling op artikel 7 wordt ingevuld?</w:t>
            </w:r>
          </w:p>
          <w:p w:rsidRPr="00A406E2" w:rsidR="006D5935" w:rsidP="00552EC0" w:rsidRDefault="006D5935" w14:paraId="2BCB015B" w14:textId="04DEFEFC">
            <w:pPr>
              <w:rPr>
                <w:sz w:val="24"/>
                <w:szCs w:val="24"/>
                <w:u w:val="single"/>
              </w:rPr>
            </w:pPr>
            <w:r w:rsidRPr="00A406E2">
              <w:rPr>
                <w:sz w:val="24"/>
                <w:szCs w:val="24"/>
              </w:rPr>
              <w:t xml:space="preserve">De subsidietaakstelling op artikel 7 is ingevuld door het subsidiebudget te verlagen met € 1 miljoen vanaf 2027, het </w:t>
            </w:r>
            <w:r w:rsidRPr="00A406E2">
              <w:rPr>
                <w:sz w:val="24"/>
                <w:szCs w:val="24"/>
              </w:rPr>
              <w:lastRenderedPageBreak/>
              <w:t xml:space="preserve">opdrachtenbudget te verlagen met € 0,5 miljoen vanaf 2027 en door het </w:t>
            </w:r>
            <w:proofErr w:type="spellStart"/>
            <w:r w:rsidRPr="00A406E2">
              <w:rPr>
                <w:sz w:val="24"/>
                <w:szCs w:val="24"/>
              </w:rPr>
              <w:t>onderzoeksdeel</w:t>
            </w:r>
            <w:proofErr w:type="spellEnd"/>
            <w:r w:rsidRPr="00A406E2">
              <w:rPr>
                <w:sz w:val="24"/>
                <w:szCs w:val="24"/>
              </w:rPr>
              <w:t xml:space="preserve"> van de bekostiging in het wo te verlagen met in totaal € 3,2 miljoen voor de periode 2027-2030.</w:t>
            </w:r>
          </w:p>
        </w:tc>
        <w:tc>
          <w:tcPr>
            <w:tcW w:w="850" w:type="dxa"/>
          </w:tcPr>
          <w:p w:rsidRPr="00A406E2" w:rsidR="00297A51" w:rsidP="00552EC0" w:rsidRDefault="00297A51" w14:paraId="25FFD64E" w14:textId="0B351F28">
            <w:pPr>
              <w:jc w:val="right"/>
              <w:rPr>
                <w:sz w:val="24"/>
                <w:szCs w:val="24"/>
              </w:rPr>
            </w:pPr>
            <w:r w:rsidRPr="00A406E2">
              <w:rPr>
                <w:sz w:val="24"/>
                <w:szCs w:val="24"/>
              </w:rPr>
              <w:lastRenderedPageBreak/>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1B3332" w14:paraId="62CD246F" w14:textId="5FC4B4E5">
            <w:pPr>
              <w:jc w:val="right"/>
              <w:rPr>
                <w:sz w:val="24"/>
                <w:szCs w:val="24"/>
              </w:rPr>
            </w:pPr>
            <w:r w:rsidRPr="00A406E2">
              <w:rPr>
                <w:sz w:val="24"/>
                <w:szCs w:val="24"/>
              </w:rPr>
              <w:t>30</w:t>
            </w:r>
          </w:p>
        </w:tc>
        <w:tc>
          <w:tcPr>
            <w:tcW w:w="567" w:type="dxa"/>
          </w:tcPr>
          <w:p w:rsidRPr="00A406E2" w:rsidR="00297A51" w:rsidP="00552EC0" w:rsidRDefault="00297A51" w14:paraId="72FB95B5" w14:textId="34F7444D">
            <w:pPr>
              <w:jc w:val="right"/>
              <w:rPr>
                <w:sz w:val="24"/>
                <w:szCs w:val="24"/>
              </w:rPr>
            </w:pPr>
            <w:r w:rsidRPr="00A406E2">
              <w:rPr>
                <w:sz w:val="24"/>
                <w:szCs w:val="24"/>
              </w:rPr>
              <w:t xml:space="preserve"> </w:t>
            </w:r>
          </w:p>
        </w:tc>
      </w:tr>
      <w:tr w:rsidRPr="00A406E2" w:rsidR="00297A51" w:rsidTr="00B90BBB" w14:paraId="6B97F329" w14:textId="77777777">
        <w:tc>
          <w:tcPr>
            <w:tcW w:w="567" w:type="dxa"/>
          </w:tcPr>
          <w:p w:rsidRPr="00A406E2" w:rsidR="00297A51" w:rsidP="00552EC0" w:rsidRDefault="00297A51" w14:paraId="18785BC3" w14:textId="1B9E1A90">
            <w:pPr>
              <w:rPr>
                <w:sz w:val="24"/>
                <w:szCs w:val="24"/>
              </w:rPr>
            </w:pPr>
            <w:r w:rsidRPr="00A406E2">
              <w:rPr>
                <w:sz w:val="24"/>
                <w:szCs w:val="24"/>
              </w:rPr>
              <w:t>62</w:t>
            </w:r>
          </w:p>
        </w:tc>
        <w:tc>
          <w:tcPr>
            <w:tcW w:w="6521" w:type="dxa"/>
          </w:tcPr>
          <w:p w:rsidRPr="00A406E2" w:rsidR="00297A51" w:rsidP="00552EC0" w:rsidRDefault="001B3332" w14:paraId="29EC73C6" w14:textId="77777777">
            <w:pPr>
              <w:rPr>
                <w:sz w:val="24"/>
                <w:szCs w:val="24"/>
              </w:rPr>
            </w:pPr>
            <w:r w:rsidRPr="00A406E2">
              <w:rPr>
                <w:sz w:val="24"/>
                <w:szCs w:val="24"/>
              </w:rPr>
              <w:t>Welke beleidsinitiatieven worden niet meer of minder ontwikkeld als gevolg van de verlaging van het beschikbare budget op de subsidies en opdrachten en welke onderzoeksinstellingen krijgen minder budget?</w:t>
            </w:r>
          </w:p>
          <w:p w:rsidRPr="00A406E2" w:rsidR="006D5935" w:rsidP="00552EC0" w:rsidRDefault="006D5935" w14:paraId="5C650B6C" w14:textId="2C544599">
            <w:pPr>
              <w:rPr>
                <w:sz w:val="24"/>
                <w:szCs w:val="24"/>
              </w:rPr>
            </w:pPr>
            <w:r w:rsidRPr="00A406E2">
              <w:rPr>
                <w:sz w:val="24"/>
                <w:szCs w:val="24"/>
              </w:rPr>
              <w:t xml:space="preserve">De beschikbare budgetten voor subsidies en opdrachten worden voor diverse initiatieven ingezet en waren nog niet volledig juridisch verplicht. De verlaging leidt ertoe dat er minder ruimte is om nieuwe projectsubsidies te verstrekken en onderzoeksopdrachten uit te zetten. De verlaging van het </w:t>
            </w:r>
            <w:proofErr w:type="spellStart"/>
            <w:r w:rsidRPr="00A406E2">
              <w:rPr>
                <w:sz w:val="24"/>
                <w:szCs w:val="24"/>
              </w:rPr>
              <w:t>onderzoeksdeel</w:t>
            </w:r>
            <w:proofErr w:type="spellEnd"/>
            <w:r w:rsidRPr="00A406E2">
              <w:rPr>
                <w:sz w:val="24"/>
                <w:szCs w:val="24"/>
              </w:rPr>
              <w:t xml:space="preserve"> van de bekostiging wordt naar rato verdeeld over de onderwijsinstellingen en leidt ertoe dat de onderwijsinstellingen minder lumpsum ontvangen.</w:t>
            </w:r>
          </w:p>
        </w:tc>
        <w:tc>
          <w:tcPr>
            <w:tcW w:w="850" w:type="dxa"/>
          </w:tcPr>
          <w:p w:rsidRPr="00A406E2" w:rsidR="00297A51" w:rsidP="00552EC0" w:rsidRDefault="00297A51" w14:paraId="2B74284B" w14:textId="31100BCF">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223A9AF7" w14:textId="0C96FC6D">
            <w:pPr>
              <w:jc w:val="right"/>
              <w:rPr>
                <w:sz w:val="24"/>
                <w:szCs w:val="24"/>
              </w:rPr>
            </w:pPr>
            <w:r w:rsidRPr="00A406E2">
              <w:rPr>
                <w:sz w:val="24"/>
                <w:szCs w:val="24"/>
              </w:rPr>
              <w:t>30</w:t>
            </w:r>
          </w:p>
        </w:tc>
        <w:tc>
          <w:tcPr>
            <w:tcW w:w="567" w:type="dxa"/>
          </w:tcPr>
          <w:p w:rsidRPr="00A406E2" w:rsidR="00297A51" w:rsidP="00552EC0" w:rsidRDefault="00297A51" w14:paraId="3D57C7C7" w14:textId="217E779B">
            <w:pPr>
              <w:jc w:val="right"/>
              <w:rPr>
                <w:sz w:val="24"/>
                <w:szCs w:val="24"/>
              </w:rPr>
            </w:pPr>
            <w:r w:rsidRPr="00A406E2">
              <w:rPr>
                <w:sz w:val="24"/>
                <w:szCs w:val="24"/>
              </w:rPr>
              <w:t xml:space="preserve"> </w:t>
            </w:r>
          </w:p>
        </w:tc>
      </w:tr>
      <w:tr w:rsidRPr="00A406E2" w:rsidR="00297A51" w:rsidTr="00B90BBB" w14:paraId="2E74D9C0" w14:textId="77777777">
        <w:tc>
          <w:tcPr>
            <w:tcW w:w="567" w:type="dxa"/>
          </w:tcPr>
          <w:p w:rsidRPr="00A406E2" w:rsidR="00297A51" w:rsidP="00552EC0" w:rsidRDefault="00297A51" w14:paraId="3F584BE1" w14:textId="60543450">
            <w:pPr>
              <w:rPr>
                <w:sz w:val="24"/>
                <w:szCs w:val="24"/>
              </w:rPr>
            </w:pPr>
            <w:r w:rsidRPr="00A406E2">
              <w:rPr>
                <w:sz w:val="24"/>
                <w:szCs w:val="24"/>
              </w:rPr>
              <w:t>63</w:t>
            </w:r>
          </w:p>
        </w:tc>
        <w:tc>
          <w:tcPr>
            <w:tcW w:w="6521" w:type="dxa"/>
          </w:tcPr>
          <w:p w:rsidRPr="00A406E2" w:rsidR="00297A51" w:rsidP="00552EC0" w:rsidRDefault="00077114" w14:paraId="52526F48" w14:textId="77777777">
            <w:pPr>
              <w:rPr>
                <w:sz w:val="24"/>
                <w:szCs w:val="24"/>
              </w:rPr>
            </w:pPr>
            <w:r w:rsidRPr="00A406E2">
              <w:rPr>
                <w:sz w:val="24"/>
                <w:szCs w:val="24"/>
              </w:rPr>
              <w:t>Wat rekent u tot de culturele basisinfrastructuur die elke gemeente haar inwoners minimaal moet bieden?</w:t>
            </w:r>
          </w:p>
          <w:p w:rsidRPr="00A406E2" w:rsidR="0006289E" w:rsidP="00552EC0" w:rsidRDefault="0006289E" w14:paraId="3963C471" w14:textId="1E2A036D">
            <w:pPr>
              <w:rPr>
                <w:sz w:val="24"/>
                <w:szCs w:val="24"/>
              </w:rPr>
            </w:pPr>
            <w:r w:rsidRPr="00A406E2">
              <w:rPr>
                <w:sz w:val="24"/>
                <w:szCs w:val="24"/>
              </w:rPr>
              <w:t xml:space="preserve">Gemeenten maken autonome keuzes en bepalen zij zelf hoe zij cultuur op lokaal niveau ondersteunen. Een belangrijk hulpmiddel hierbij is het </w:t>
            </w:r>
            <w:hyperlink w:history="1" r:id="rId23">
              <w:r w:rsidRPr="00A406E2">
                <w:rPr>
                  <w:rStyle w:val="Hyperlink"/>
                  <w:sz w:val="24"/>
                  <w:szCs w:val="24"/>
                </w:rPr>
                <w:t>Ringenmodel van de Vereniging van Nederlandse Gemeenten</w:t>
              </w:r>
            </w:hyperlink>
            <w:r w:rsidRPr="00A406E2">
              <w:rPr>
                <w:sz w:val="24"/>
                <w:szCs w:val="24"/>
              </w:rPr>
              <w:t xml:space="preserve">. Rijk, provincies en gemeenten zijn in samenspel verantwoordelijk voor cultuurbeleid en culturele voorzieningen in Nederland, zoals vastgelegd in het </w:t>
            </w:r>
            <w:hyperlink w:history="1" r:id="rId24">
              <w:r w:rsidRPr="00A406E2">
                <w:rPr>
                  <w:rStyle w:val="Hyperlink"/>
                  <w:sz w:val="24"/>
                  <w:szCs w:val="24"/>
                </w:rPr>
                <w:t>Algemeen kader interbestuurlijke verhoudingen cultuur</w:t>
              </w:r>
            </w:hyperlink>
            <w:r w:rsidRPr="00A406E2">
              <w:rPr>
                <w:sz w:val="24"/>
                <w:szCs w:val="24"/>
              </w:rPr>
              <w:t>.</w:t>
            </w:r>
            <w:r w:rsidRPr="00A406E2" w:rsidR="00D84D3F">
              <w:rPr>
                <w:sz w:val="24"/>
                <w:szCs w:val="24"/>
              </w:rPr>
              <w:t xml:space="preserve"> </w:t>
            </w:r>
            <w:r w:rsidRPr="00A406E2">
              <w:rPr>
                <w:sz w:val="24"/>
                <w:szCs w:val="24"/>
              </w:rPr>
              <w:t>De landelijke culturele basisinfrastructuur omvat de 117 instellingen en zes Rijkscultuurfondsen die meerjarig worden gesubsidieerd door het Rijk in de periode 2025-2028.</w:t>
            </w:r>
          </w:p>
        </w:tc>
        <w:tc>
          <w:tcPr>
            <w:tcW w:w="850" w:type="dxa"/>
          </w:tcPr>
          <w:p w:rsidRPr="00A406E2" w:rsidR="00297A51" w:rsidP="00552EC0" w:rsidRDefault="00297A51" w14:paraId="4373E463" w14:textId="4E299D4C">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077114" w14:paraId="500D92CA" w14:textId="35F61832">
            <w:pPr>
              <w:jc w:val="right"/>
              <w:rPr>
                <w:sz w:val="24"/>
                <w:szCs w:val="24"/>
              </w:rPr>
            </w:pPr>
            <w:r w:rsidRPr="00A406E2">
              <w:rPr>
                <w:sz w:val="24"/>
                <w:szCs w:val="24"/>
              </w:rPr>
              <w:t>45</w:t>
            </w:r>
          </w:p>
        </w:tc>
        <w:tc>
          <w:tcPr>
            <w:tcW w:w="567" w:type="dxa"/>
          </w:tcPr>
          <w:p w:rsidRPr="00A406E2" w:rsidR="00297A51" w:rsidP="00552EC0" w:rsidRDefault="00297A51" w14:paraId="33C52DA5" w14:textId="2A081EBE">
            <w:pPr>
              <w:jc w:val="right"/>
              <w:rPr>
                <w:sz w:val="24"/>
                <w:szCs w:val="24"/>
              </w:rPr>
            </w:pPr>
            <w:r w:rsidRPr="00A406E2">
              <w:rPr>
                <w:sz w:val="24"/>
                <w:szCs w:val="24"/>
              </w:rPr>
              <w:t xml:space="preserve"> </w:t>
            </w:r>
          </w:p>
        </w:tc>
      </w:tr>
      <w:tr w:rsidRPr="00A406E2" w:rsidR="00297A51" w:rsidTr="00B90BBB" w14:paraId="7AF2008B" w14:textId="77777777">
        <w:tc>
          <w:tcPr>
            <w:tcW w:w="567" w:type="dxa"/>
          </w:tcPr>
          <w:p w:rsidRPr="00A406E2" w:rsidR="00297A51" w:rsidP="00552EC0" w:rsidRDefault="00297A51" w14:paraId="53D2672D" w14:textId="3F70B3F0">
            <w:pPr>
              <w:rPr>
                <w:sz w:val="24"/>
                <w:szCs w:val="24"/>
              </w:rPr>
            </w:pPr>
            <w:r w:rsidRPr="00A406E2">
              <w:rPr>
                <w:sz w:val="24"/>
                <w:szCs w:val="24"/>
              </w:rPr>
              <w:t>64</w:t>
            </w:r>
          </w:p>
        </w:tc>
        <w:tc>
          <w:tcPr>
            <w:tcW w:w="6521" w:type="dxa"/>
          </w:tcPr>
          <w:p w:rsidRPr="00A406E2" w:rsidR="00297A51" w:rsidP="00552EC0" w:rsidRDefault="00077114" w14:paraId="6B623C4A" w14:textId="77777777">
            <w:pPr>
              <w:rPr>
                <w:sz w:val="24"/>
                <w:szCs w:val="24"/>
              </w:rPr>
            </w:pPr>
            <w:r w:rsidRPr="00A406E2">
              <w:rPr>
                <w:sz w:val="24"/>
                <w:szCs w:val="24"/>
              </w:rPr>
              <w:t>Wat zijn de digitale stelseltaken van de Koninklijke Bibliotheek waarvoor structureel geëxtensiveerd wordt?</w:t>
            </w:r>
          </w:p>
          <w:p w:rsidRPr="00A406E2" w:rsidR="007A4491" w:rsidP="00552EC0" w:rsidRDefault="007A4491" w14:paraId="49CD0DAD" w14:textId="538CF10D">
            <w:pPr>
              <w:rPr>
                <w:sz w:val="24"/>
                <w:szCs w:val="24"/>
              </w:rPr>
            </w:pPr>
            <w:r w:rsidRPr="00A406E2">
              <w:rPr>
                <w:sz w:val="24"/>
                <w:szCs w:val="24"/>
              </w:rPr>
              <w:t>Zie het antwoord op vraag 65.</w:t>
            </w:r>
          </w:p>
        </w:tc>
        <w:tc>
          <w:tcPr>
            <w:tcW w:w="850" w:type="dxa"/>
          </w:tcPr>
          <w:p w:rsidRPr="00A406E2" w:rsidR="00297A51" w:rsidP="00552EC0" w:rsidRDefault="00297A51" w14:paraId="5A928801" w14:textId="63D2D50F">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077114" w14:paraId="42786641" w14:textId="189A3024">
            <w:pPr>
              <w:jc w:val="right"/>
              <w:rPr>
                <w:sz w:val="24"/>
                <w:szCs w:val="24"/>
              </w:rPr>
            </w:pPr>
            <w:r w:rsidRPr="00A406E2">
              <w:rPr>
                <w:sz w:val="24"/>
                <w:szCs w:val="24"/>
              </w:rPr>
              <w:t>46</w:t>
            </w:r>
          </w:p>
        </w:tc>
        <w:tc>
          <w:tcPr>
            <w:tcW w:w="567" w:type="dxa"/>
          </w:tcPr>
          <w:p w:rsidRPr="00A406E2" w:rsidR="00297A51" w:rsidP="00552EC0" w:rsidRDefault="00297A51" w14:paraId="1FF7A7ED" w14:textId="194128A7">
            <w:pPr>
              <w:jc w:val="right"/>
              <w:rPr>
                <w:sz w:val="24"/>
                <w:szCs w:val="24"/>
              </w:rPr>
            </w:pPr>
            <w:r w:rsidRPr="00A406E2">
              <w:rPr>
                <w:sz w:val="24"/>
                <w:szCs w:val="24"/>
              </w:rPr>
              <w:t xml:space="preserve"> </w:t>
            </w:r>
          </w:p>
        </w:tc>
      </w:tr>
      <w:tr w:rsidRPr="00A406E2" w:rsidR="00297A51" w:rsidTr="00B90BBB" w14:paraId="6D969381" w14:textId="77777777">
        <w:tc>
          <w:tcPr>
            <w:tcW w:w="567" w:type="dxa"/>
          </w:tcPr>
          <w:p w:rsidRPr="00A406E2" w:rsidR="00297A51" w:rsidP="00552EC0" w:rsidRDefault="00297A51" w14:paraId="310BBF58" w14:textId="4BD7F1B0">
            <w:pPr>
              <w:rPr>
                <w:sz w:val="24"/>
                <w:szCs w:val="24"/>
              </w:rPr>
            </w:pPr>
            <w:r w:rsidRPr="00A406E2">
              <w:rPr>
                <w:sz w:val="24"/>
                <w:szCs w:val="24"/>
              </w:rPr>
              <w:t>65</w:t>
            </w:r>
          </w:p>
        </w:tc>
        <w:tc>
          <w:tcPr>
            <w:tcW w:w="6521" w:type="dxa"/>
          </w:tcPr>
          <w:p w:rsidRPr="00A406E2" w:rsidR="00297A51" w:rsidP="00552EC0" w:rsidRDefault="00077114" w14:paraId="43634593" w14:textId="77777777">
            <w:pPr>
              <w:rPr>
                <w:sz w:val="24"/>
                <w:szCs w:val="24"/>
              </w:rPr>
            </w:pPr>
            <w:r w:rsidRPr="00A406E2">
              <w:rPr>
                <w:sz w:val="24"/>
                <w:szCs w:val="24"/>
              </w:rPr>
              <w:t>Kunt u expliciteren om welke (digitale) stelseltaken van de Koninklijke bibliotheek het gaat bij de structurele extensivering €3,2 miljoen op het budget en welke gevolgen dit heeft voor het bibliothekenstelsel, mede in het licht van de aankomende wetswijziging die juist de bibliotheken beoogt te versterken?</w:t>
            </w:r>
          </w:p>
          <w:p w:rsidRPr="00A406E2" w:rsidR="007A4491" w:rsidP="007A4491" w:rsidRDefault="007A4491" w14:paraId="5270E1C2" w14:textId="4F038567">
            <w:pPr>
              <w:rPr>
                <w:sz w:val="24"/>
                <w:szCs w:val="24"/>
              </w:rPr>
            </w:pPr>
            <w:r w:rsidRPr="00A406E2">
              <w:rPr>
                <w:sz w:val="24"/>
                <w:szCs w:val="24"/>
              </w:rPr>
              <w:t>Met (digitale) stelseltaken wordt gedoeld op de wettelijke taken die de Koninklijke Bibliotheek (KB) vervult voor het netwerk van openbare bibliotheken. De digitale stelseltaken betreffen het in stand houden van de landelijke digitale bibliotheek plus de digitale infrastructuur waar de bibliotheekpartijen gebruik van maken. Om de regie bij de KB te laten, wordt haar gevraagd met een eigen plan te komen om de extensivering op te vangen. Daarbij krijgt de KB de ruimte om ook te kijken naar andere taken die zij vervult voor het netwerk van openbare bibliotheken.</w:t>
            </w:r>
          </w:p>
          <w:p w:rsidRPr="00A406E2" w:rsidR="007A4491" w:rsidP="00552EC0" w:rsidRDefault="007A4491" w14:paraId="2AB86DB5" w14:textId="06A2DDFD">
            <w:pPr>
              <w:rPr>
                <w:sz w:val="24"/>
                <w:szCs w:val="24"/>
              </w:rPr>
            </w:pPr>
            <w:r w:rsidRPr="00A406E2">
              <w:rPr>
                <w:sz w:val="24"/>
                <w:szCs w:val="24"/>
              </w:rPr>
              <w:t>Deze extensivering heeft geen effect op</w:t>
            </w:r>
            <w:r w:rsidRPr="00A406E2" w:rsidR="008A4C8B">
              <w:rPr>
                <w:sz w:val="24"/>
                <w:szCs w:val="24"/>
              </w:rPr>
              <w:t xml:space="preserve"> de beoogde versterking van</w:t>
            </w:r>
            <w:r w:rsidRPr="00A406E2">
              <w:rPr>
                <w:sz w:val="24"/>
                <w:szCs w:val="24"/>
              </w:rPr>
              <w:t xml:space="preserve"> het bibliotheekstelsel, ook niet in het licht van de aankomende wetswijziging. De bedragen die gemoeid zijn met de invoering van </w:t>
            </w:r>
            <w:r w:rsidRPr="00A406E2" w:rsidR="008A4C8B">
              <w:rPr>
                <w:sz w:val="24"/>
                <w:szCs w:val="24"/>
              </w:rPr>
              <w:lastRenderedPageBreak/>
              <w:t>een wettelijke</w:t>
            </w:r>
            <w:r w:rsidRPr="00A406E2">
              <w:rPr>
                <w:sz w:val="24"/>
                <w:szCs w:val="24"/>
              </w:rPr>
              <w:t xml:space="preserve"> zorgplicht en het toezicht </w:t>
            </w:r>
            <w:r w:rsidRPr="00A406E2" w:rsidR="008A4C8B">
              <w:rPr>
                <w:sz w:val="24"/>
                <w:szCs w:val="24"/>
              </w:rPr>
              <w:t xml:space="preserve">hierop </w:t>
            </w:r>
            <w:r w:rsidRPr="00A406E2">
              <w:rPr>
                <w:sz w:val="24"/>
                <w:szCs w:val="24"/>
              </w:rPr>
              <w:t>voor gemeenten, provincies en openbare lichamen in zowel Europees als Caribisch Nederland staan gereserveerd op de begroting van OCW.</w:t>
            </w:r>
          </w:p>
        </w:tc>
        <w:tc>
          <w:tcPr>
            <w:tcW w:w="850" w:type="dxa"/>
          </w:tcPr>
          <w:p w:rsidRPr="00A406E2" w:rsidR="00297A51" w:rsidP="00552EC0" w:rsidRDefault="00297A51" w14:paraId="00559153" w14:textId="61881E6E">
            <w:pPr>
              <w:jc w:val="right"/>
              <w:rPr>
                <w:sz w:val="24"/>
                <w:szCs w:val="24"/>
              </w:rPr>
            </w:pPr>
            <w:r w:rsidRPr="00A406E2">
              <w:rPr>
                <w:sz w:val="24"/>
                <w:szCs w:val="24"/>
              </w:rPr>
              <w:lastRenderedPageBreak/>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1B3332" w14:paraId="6DB4C516" w14:textId="48CF3B96">
            <w:pPr>
              <w:jc w:val="right"/>
              <w:rPr>
                <w:sz w:val="24"/>
                <w:szCs w:val="24"/>
              </w:rPr>
            </w:pPr>
            <w:r w:rsidRPr="00A406E2">
              <w:rPr>
                <w:sz w:val="24"/>
                <w:szCs w:val="24"/>
              </w:rPr>
              <w:t>46</w:t>
            </w:r>
          </w:p>
        </w:tc>
        <w:tc>
          <w:tcPr>
            <w:tcW w:w="567" w:type="dxa"/>
          </w:tcPr>
          <w:p w:rsidRPr="00A406E2" w:rsidR="00297A51" w:rsidP="00552EC0" w:rsidRDefault="00297A51" w14:paraId="4AF9D614" w14:textId="62D6AF1E">
            <w:pPr>
              <w:jc w:val="right"/>
              <w:rPr>
                <w:sz w:val="24"/>
                <w:szCs w:val="24"/>
              </w:rPr>
            </w:pPr>
            <w:r w:rsidRPr="00A406E2">
              <w:rPr>
                <w:sz w:val="24"/>
                <w:szCs w:val="24"/>
              </w:rPr>
              <w:t xml:space="preserve"> </w:t>
            </w:r>
          </w:p>
        </w:tc>
      </w:tr>
      <w:tr w:rsidRPr="00A406E2" w:rsidR="00297A51" w:rsidTr="00B90BBB" w14:paraId="38B26135" w14:textId="77777777">
        <w:tc>
          <w:tcPr>
            <w:tcW w:w="567" w:type="dxa"/>
          </w:tcPr>
          <w:p w:rsidRPr="00A406E2" w:rsidR="00297A51" w:rsidP="00552EC0" w:rsidRDefault="00297A51" w14:paraId="44A5BEB0" w14:textId="14A9E2D6">
            <w:pPr>
              <w:rPr>
                <w:sz w:val="24"/>
                <w:szCs w:val="24"/>
              </w:rPr>
            </w:pPr>
            <w:r w:rsidRPr="00A406E2">
              <w:rPr>
                <w:sz w:val="24"/>
                <w:szCs w:val="24"/>
              </w:rPr>
              <w:t>66</w:t>
            </w:r>
          </w:p>
        </w:tc>
        <w:tc>
          <w:tcPr>
            <w:tcW w:w="6521" w:type="dxa"/>
          </w:tcPr>
          <w:p w:rsidRPr="00A406E2" w:rsidR="00297A51" w:rsidP="00552EC0" w:rsidRDefault="00077114" w14:paraId="60A2EF58" w14:textId="77777777">
            <w:pPr>
              <w:rPr>
                <w:sz w:val="24"/>
                <w:szCs w:val="24"/>
              </w:rPr>
            </w:pPr>
            <w:r w:rsidRPr="00A406E2">
              <w:rPr>
                <w:sz w:val="24"/>
                <w:szCs w:val="24"/>
              </w:rPr>
              <w:t>Kunt u puntsgewijs uiteenzetten in hoeverre deze en voorafgaande regeringen gehoor hebben gegeven aan de adviezen Beter geven I, II en III van de commissie-</w:t>
            </w:r>
            <w:proofErr w:type="spellStart"/>
            <w:r w:rsidRPr="00A406E2">
              <w:rPr>
                <w:sz w:val="24"/>
                <w:szCs w:val="24"/>
              </w:rPr>
              <w:t>Rinnooy</w:t>
            </w:r>
            <w:proofErr w:type="spellEnd"/>
            <w:r w:rsidRPr="00A406E2">
              <w:rPr>
                <w:sz w:val="24"/>
                <w:szCs w:val="24"/>
              </w:rPr>
              <w:t xml:space="preserve"> Kan en wat dit kwantitatief heeft betekend voor de budgetten die er in Nederland voor cultuur en voor culturele instellingen beschikbaar zijn?</w:t>
            </w:r>
          </w:p>
          <w:p w:rsidRPr="00A406E2" w:rsidR="0006289E" w:rsidP="00552EC0" w:rsidRDefault="0006289E" w14:paraId="25914579" w14:textId="312ADB13">
            <w:pPr>
              <w:rPr>
                <w:sz w:val="24"/>
                <w:szCs w:val="24"/>
              </w:rPr>
            </w:pPr>
            <w:r w:rsidRPr="00A406E2">
              <w:rPr>
                <w:sz w:val="24"/>
                <w:szCs w:val="24"/>
              </w:rPr>
              <w:t xml:space="preserve">De adviezen uit Beter Geven I zijn grotendeels overgenomen in de geldende regelgeving. De adviezen uit Beter Geven II zijn door het </w:t>
            </w:r>
            <w:r w:rsidRPr="00A406E2" w:rsidR="00F41CFA">
              <w:rPr>
                <w:sz w:val="24"/>
                <w:szCs w:val="24"/>
              </w:rPr>
              <w:t>m</w:t>
            </w:r>
            <w:r w:rsidRPr="00A406E2">
              <w:rPr>
                <w:sz w:val="24"/>
                <w:szCs w:val="24"/>
              </w:rPr>
              <w:t xml:space="preserve">inisterie van Financiën met de sector besproken. Een inhoudelijke reactie op het advies Beter Geven III zal naar verwachting voor de zomer door de Staatssecretaris van Financiën, die verantwoordelijk is voor de giftenaftrek en het ANBI-stelsel, met </w:t>
            </w:r>
            <w:r w:rsidRPr="00A406E2" w:rsidR="000F6F0A">
              <w:rPr>
                <w:sz w:val="24"/>
                <w:szCs w:val="24"/>
              </w:rPr>
              <w:t>uw</w:t>
            </w:r>
            <w:r w:rsidRPr="00A406E2">
              <w:rPr>
                <w:sz w:val="24"/>
                <w:szCs w:val="24"/>
              </w:rPr>
              <w:t xml:space="preserve"> Kamer worden gedeeld. Het effect van aanpassingen in de relevante wetgeving laat zich niet eenduidig isoleren. Het geefgedrag van particulieren en bedrijven wordt mede beïnvloed door andere factoren, zoals de algemene economische situatie, geopolitieke ontwikkelingen en de overheidsuitgaven. Uit </w:t>
            </w:r>
            <w:hyperlink w:history="1" r:id="rId25">
              <w:r w:rsidRPr="00A406E2">
                <w:rPr>
                  <w:rStyle w:val="Hyperlink"/>
                  <w:sz w:val="24"/>
                  <w:szCs w:val="24"/>
                </w:rPr>
                <w:t xml:space="preserve">onderzoek van Bekkers, Koolen-Maas &amp; </w:t>
              </w:r>
              <w:proofErr w:type="spellStart"/>
              <w:r w:rsidRPr="00A406E2">
                <w:rPr>
                  <w:rStyle w:val="Hyperlink"/>
                  <w:sz w:val="24"/>
                  <w:szCs w:val="24"/>
                </w:rPr>
                <w:t>Schuyt</w:t>
              </w:r>
              <w:proofErr w:type="spellEnd"/>
              <w:r w:rsidRPr="00A406E2">
                <w:rPr>
                  <w:rStyle w:val="Hyperlink"/>
                  <w:sz w:val="24"/>
                  <w:szCs w:val="24"/>
                </w:rPr>
                <w:t xml:space="preserve"> (2024)</w:t>
              </w:r>
            </w:hyperlink>
            <w:r w:rsidRPr="00A406E2">
              <w:rPr>
                <w:sz w:val="24"/>
                <w:szCs w:val="24"/>
              </w:rPr>
              <w:t xml:space="preserve"> blijkt wel dat de bijdragen van bedrijven, huishoudens en nalatenschappen aan cultuur sinds de invoering van de </w:t>
            </w:r>
            <w:proofErr w:type="spellStart"/>
            <w:r w:rsidRPr="00A406E2">
              <w:rPr>
                <w:sz w:val="24"/>
                <w:szCs w:val="24"/>
              </w:rPr>
              <w:t>Geefwet</w:t>
            </w:r>
            <w:proofErr w:type="spellEnd"/>
            <w:r w:rsidRPr="00A406E2">
              <w:rPr>
                <w:sz w:val="24"/>
                <w:szCs w:val="24"/>
              </w:rPr>
              <w:t xml:space="preserve"> (2011) zijn toegenomen.</w:t>
            </w:r>
          </w:p>
        </w:tc>
        <w:tc>
          <w:tcPr>
            <w:tcW w:w="850" w:type="dxa"/>
          </w:tcPr>
          <w:p w:rsidRPr="00A406E2" w:rsidR="00297A51" w:rsidP="00552EC0" w:rsidRDefault="00297A51" w14:paraId="5122FD23" w14:textId="0B62DF9F">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4655FACF" w14:textId="36F07212">
            <w:pPr>
              <w:jc w:val="right"/>
              <w:rPr>
                <w:sz w:val="24"/>
                <w:szCs w:val="24"/>
              </w:rPr>
            </w:pPr>
            <w:r w:rsidRPr="00A406E2">
              <w:rPr>
                <w:sz w:val="24"/>
                <w:szCs w:val="24"/>
              </w:rPr>
              <w:t>46</w:t>
            </w:r>
          </w:p>
        </w:tc>
        <w:tc>
          <w:tcPr>
            <w:tcW w:w="567" w:type="dxa"/>
          </w:tcPr>
          <w:p w:rsidRPr="00A406E2" w:rsidR="00297A51" w:rsidP="00552EC0" w:rsidRDefault="00297A51" w14:paraId="6B83C1E5" w14:textId="7154D1BD">
            <w:pPr>
              <w:jc w:val="right"/>
              <w:rPr>
                <w:sz w:val="24"/>
                <w:szCs w:val="24"/>
              </w:rPr>
            </w:pPr>
            <w:r w:rsidRPr="00A406E2">
              <w:rPr>
                <w:sz w:val="24"/>
                <w:szCs w:val="24"/>
              </w:rPr>
              <w:t xml:space="preserve"> </w:t>
            </w:r>
          </w:p>
        </w:tc>
      </w:tr>
      <w:tr w:rsidRPr="00A406E2" w:rsidR="00297A51" w:rsidTr="00B90BBB" w14:paraId="2F8D07D5" w14:textId="77777777">
        <w:tc>
          <w:tcPr>
            <w:tcW w:w="567" w:type="dxa"/>
          </w:tcPr>
          <w:p w:rsidRPr="00A406E2" w:rsidR="00297A51" w:rsidP="00552EC0" w:rsidRDefault="00297A51" w14:paraId="2E480133" w14:textId="653D3D35">
            <w:pPr>
              <w:rPr>
                <w:sz w:val="24"/>
                <w:szCs w:val="24"/>
              </w:rPr>
            </w:pPr>
            <w:r w:rsidRPr="00A406E2">
              <w:rPr>
                <w:sz w:val="24"/>
                <w:szCs w:val="24"/>
              </w:rPr>
              <w:t>67</w:t>
            </w:r>
          </w:p>
        </w:tc>
        <w:tc>
          <w:tcPr>
            <w:tcW w:w="6521" w:type="dxa"/>
          </w:tcPr>
          <w:p w:rsidRPr="00A406E2" w:rsidR="00297A51" w:rsidP="00552EC0" w:rsidRDefault="00077114" w14:paraId="77912929" w14:textId="77777777">
            <w:pPr>
              <w:rPr>
                <w:sz w:val="24"/>
                <w:szCs w:val="24"/>
              </w:rPr>
            </w:pPr>
            <w:r w:rsidRPr="00A406E2">
              <w:rPr>
                <w:sz w:val="24"/>
                <w:szCs w:val="24"/>
              </w:rPr>
              <w:t xml:space="preserve">In hoeverre kan het u lukken om in de culturele en creatieve sector werkverschaffers en opdrachtgevers te bewegen om voor zzp'ers en andere makers de </w:t>
            </w:r>
            <w:proofErr w:type="spellStart"/>
            <w:r w:rsidRPr="00A406E2">
              <w:rPr>
                <w:sz w:val="24"/>
                <w:szCs w:val="24"/>
              </w:rPr>
              <w:t>fairpayrichtlijnen</w:t>
            </w:r>
            <w:proofErr w:type="spellEnd"/>
            <w:r w:rsidRPr="00A406E2">
              <w:rPr>
                <w:sz w:val="24"/>
                <w:szCs w:val="24"/>
              </w:rPr>
              <w:t xml:space="preserve"> te volgen, zoals de Tweede Kamer met het aannemen van de motie van de leden </w:t>
            </w:r>
            <w:proofErr w:type="spellStart"/>
            <w:r w:rsidRPr="00A406E2">
              <w:rPr>
                <w:sz w:val="24"/>
                <w:szCs w:val="24"/>
              </w:rPr>
              <w:t>Mohandis</w:t>
            </w:r>
            <w:proofErr w:type="spellEnd"/>
            <w:r w:rsidRPr="00A406E2">
              <w:rPr>
                <w:sz w:val="24"/>
                <w:szCs w:val="24"/>
              </w:rPr>
              <w:t xml:space="preserve"> en Koops</w:t>
            </w:r>
            <w:r w:rsidRPr="00A406E2">
              <w:rPr>
                <w:rStyle w:val="Voetnootmarkering"/>
                <w:sz w:val="24"/>
                <w:szCs w:val="24"/>
              </w:rPr>
              <w:footnoteReference w:id="5"/>
            </w:r>
            <w:r w:rsidRPr="00A406E2">
              <w:rPr>
                <w:sz w:val="24"/>
                <w:szCs w:val="24"/>
              </w:rPr>
              <w:t xml:space="preserve"> heeft gevraagd, zonder dat dit in de wet of in een bindend convenant is vastgelegd?</w:t>
            </w:r>
          </w:p>
          <w:p w:rsidRPr="00A406E2" w:rsidR="00577979" w:rsidP="00552EC0" w:rsidRDefault="00577979" w14:paraId="1B62DE4B" w14:textId="5423292A">
            <w:pPr>
              <w:rPr>
                <w:sz w:val="24"/>
                <w:szCs w:val="24"/>
              </w:rPr>
            </w:pPr>
            <w:r w:rsidRPr="00A406E2">
              <w:rPr>
                <w:sz w:val="24"/>
                <w:szCs w:val="24"/>
              </w:rPr>
              <w:t xml:space="preserve">In de </w:t>
            </w:r>
            <w:hyperlink w:history="1" r:id="rId26">
              <w:r w:rsidRPr="00A406E2">
                <w:rPr>
                  <w:rStyle w:val="Hyperlink"/>
                  <w:sz w:val="24"/>
                  <w:szCs w:val="24"/>
                </w:rPr>
                <w:t>Kamerbrief Stand van zaken moties en toezeggingen cultuur</w:t>
              </w:r>
            </w:hyperlink>
            <w:r w:rsidRPr="00A406E2">
              <w:rPr>
                <w:sz w:val="24"/>
                <w:szCs w:val="24"/>
              </w:rPr>
              <w:t xml:space="preserve"> is aangegeven dat een ambtelijke verkenning is gestart, waarbij in gesprekken met het culturele en creatieve veld de verschillende mogelijkheden </w:t>
            </w:r>
            <w:r w:rsidRPr="00A406E2" w:rsidR="00F41CFA">
              <w:rPr>
                <w:sz w:val="24"/>
                <w:szCs w:val="24"/>
              </w:rPr>
              <w:t>worden besproken</w:t>
            </w:r>
            <w:r w:rsidRPr="00A406E2">
              <w:rPr>
                <w:sz w:val="24"/>
                <w:szCs w:val="24"/>
              </w:rPr>
              <w:t xml:space="preserve"> waarmee werkverschaffers en opdrachtgevers kunnen worden bewogen tot het volgen van de richtlijnen fair </w:t>
            </w:r>
            <w:proofErr w:type="spellStart"/>
            <w:r w:rsidRPr="00A406E2">
              <w:rPr>
                <w:sz w:val="24"/>
                <w:szCs w:val="24"/>
              </w:rPr>
              <w:t>pay</w:t>
            </w:r>
            <w:proofErr w:type="spellEnd"/>
            <w:r w:rsidRPr="00A406E2">
              <w:rPr>
                <w:sz w:val="24"/>
                <w:szCs w:val="24"/>
              </w:rPr>
              <w:t xml:space="preserve">. Zoals in dezelfde brief is gemeld wordt </w:t>
            </w:r>
            <w:r w:rsidRPr="00A406E2" w:rsidR="000F6F0A">
              <w:rPr>
                <w:sz w:val="24"/>
                <w:szCs w:val="24"/>
              </w:rPr>
              <w:t>uw</w:t>
            </w:r>
            <w:r w:rsidRPr="00A406E2">
              <w:rPr>
                <w:sz w:val="24"/>
                <w:szCs w:val="24"/>
              </w:rPr>
              <w:t xml:space="preserve"> Kamer in het najaar van 2026 geïnformeerd over de uitkomsten van deze verkenning.</w:t>
            </w:r>
          </w:p>
        </w:tc>
        <w:tc>
          <w:tcPr>
            <w:tcW w:w="850" w:type="dxa"/>
          </w:tcPr>
          <w:p w:rsidRPr="00A406E2" w:rsidR="00297A51" w:rsidP="00552EC0" w:rsidRDefault="00297A51" w14:paraId="3AF691C7" w14:textId="767584A8">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2043516B" w14:textId="624F78A5">
            <w:pPr>
              <w:jc w:val="right"/>
              <w:rPr>
                <w:sz w:val="24"/>
                <w:szCs w:val="24"/>
              </w:rPr>
            </w:pPr>
            <w:r w:rsidRPr="00A406E2">
              <w:rPr>
                <w:sz w:val="24"/>
                <w:szCs w:val="24"/>
              </w:rPr>
              <w:t>46</w:t>
            </w:r>
          </w:p>
        </w:tc>
        <w:tc>
          <w:tcPr>
            <w:tcW w:w="567" w:type="dxa"/>
          </w:tcPr>
          <w:p w:rsidRPr="00A406E2" w:rsidR="00297A51" w:rsidP="00552EC0" w:rsidRDefault="00297A51" w14:paraId="51972C58" w14:textId="719772B2">
            <w:pPr>
              <w:jc w:val="right"/>
              <w:rPr>
                <w:sz w:val="24"/>
                <w:szCs w:val="24"/>
              </w:rPr>
            </w:pPr>
            <w:r w:rsidRPr="00A406E2">
              <w:rPr>
                <w:sz w:val="24"/>
                <w:szCs w:val="24"/>
              </w:rPr>
              <w:t xml:space="preserve"> </w:t>
            </w:r>
          </w:p>
        </w:tc>
      </w:tr>
      <w:tr w:rsidRPr="00A406E2" w:rsidR="00297A51" w:rsidTr="00B90BBB" w14:paraId="590C0DB4" w14:textId="77777777">
        <w:tc>
          <w:tcPr>
            <w:tcW w:w="567" w:type="dxa"/>
          </w:tcPr>
          <w:p w:rsidRPr="00A406E2" w:rsidR="00297A51" w:rsidP="00552EC0" w:rsidRDefault="00297A51" w14:paraId="50724461" w14:textId="42FFB34A">
            <w:pPr>
              <w:rPr>
                <w:sz w:val="24"/>
                <w:szCs w:val="24"/>
              </w:rPr>
            </w:pPr>
            <w:r w:rsidRPr="00A406E2">
              <w:rPr>
                <w:sz w:val="24"/>
                <w:szCs w:val="24"/>
              </w:rPr>
              <w:t>68</w:t>
            </w:r>
          </w:p>
        </w:tc>
        <w:tc>
          <w:tcPr>
            <w:tcW w:w="6521" w:type="dxa"/>
          </w:tcPr>
          <w:p w:rsidRPr="00A406E2" w:rsidR="00297A51" w:rsidP="00552EC0" w:rsidRDefault="00077114" w14:paraId="108D81FD" w14:textId="58F0B5A9">
            <w:pPr>
              <w:rPr>
                <w:sz w:val="24"/>
                <w:szCs w:val="24"/>
              </w:rPr>
            </w:pPr>
            <w:r w:rsidRPr="00A406E2">
              <w:rPr>
                <w:sz w:val="24"/>
                <w:szCs w:val="24"/>
              </w:rPr>
              <w:t>Welke mogelijkheden ziet u om naar analogie met de subsidieregeling Stimulering bouw en onderhoud van sportaccommodaties (BOSA) te werken aan de verduurzaming van cultuuraccom</w:t>
            </w:r>
            <w:r w:rsidRPr="00A406E2" w:rsidR="000F6F0A">
              <w:rPr>
                <w:sz w:val="24"/>
                <w:szCs w:val="24"/>
              </w:rPr>
              <w:t>m</w:t>
            </w:r>
            <w:r w:rsidRPr="00A406E2">
              <w:rPr>
                <w:sz w:val="24"/>
                <w:szCs w:val="24"/>
              </w:rPr>
              <w:t>odaties?</w:t>
            </w:r>
          </w:p>
          <w:p w:rsidRPr="00A406E2" w:rsidR="009A2D68" w:rsidP="00552EC0" w:rsidRDefault="009A2D68" w14:paraId="4AB61A73" w14:textId="213D3D07">
            <w:pPr>
              <w:rPr>
                <w:sz w:val="24"/>
                <w:szCs w:val="24"/>
              </w:rPr>
            </w:pPr>
            <w:r w:rsidRPr="00A406E2">
              <w:rPr>
                <w:sz w:val="24"/>
                <w:szCs w:val="24"/>
              </w:rPr>
              <w:t>Voor de verduurzaming van cultuuraccom</w:t>
            </w:r>
            <w:r w:rsidRPr="00A406E2" w:rsidR="000F6F0A">
              <w:rPr>
                <w:sz w:val="24"/>
                <w:szCs w:val="24"/>
              </w:rPr>
              <w:t>m</w:t>
            </w:r>
            <w:r w:rsidRPr="00A406E2">
              <w:rPr>
                <w:sz w:val="24"/>
                <w:szCs w:val="24"/>
              </w:rPr>
              <w:t>odaties is de Subsidieregeling Verduurzaming Maatschappelijk Vastgoed (DUMAVA) beschikbaar. Hier maken culturele organisaties gebruik van, maar ook gemeenten indien ze eigenaar zijn van de desbetreffende cultuuraccom</w:t>
            </w:r>
            <w:r w:rsidRPr="00A406E2" w:rsidR="000F6F0A">
              <w:rPr>
                <w:sz w:val="24"/>
                <w:szCs w:val="24"/>
              </w:rPr>
              <w:t>m</w:t>
            </w:r>
            <w:r w:rsidRPr="00A406E2">
              <w:rPr>
                <w:sz w:val="24"/>
                <w:szCs w:val="24"/>
              </w:rPr>
              <w:t>odatie.</w:t>
            </w:r>
          </w:p>
        </w:tc>
        <w:tc>
          <w:tcPr>
            <w:tcW w:w="850" w:type="dxa"/>
          </w:tcPr>
          <w:p w:rsidRPr="00A406E2" w:rsidR="00297A51" w:rsidP="00552EC0" w:rsidRDefault="00297A51" w14:paraId="4721861E" w14:textId="52C719CA">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6C230CA8" w14:textId="0194923B">
            <w:pPr>
              <w:jc w:val="right"/>
              <w:rPr>
                <w:sz w:val="24"/>
                <w:szCs w:val="24"/>
              </w:rPr>
            </w:pPr>
            <w:r w:rsidRPr="00A406E2">
              <w:rPr>
                <w:sz w:val="24"/>
                <w:szCs w:val="24"/>
              </w:rPr>
              <w:t>46</w:t>
            </w:r>
          </w:p>
        </w:tc>
        <w:tc>
          <w:tcPr>
            <w:tcW w:w="567" w:type="dxa"/>
          </w:tcPr>
          <w:p w:rsidRPr="00A406E2" w:rsidR="00297A51" w:rsidP="00552EC0" w:rsidRDefault="00297A51" w14:paraId="17A9681E" w14:textId="7EDB8CBB">
            <w:pPr>
              <w:jc w:val="right"/>
              <w:rPr>
                <w:sz w:val="24"/>
                <w:szCs w:val="24"/>
              </w:rPr>
            </w:pPr>
            <w:r w:rsidRPr="00A406E2">
              <w:rPr>
                <w:sz w:val="24"/>
                <w:szCs w:val="24"/>
              </w:rPr>
              <w:t xml:space="preserve"> </w:t>
            </w:r>
          </w:p>
        </w:tc>
      </w:tr>
      <w:tr w:rsidRPr="00A406E2" w:rsidR="00297A51" w:rsidTr="00B90BBB" w14:paraId="38362379" w14:textId="77777777">
        <w:tc>
          <w:tcPr>
            <w:tcW w:w="567" w:type="dxa"/>
          </w:tcPr>
          <w:p w:rsidRPr="00A406E2" w:rsidR="00297A51" w:rsidP="00552EC0" w:rsidRDefault="00297A51" w14:paraId="3E76A52E" w14:textId="6ECFCC9A">
            <w:pPr>
              <w:rPr>
                <w:sz w:val="24"/>
                <w:szCs w:val="24"/>
              </w:rPr>
            </w:pPr>
            <w:r w:rsidRPr="00A406E2">
              <w:rPr>
                <w:sz w:val="24"/>
                <w:szCs w:val="24"/>
              </w:rPr>
              <w:lastRenderedPageBreak/>
              <w:t>69</w:t>
            </w:r>
          </w:p>
        </w:tc>
        <w:tc>
          <w:tcPr>
            <w:tcW w:w="6521" w:type="dxa"/>
          </w:tcPr>
          <w:p w:rsidRPr="00A406E2" w:rsidR="00297A51" w:rsidP="00552EC0" w:rsidRDefault="00077114" w14:paraId="4326EF59" w14:textId="77777777">
            <w:pPr>
              <w:rPr>
                <w:sz w:val="24"/>
                <w:szCs w:val="24"/>
              </w:rPr>
            </w:pPr>
            <w:r w:rsidRPr="00A406E2">
              <w:rPr>
                <w:sz w:val="24"/>
                <w:szCs w:val="24"/>
              </w:rPr>
              <w:t>Welke rol spelen bevolkingsaantal, culturele infrastructuur en regionale behoeften op dit moment bij de verdeelsleutel voor kunst- en cultuursubsidies tussen het Rijk, provincies en gemeenten?</w:t>
            </w:r>
          </w:p>
          <w:p w:rsidRPr="00A406E2" w:rsidR="009A2D68" w:rsidP="00552EC0" w:rsidRDefault="009A2D68" w14:paraId="68ABBA0A" w14:textId="13DB3963">
            <w:pPr>
              <w:rPr>
                <w:sz w:val="24"/>
                <w:szCs w:val="24"/>
              </w:rPr>
            </w:pPr>
            <w:r w:rsidRPr="00A406E2">
              <w:rPr>
                <w:sz w:val="24"/>
                <w:szCs w:val="24"/>
              </w:rPr>
              <w:t>Er is geen sprake van een verdeelsleutel voor cultuursubsidies tussen het Rijk en gemeenten en provincies. Gemeenten ontvangen financiering voor hun taken via het gemeentefonds en provincies via het provinciefonds. In de systematiek wordt rekening gehouden met diverse objectieve kenmerken, waaronder</w:t>
            </w:r>
            <w:r w:rsidRPr="00A406E2" w:rsidR="000F6F0A">
              <w:rPr>
                <w:sz w:val="24"/>
                <w:szCs w:val="24"/>
              </w:rPr>
              <w:t xml:space="preserve"> het</w:t>
            </w:r>
            <w:r w:rsidRPr="00A406E2">
              <w:rPr>
                <w:sz w:val="24"/>
                <w:szCs w:val="24"/>
              </w:rPr>
              <w:t xml:space="preserve"> inwoneraantal. De middelen uit het gemeente- en provinciefonds zijn vrij besteedbaar. Gemeenten en provincies maken zelfstandig keuzes hoe ze de middelen inzetten en leggen hiervoor verantwoording af aan de gemeenteraad dan wel de Provinciale Staten.</w:t>
            </w:r>
          </w:p>
        </w:tc>
        <w:tc>
          <w:tcPr>
            <w:tcW w:w="850" w:type="dxa"/>
          </w:tcPr>
          <w:p w:rsidRPr="00A406E2" w:rsidR="00297A51" w:rsidP="00552EC0" w:rsidRDefault="00297A51" w14:paraId="1F0CF3CB" w14:textId="3CA09880">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4EF16446" w14:textId="46311E53">
            <w:pPr>
              <w:jc w:val="right"/>
              <w:rPr>
                <w:sz w:val="24"/>
                <w:szCs w:val="24"/>
              </w:rPr>
            </w:pPr>
            <w:r w:rsidRPr="00A406E2">
              <w:rPr>
                <w:sz w:val="24"/>
                <w:szCs w:val="24"/>
              </w:rPr>
              <w:t>46</w:t>
            </w:r>
          </w:p>
        </w:tc>
        <w:tc>
          <w:tcPr>
            <w:tcW w:w="567" w:type="dxa"/>
          </w:tcPr>
          <w:p w:rsidRPr="00A406E2" w:rsidR="00297A51" w:rsidP="00552EC0" w:rsidRDefault="00297A51" w14:paraId="1DA0ADBE" w14:textId="76846E38">
            <w:pPr>
              <w:jc w:val="right"/>
              <w:rPr>
                <w:sz w:val="24"/>
                <w:szCs w:val="24"/>
              </w:rPr>
            </w:pPr>
            <w:r w:rsidRPr="00A406E2">
              <w:rPr>
                <w:sz w:val="24"/>
                <w:szCs w:val="24"/>
              </w:rPr>
              <w:t xml:space="preserve"> </w:t>
            </w:r>
          </w:p>
        </w:tc>
      </w:tr>
      <w:tr w:rsidRPr="00A406E2" w:rsidR="00297A51" w:rsidTr="00B90BBB" w14:paraId="397DCF87" w14:textId="77777777">
        <w:tc>
          <w:tcPr>
            <w:tcW w:w="567" w:type="dxa"/>
          </w:tcPr>
          <w:p w:rsidRPr="00A406E2" w:rsidR="00297A51" w:rsidP="00552EC0" w:rsidRDefault="00297A51" w14:paraId="0FFB9D72" w14:textId="6E764FBE">
            <w:pPr>
              <w:rPr>
                <w:sz w:val="24"/>
                <w:szCs w:val="24"/>
              </w:rPr>
            </w:pPr>
            <w:r w:rsidRPr="00A406E2">
              <w:rPr>
                <w:sz w:val="24"/>
                <w:szCs w:val="24"/>
              </w:rPr>
              <w:t>70</w:t>
            </w:r>
          </w:p>
        </w:tc>
        <w:tc>
          <w:tcPr>
            <w:tcW w:w="6521" w:type="dxa"/>
          </w:tcPr>
          <w:p w:rsidRPr="00A406E2" w:rsidR="00297A51" w:rsidP="00552EC0" w:rsidRDefault="00077114" w14:paraId="0C11018E" w14:textId="77777777">
            <w:pPr>
              <w:rPr>
                <w:sz w:val="24"/>
                <w:szCs w:val="24"/>
              </w:rPr>
            </w:pPr>
            <w:r w:rsidRPr="00A406E2">
              <w:rPr>
                <w:sz w:val="24"/>
                <w:szCs w:val="24"/>
              </w:rPr>
              <w:t>Hoeveel gemeenten beschikken wel en hoeveel gemeenten beschikken niet in tenminste één openbare bibliotheek over een Informatiepunt Digitale Overheid (IDO) en welke instelling bekostigt deze voorziening?</w:t>
            </w:r>
          </w:p>
          <w:p w:rsidRPr="00A406E2" w:rsidR="007A4491" w:rsidP="00552EC0" w:rsidRDefault="00DD26FA" w14:paraId="42D3D2A4" w14:textId="329BA597">
            <w:pPr>
              <w:rPr>
                <w:sz w:val="24"/>
                <w:szCs w:val="24"/>
              </w:rPr>
            </w:pPr>
            <w:r w:rsidRPr="00A406E2">
              <w:rPr>
                <w:sz w:val="24"/>
                <w:szCs w:val="24"/>
              </w:rPr>
              <w:t xml:space="preserve">Er zijn op dit moment 844 </w:t>
            </w:r>
            <w:proofErr w:type="spellStart"/>
            <w:r w:rsidRPr="00A406E2">
              <w:rPr>
                <w:sz w:val="24"/>
                <w:szCs w:val="24"/>
              </w:rPr>
              <w:t>IDO’s</w:t>
            </w:r>
            <w:proofErr w:type="spellEnd"/>
            <w:r w:rsidRPr="00A406E2">
              <w:rPr>
                <w:sz w:val="24"/>
                <w:szCs w:val="24"/>
              </w:rPr>
              <w:t xml:space="preserve">, waarvan 758 in een bibliotheek (Bibliotheekmonitor, Q1 2026). Nagenoeg alle 342 Nederlandse gemeenten beschikken over tenminste één Informatiepunt Digitale Overheid; minder dan vijf gemeenten hebben er momenteel geen. Het ministerie van BZK is financieel en beleidsmatig verantwoordelijk voor de </w:t>
            </w:r>
            <w:proofErr w:type="spellStart"/>
            <w:r w:rsidRPr="00A406E2">
              <w:rPr>
                <w:sz w:val="24"/>
                <w:szCs w:val="24"/>
              </w:rPr>
              <w:t>IDO’s</w:t>
            </w:r>
            <w:proofErr w:type="spellEnd"/>
            <w:r w:rsidRPr="00A406E2">
              <w:rPr>
                <w:sz w:val="24"/>
                <w:szCs w:val="24"/>
              </w:rPr>
              <w:t xml:space="preserve">. Tot 2026 liep de financiering via een </w:t>
            </w:r>
            <w:r w:rsidRPr="00A406E2" w:rsidR="00F73959">
              <w:rPr>
                <w:sz w:val="24"/>
                <w:szCs w:val="24"/>
              </w:rPr>
              <w:t xml:space="preserve">specifieke uitkering </w:t>
            </w:r>
            <w:r w:rsidRPr="00A406E2">
              <w:rPr>
                <w:sz w:val="24"/>
                <w:szCs w:val="24"/>
              </w:rPr>
              <w:t xml:space="preserve">aan gemeenten en vanaf januari dit jaar loopt de financiering via een decentralisatie-uitkering aan gemeenten. </w:t>
            </w:r>
          </w:p>
        </w:tc>
        <w:tc>
          <w:tcPr>
            <w:tcW w:w="850" w:type="dxa"/>
          </w:tcPr>
          <w:p w:rsidRPr="00A406E2" w:rsidR="00297A51" w:rsidP="00552EC0" w:rsidRDefault="00297A51" w14:paraId="5344A835" w14:textId="4AF7EC2E">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0BF5CFCD" w14:textId="599442D3">
            <w:pPr>
              <w:jc w:val="right"/>
              <w:rPr>
                <w:sz w:val="24"/>
                <w:szCs w:val="24"/>
              </w:rPr>
            </w:pPr>
            <w:r w:rsidRPr="00A406E2">
              <w:rPr>
                <w:sz w:val="24"/>
                <w:szCs w:val="24"/>
              </w:rPr>
              <w:t>46</w:t>
            </w:r>
          </w:p>
        </w:tc>
        <w:tc>
          <w:tcPr>
            <w:tcW w:w="567" w:type="dxa"/>
          </w:tcPr>
          <w:p w:rsidRPr="00A406E2" w:rsidR="00297A51" w:rsidP="00552EC0" w:rsidRDefault="00297A51" w14:paraId="70319714" w14:textId="1DC5CB9A">
            <w:pPr>
              <w:jc w:val="right"/>
              <w:rPr>
                <w:sz w:val="24"/>
                <w:szCs w:val="24"/>
              </w:rPr>
            </w:pPr>
            <w:r w:rsidRPr="00A406E2">
              <w:rPr>
                <w:sz w:val="24"/>
                <w:szCs w:val="24"/>
              </w:rPr>
              <w:t xml:space="preserve"> </w:t>
            </w:r>
          </w:p>
        </w:tc>
      </w:tr>
      <w:tr w:rsidRPr="00A406E2" w:rsidR="00297A51" w:rsidTr="00B90BBB" w14:paraId="41878A52" w14:textId="77777777">
        <w:tc>
          <w:tcPr>
            <w:tcW w:w="567" w:type="dxa"/>
          </w:tcPr>
          <w:p w:rsidRPr="00A406E2" w:rsidR="00297A51" w:rsidP="00552EC0" w:rsidRDefault="00297A51" w14:paraId="2A8F5239" w14:textId="22F4FA08">
            <w:pPr>
              <w:rPr>
                <w:sz w:val="24"/>
                <w:szCs w:val="24"/>
              </w:rPr>
            </w:pPr>
            <w:r w:rsidRPr="00A406E2">
              <w:rPr>
                <w:sz w:val="24"/>
                <w:szCs w:val="24"/>
              </w:rPr>
              <w:t>71</w:t>
            </w:r>
          </w:p>
        </w:tc>
        <w:tc>
          <w:tcPr>
            <w:tcW w:w="6521" w:type="dxa"/>
          </w:tcPr>
          <w:p w:rsidRPr="00A406E2" w:rsidR="00297A51" w:rsidP="00552EC0" w:rsidRDefault="00077114" w14:paraId="3AA24635" w14:textId="77777777">
            <w:pPr>
              <w:rPr>
                <w:sz w:val="24"/>
                <w:szCs w:val="24"/>
              </w:rPr>
            </w:pPr>
            <w:r w:rsidRPr="00A406E2">
              <w:rPr>
                <w:sz w:val="24"/>
                <w:szCs w:val="24"/>
              </w:rPr>
              <w:t>Welke subsidiebudgetten worden door de ombuiging verlaagd en welke beleidsinitiatieven worden daardoor niet meer of minder ontwikkeld als gevolg van de verlaging?</w:t>
            </w:r>
          </w:p>
          <w:p w:rsidRPr="00A406E2" w:rsidR="009A2D68" w:rsidP="00552EC0" w:rsidRDefault="009A2D68" w14:paraId="575228ED" w14:textId="5DD08B78">
            <w:pPr>
              <w:rPr>
                <w:sz w:val="24"/>
                <w:szCs w:val="24"/>
              </w:rPr>
            </w:pPr>
            <w:r w:rsidRPr="00A406E2">
              <w:rPr>
                <w:sz w:val="24"/>
                <w:szCs w:val="24"/>
              </w:rPr>
              <w:t xml:space="preserve">De structurele subsidietaakstelling vanaf 2027 van € 0,5 miljoen is verwerkt op het budget voor Specifiek cultuurbeleid. Door de taakstelling blijft op dit budget minder over voor diverse (incidentele) subsidies onder andere op het gebied van arbeidsmarkt en ondernemerschap, museale strategie, archeologie, letteren en bibliotheken. Voor een volledig overzicht van de beleidsonderwerpen, wordt u verwezen naar het </w:t>
            </w:r>
            <w:hyperlink w:history="1" w:anchor=":~:text=Tabel%20100%20Subsidies%20artikel%2014%C2%A0(bedragen%20x%20%E2%82%AC%C2%A01.000)" r:id="rId27">
              <w:r w:rsidRPr="00A406E2">
                <w:rPr>
                  <w:rStyle w:val="Hyperlink"/>
                  <w:sz w:val="24"/>
                  <w:szCs w:val="24"/>
                </w:rPr>
                <w:t>subsidieoverzicht</w:t>
              </w:r>
            </w:hyperlink>
            <w:r w:rsidRPr="00A406E2">
              <w:rPr>
                <w:sz w:val="24"/>
                <w:szCs w:val="24"/>
              </w:rPr>
              <w:t xml:space="preserve"> in de ontwerpbegroting 2026. De taakstelling is dusdanig dat het geen direct effect heeft op de reeds verleende subsidies, maar pas op de lange termijn effect zal hebben op de ruimte om nieuwe initiatieven te ondersteunen op deze onderwerpen.</w:t>
            </w:r>
          </w:p>
        </w:tc>
        <w:tc>
          <w:tcPr>
            <w:tcW w:w="850" w:type="dxa"/>
          </w:tcPr>
          <w:p w:rsidRPr="00A406E2" w:rsidR="00297A51" w:rsidP="00552EC0" w:rsidRDefault="00297A51" w14:paraId="05F8EC3C" w14:textId="17E28CBF">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077114" w14:paraId="398B6EFF" w14:textId="18F6F783">
            <w:pPr>
              <w:jc w:val="right"/>
              <w:rPr>
                <w:sz w:val="24"/>
                <w:szCs w:val="24"/>
              </w:rPr>
            </w:pPr>
            <w:r w:rsidRPr="00A406E2">
              <w:rPr>
                <w:sz w:val="24"/>
                <w:szCs w:val="24"/>
              </w:rPr>
              <w:t>47</w:t>
            </w:r>
          </w:p>
        </w:tc>
        <w:tc>
          <w:tcPr>
            <w:tcW w:w="567" w:type="dxa"/>
          </w:tcPr>
          <w:p w:rsidRPr="00A406E2" w:rsidR="00297A51" w:rsidP="00552EC0" w:rsidRDefault="00297A51" w14:paraId="352E0521" w14:textId="713B45CE">
            <w:pPr>
              <w:jc w:val="right"/>
              <w:rPr>
                <w:sz w:val="24"/>
                <w:szCs w:val="24"/>
              </w:rPr>
            </w:pPr>
            <w:r w:rsidRPr="00A406E2">
              <w:rPr>
                <w:sz w:val="24"/>
                <w:szCs w:val="24"/>
              </w:rPr>
              <w:t xml:space="preserve"> </w:t>
            </w:r>
          </w:p>
        </w:tc>
      </w:tr>
      <w:tr w:rsidRPr="00A406E2" w:rsidR="00297A51" w:rsidTr="00B90BBB" w14:paraId="6A9C32CC" w14:textId="77777777">
        <w:tc>
          <w:tcPr>
            <w:tcW w:w="567" w:type="dxa"/>
          </w:tcPr>
          <w:p w:rsidRPr="00A406E2" w:rsidR="00297A51" w:rsidP="00552EC0" w:rsidRDefault="00297A51" w14:paraId="07D242A2" w14:textId="57F94DF3">
            <w:pPr>
              <w:rPr>
                <w:sz w:val="24"/>
                <w:szCs w:val="24"/>
              </w:rPr>
            </w:pPr>
            <w:r w:rsidRPr="00A406E2">
              <w:rPr>
                <w:sz w:val="24"/>
                <w:szCs w:val="24"/>
              </w:rPr>
              <w:t>72</w:t>
            </w:r>
          </w:p>
        </w:tc>
        <w:tc>
          <w:tcPr>
            <w:tcW w:w="6521" w:type="dxa"/>
          </w:tcPr>
          <w:p w:rsidRPr="00A406E2" w:rsidR="00297A51" w:rsidP="00552EC0" w:rsidRDefault="001B3332" w14:paraId="620DC129" w14:textId="77777777">
            <w:pPr>
              <w:rPr>
                <w:sz w:val="24"/>
                <w:szCs w:val="24"/>
              </w:rPr>
            </w:pPr>
            <w:r w:rsidRPr="00A406E2">
              <w:rPr>
                <w:sz w:val="24"/>
                <w:szCs w:val="24"/>
              </w:rPr>
              <w:t>Welke beleidsinitiatieven worden niet meer of minder ontwikkeld als gevolg van de verlaging</w:t>
            </w:r>
            <w:r w:rsidRPr="00A406E2" w:rsidR="00077114">
              <w:rPr>
                <w:sz w:val="24"/>
                <w:szCs w:val="24"/>
              </w:rPr>
              <w:t xml:space="preserve"> van het beschikbare budget op de tijdelijke projectsubsidies op het budget voor Specifiek cultuurbeleid van artikel 14</w:t>
            </w:r>
            <w:r w:rsidRPr="00A406E2">
              <w:rPr>
                <w:sz w:val="24"/>
                <w:szCs w:val="24"/>
              </w:rPr>
              <w:t>?</w:t>
            </w:r>
          </w:p>
          <w:p w:rsidRPr="00A406E2" w:rsidR="009A2D68" w:rsidP="00552EC0" w:rsidRDefault="009A2D68" w14:paraId="28530856" w14:textId="72CD0925">
            <w:pPr>
              <w:rPr>
                <w:sz w:val="24"/>
                <w:szCs w:val="24"/>
              </w:rPr>
            </w:pPr>
            <w:r w:rsidRPr="00A406E2">
              <w:rPr>
                <w:sz w:val="24"/>
                <w:szCs w:val="24"/>
              </w:rPr>
              <w:t xml:space="preserve">Zie het antwoord op vraag 71. </w:t>
            </w:r>
          </w:p>
        </w:tc>
        <w:tc>
          <w:tcPr>
            <w:tcW w:w="850" w:type="dxa"/>
          </w:tcPr>
          <w:p w:rsidRPr="00A406E2" w:rsidR="00297A51" w:rsidP="00552EC0" w:rsidRDefault="00297A51" w14:paraId="147389A9" w14:textId="33D39D81">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1B3332" w14:paraId="2F74D7A3" w14:textId="47D652F0">
            <w:pPr>
              <w:jc w:val="right"/>
              <w:rPr>
                <w:sz w:val="24"/>
                <w:szCs w:val="24"/>
              </w:rPr>
            </w:pPr>
            <w:r w:rsidRPr="00A406E2">
              <w:rPr>
                <w:sz w:val="24"/>
                <w:szCs w:val="24"/>
              </w:rPr>
              <w:t>47</w:t>
            </w:r>
          </w:p>
        </w:tc>
        <w:tc>
          <w:tcPr>
            <w:tcW w:w="567" w:type="dxa"/>
          </w:tcPr>
          <w:p w:rsidRPr="00A406E2" w:rsidR="00297A51" w:rsidP="00552EC0" w:rsidRDefault="00297A51" w14:paraId="30814761" w14:textId="0C243BC2">
            <w:pPr>
              <w:jc w:val="right"/>
              <w:rPr>
                <w:sz w:val="24"/>
                <w:szCs w:val="24"/>
              </w:rPr>
            </w:pPr>
            <w:r w:rsidRPr="00A406E2">
              <w:rPr>
                <w:sz w:val="24"/>
                <w:szCs w:val="24"/>
              </w:rPr>
              <w:t xml:space="preserve"> </w:t>
            </w:r>
          </w:p>
        </w:tc>
      </w:tr>
      <w:tr w:rsidRPr="00A406E2" w:rsidR="00297A51" w:rsidTr="00B90BBB" w14:paraId="250311EE" w14:textId="77777777">
        <w:tc>
          <w:tcPr>
            <w:tcW w:w="567" w:type="dxa"/>
          </w:tcPr>
          <w:p w:rsidRPr="00A406E2" w:rsidR="00297A51" w:rsidP="00552EC0" w:rsidRDefault="00297A51" w14:paraId="05559ECB" w14:textId="5FA85970">
            <w:pPr>
              <w:rPr>
                <w:sz w:val="24"/>
                <w:szCs w:val="24"/>
              </w:rPr>
            </w:pPr>
            <w:r w:rsidRPr="00A406E2">
              <w:rPr>
                <w:sz w:val="24"/>
                <w:szCs w:val="24"/>
              </w:rPr>
              <w:t>73</w:t>
            </w:r>
          </w:p>
        </w:tc>
        <w:tc>
          <w:tcPr>
            <w:tcW w:w="6521" w:type="dxa"/>
          </w:tcPr>
          <w:p w:rsidRPr="00A406E2" w:rsidR="00297A51" w:rsidP="00552EC0" w:rsidRDefault="00077114" w14:paraId="2DAFED2E" w14:textId="77777777">
            <w:pPr>
              <w:rPr>
                <w:sz w:val="24"/>
                <w:szCs w:val="24"/>
              </w:rPr>
            </w:pPr>
            <w:r w:rsidRPr="00A406E2">
              <w:rPr>
                <w:sz w:val="24"/>
                <w:szCs w:val="24"/>
              </w:rPr>
              <w:t>In hoeverre faciliteert u dat musea beschikken over noodvoorzieningen bij stroomuitval, bijvoorbeeld om topstukken van hun collectie in veiligheid te houden of tijdig te brengen?</w:t>
            </w:r>
          </w:p>
          <w:p w:rsidRPr="00A406E2" w:rsidR="009A2D68" w:rsidP="00552EC0" w:rsidRDefault="009A2D68" w14:paraId="40B98DB0" w14:textId="63EF121D">
            <w:pPr>
              <w:rPr>
                <w:sz w:val="24"/>
                <w:szCs w:val="24"/>
              </w:rPr>
            </w:pPr>
            <w:r w:rsidRPr="00A406E2">
              <w:rPr>
                <w:sz w:val="24"/>
                <w:szCs w:val="24"/>
              </w:rPr>
              <w:lastRenderedPageBreak/>
              <w:t xml:space="preserve">Nederland kent bijna 500 geregistreerde musea. Deze musea zijn als zelfstandige instellingen zelf verantwoordelijk voor hun veiligheidsbeleid, waaronder planvorming voor het risico op langdurige stroomuitval. Eind vorig jaar is door de </w:t>
            </w:r>
            <w:r w:rsidRPr="00A406E2" w:rsidR="00134E11">
              <w:rPr>
                <w:sz w:val="24"/>
                <w:szCs w:val="24"/>
              </w:rPr>
              <w:t>toen</w:t>
            </w:r>
            <w:r w:rsidRPr="00A406E2">
              <w:rPr>
                <w:sz w:val="24"/>
                <w:szCs w:val="24"/>
              </w:rPr>
              <w:t xml:space="preserve">malige </w:t>
            </w:r>
            <w:r w:rsidRPr="00A406E2" w:rsidR="004B6EDC">
              <w:rPr>
                <w:sz w:val="24"/>
                <w:szCs w:val="24"/>
              </w:rPr>
              <w:t xml:space="preserve">Minister van </w:t>
            </w:r>
            <w:r w:rsidRPr="00A406E2" w:rsidR="00D84D3F">
              <w:rPr>
                <w:sz w:val="24"/>
                <w:szCs w:val="24"/>
              </w:rPr>
              <w:t>OCW</w:t>
            </w:r>
            <w:r w:rsidRPr="00A406E2">
              <w:rPr>
                <w:sz w:val="24"/>
                <w:szCs w:val="24"/>
              </w:rPr>
              <w:t xml:space="preserve"> een brief aan alle </w:t>
            </w:r>
            <w:proofErr w:type="spellStart"/>
            <w:r w:rsidRPr="00A406E2">
              <w:rPr>
                <w:sz w:val="24"/>
                <w:szCs w:val="24"/>
              </w:rPr>
              <w:t>collectiebeherende</w:t>
            </w:r>
            <w:proofErr w:type="spellEnd"/>
            <w:r w:rsidRPr="00A406E2">
              <w:rPr>
                <w:sz w:val="24"/>
                <w:szCs w:val="24"/>
              </w:rPr>
              <w:t xml:space="preserve"> instellingen gestuurd, waarin werd opgeroepen extra aandacht te besteden aan hun veiligheidsbeleid. </w:t>
            </w:r>
            <w:r w:rsidRPr="00A406E2" w:rsidR="004B6EDC">
              <w:rPr>
                <w:sz w:val="24"/>
                <w:szCs w:val="24"/>
              </w:rPr>
              <w:t xml:space="preserve">OCW </w:t>
            </w:r>
            <w:r w:rsidRPr="00A406E2">
              <w:rPr>
                <w:sz w:val="24"/>
                <w:szCs w:val="24"/>
              </w:rPr>
              <w:t>ondersteun</w:t>
            </w:r>
            <w:r w:rsidRPr="00A406E2" w:rsidR="004B6EDC">
              <w:rPr>
                <w:sz w:val="24"/>
                <w:szCs w:val="24"/>
              </w:rPr>
              <w:t>t</w:t>
            </w:r>
            <w:r w:rsidRPr="00A406E2">
              <w:rPr>
                <w:sz w:val="24"/>
                <w:szCs w:val="24"/>
              </w:rPr>
              <w:t xml:space="preserve"> de musea hierbij door kennisdeling over dit onderwerp via de Rijksdienst voor het Cultureel Erfgoed. Stroomuitval is tevens een belangrijk onderwerp binnen de Taskforce Veilig Erfgoed, die </w:t>
            </w:r>
            <w:r w:rsidRPr="00A406E2" w:rsidR="00B21263">
              <w:rPr>
                <w:sz w:val="24"/>
                <w:szCs w:val="24"/>
              </w:rPr>
              <w:t xml:space="preserve">is </w:t>
            </w:r>
            <w:r w:rsidRPr="00A406E2">
              <w:rPr>
                <w:sz w:val="24"/>
                <w:szCs w:val="24"/>
              </w:rPr>
              <w:t>opgericht om de erfgoedsector weerbaarder te maken.</w:t>
            </w:r>
          </w:p>
        </w:tc>
        <w:tc>
          <w:tcPr>
            <w:tcW w:w="850" w:type="dxa"/>
          </w:tcPr>
          <w:p w:rsidRPr="00A406E2" w:rsidR="00297A51" w:rsidP="00552EC0" w:rsidRDefault="00297A51" w14:paraId="297D7EC4" w14:textId="2B4BE702">
            <w:pPr>
              <w:jc w:val="right"/>
              <w:rPr>
                <w:sz w:val="24"/>
                <w:szCs w:val="24"/>
              </w:rPr>
            </w:pPr>
            <w:r w:rsidRPr="00A406E2">
              <w:rPr>
                <w:sz w:val="24"/>
                <w:szCs w:val="24"/>
              </w:rPr>
              <w:lastRenderedPageBreak/>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4E74F946" w14:textId="3EBD1261">
            <w:pPr>
              <w:jc w:val="right"/>
              <w:rPr>
                <w:sz w:val="24"/>
                <w:szCs w:val="24"/>
              </w:rPr>
            </w:pPr>
            <w:r w:rsidRPr="00A406E2">
              <w:rPr>
                <w:sz w:val="24"/>
                <w:szCs w:val="24"/>
              </w:rPr>
              <w:t>47</w:t>
            </w:r>
          </w:p>
        </w:tc>
        <w:tc>
          <w:tcPr>
            <w:tcW w:w="567" w:type="dxa"/>
          </w:tcPr>
          <w:p w:rsidRPr="00A406E2" w:rsidR="00297A51" w:rsidP="00552EC0" w:rsidRDefault="00297A51" w14:paraId="788BC49F" w14:textId="4D85B203">
            <w:pPr>
              <w:jc w:val="right"/>
              <w:rPr>
                <w:sz w:val="24"/>
                <w:szCs w:val="24"/>
              </w:rPr>
            </w:pPr>
            <w:r w:rsidRPr="00A406E2">
              <w:rPr>
                <w:sz w:val="24"/>
                <w:szCs w:val="24"/>
              </w:rPr>
              <w:t xml:space="preserve"> </w:t>
            </w:r>
          </w:p>
        </w:tc>
      </w:tr>
      <w:tr w:rsidRPr="00A406E2" w:rsidR="00297A51" w:rsidTr="00B90BBB" w14:paraId="67235057" w14:textId="77777777">
        <w:tc>
          <w:tcPr>
            <w:tcW w:w="567" w:type="dxa"/>
          </w:tcPr>
          <w:p w:rsidRPr="00A406E2" w:rsidR="00297A51" w:rsidP="00552EC0" w:rsidRDefault="00297A51" w14:paraId="01D3AF35" w14:textId="2BE42D64">
            <w:pPr>
              <w:rPr>
                <w:sz w:val="24"/>
                <w:szCs w:val="24"/>
              </w:rPr>
            </w:pPr>
            <w:r w:rsidRPr="00A406E2">
              <w:rPr>
                <w:sz w:val="24"/>
                <w:szCs w:val="24"/>
              </w:rPr>
              <w:t>74</w:t>
            </w:r>
          </w:p>
        </w:tc>
        <w:tc>
          <w:tcPr>
            <w:tcW w:w="6521" w:type="dxa"/>
          </w:tcPr>
          <w:p w:rsidRPr="00A406E2" w:rsidR="00297A51" w:rsidP="00552EC0" w:rsidRDefault="00077114" w14:paraId="223E5883" w14:textId="77777777">
            <w:pPr>
              <w:rPr>
                <w:sz w:val="24"/>
                <w:szCs w:val="24"/>
              </w:rPr>
            </w:pPr>
            <w:r w:rsidRPr="00A406E2">
              <w:rPr>
                <w:sz w:val="24"/>
                <w:szCs w:val="24"/>
              </w:rPr>
              <w:t>Op welke datum gaat u exact de evaluatie van beide aspirant-publieke omroepen Zwart en Ongehoord Nederland afronden en wanneer exact zal de Tweede Kamer deze evaluaties ontvangen?</w:t>
            </w:r>
          </w:p>
          <w:p w:rsidRPr="00A406E2" w:rsidR="007A4491" w:rsidP="00552EC0" w:rsidRDefault="007A4491" w14:paraId="30F52C44" w14:textId="6596C4EA">
            <w:pPr>
              <w:rPr>
                <w:sz w:val="24"/>
                <w:szCs w:val="24"/>
              </w:rPr>
            </w:pPr>
            <w:r w:rsidRPr="00A406E2">
              <w:rPr>
                <w:sz w:val="24"/>
                <w:szCs w:val="24"/>
              </w:rPr>
              <w:t xml:space="preserve">Het ministerie van OCW voert geen evaluatie uit van beide aspirant-omroepen. We gaan ervan uit dat u met uw vraag doelt op het rapport van de evaluatiecommissie. De evaluatiecommissie voert een evaluatie uit naar het functioneren van de publieke omroep als geheel en kijkt ook specifiek naar de twee aspirant-omroepen. Dit betreft een onafhankelijke commissie die wordt ingesteld door de Raad van Toezicht van de NPO. Eerder is met de Raad van Toezicht als einddatum voor het rapport 28 februari 2026 overeengekomen. De werkzaamheden van de commissie duren langer dan verwacht waardoor deze datum niet gehaald is. Naar verwachting </w:t>
            </w:r>
            <w:r w:rsidRPr="00A406E2" w:rsidR="00925BB1">
              <w:rPr>
                <w:sz w:val="24"/>
                <w:szCs w:val="24"/>
              </w:rPr>
              <w:t xml:space="preserve">ontvangt OCW dit rapport </w:t>
            </w:r>
            <w:r w:rsidRPr="00A406E2">
              <w:rPr>
                <w:sz w:val="24"/>
                <w:szCs w:val="24"/>
              </w:rPr>
              <w:t xml:space="preserve">binnenkort. Wanneer het rapport van de evaluatiecommissie is ontvangen, </w:t>
            </w:r>
            <w:r w:rsidRPr="00A406E2" w:rsidR="00925BB1">
              <w:rPr>
                <w:sz w:val="24"/>
                <w:szCs w:val="24"/>
              </w:rPr>
              <w:t>wordt het</w:t>
            </w:r>
            <w:r w:rsidRPr="00A406E2">
              <w:rPr>
                <w:sz w:val="24"/>
                <w:szCs w:val="24"/>
              </w:rPr>
              <w:t xml:space="preserve"> rapport </w:t>
            </w:r>
            <w:r w:rsidRPr="00A406E2" w:rsidR="00925BB1">
              <w:rPr>
                <w:sz w:val="24"/>
                <w:szCs w:val="24"/>
              </w:rPr>
              <w:t>naar</w:t>
            </w:r>
            <w:r w:rsidRPr="00A406E2">
              <w:rPr>
                <w:sz w:val="24"/>
                <w:szCs w:val="24"/>
              </w:rPr>
              <w:t xml:space="preserve"> </w:t>
            </w:r>
            <w:r w:rsidRPr="00A406E2" w:rsidR="00134E11">
              <w:rPr>
                <w:sz w:val="24"/>
                <w:szCs w:val="24"/>
              </w:rPr>
              <w:t>uw</w:t>
            </w:r>
            <w:r w:rsidRPr="00A406E2">
              <w:rPr>
                <w:sz w:val="24"/>
                <w:szCs w:val="24"/>
              </w:rPr>
              <w:t xml:space="preserve"> Kamer </w:t>
            </w:r>
            <w:r w:rsidRPr="00A406E2" w:rsidR="00925BB1">
              <w:rPr>
                <w:sz w:val="24"/>
                <w:szCs w:val="24"/>
              </w:rPr>
              <w:t>gestuurd</w:t>
            </w:r>
            <w:r w:rsidRPr="00A406E2">
              <w:rPr>
                <w:sz w:val="24"/>
                <w:szCs w:val="24"/>
              </w:rPr>
              <w:t>. De NPO maakt daarnaast het rapport ook zelfstandig openbaar door publicatie op zijn website.</w:t>
            </w:r>
          </w:p>
        </w:tc>
        <w:tc>
          <w:tcPr>
            <w:tcW w:w="850" w:type="dxa"/>
          </w:tcPr>
          <w:p w:rsidRPr="00A406E2" w:rsidR="00297A51" w:rsidP="00552EC0" w:rsidRDefault="00297A51" w14:paraId="48B00665" w14:textId="6C5ACA6A">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077114" w14:paraId="23F22B6E" w14:textId="1C6C9311">
            <w:pPr>
              <w:jc w:val="right"/>
              <w:rPr>
                <w:sz w:val="24"/>
                <w:szCs w:val="24"/>
              </w:rPr>
            </w:pPr>
            <w:r w:rsidRPr="00A406E2">
              <w:rPr>
                <w:sz w:val="24"/>
                <w:szCs w:val="24"/>
              </w:rPr>
              <w:t>48</w:t>
            </w:r>
          </w:p>
        </w:tc>
        <w:tc>
          <w:tcPr>
            <w:tcW w:w="567" w:type="dxa"/>
          </w:tcPr>
          <w:p w:rsidRPr="00A406E2" w:rsidR="00297A51" w:rsidP="00552EC0" w:rsidRDefault="00297A51" w14:paraId="1C78F387" w14:textId="38FFB214">
            <w:pPr>
              <w:jc w:val="right"/>
              <w:rPr>
                <w:sz w:val="24"/>
                <w:szCs w:val="24"/>
              </w:rPr>
            </w:pPr>
            <w:r w:rsidRPr="00A406E2">
              <w:rPr>
                <w:sz w:val="24"/>
                <w:szCs w:val="24"/>
              </w:rPr>
              <w:t xml:space="preserve"> </w:t>
            </w:r>
          </w:p>
        </w:tc>
      </w:tr>
      <w:tr w:rsidRPr="00A406E2" w:rsidR="00297A51" w:rsidTr="00B90BBB" w14:paraId="42DD0988" w14:textId="77777777">
        <w:tc>
          <w:tcPr>
            <w:tcW w:w="567" w:type="dxa"/>
          </w:tcPr>
          <w:p w:rsidRPr="00A406E2" w:rsidR="00297A51" w:rsidP="00552EC0" w:rsidRDefault="00297A51" w14:paraId="50CE12B0" w14:textId="11B0D4B0">
            <w:pPr>
              <w:rPr>
                <w:sz w:val="24"/>
                <w:szCs w:val="24"/>
              </w:rPr>
            </w:pPr>
            <w:r w:rsidRPr="00A406E2">
              <w:rPr>
                <w:sz w:val="24"/>
                <w:szCs w:val="24"/>
              </w:rPr>
              <w:t>75</w:t>
            </w:r>
          </w:p>
        </w:tc>
        <w:tc>
          <w:tcPr>
            <w:tcW w:w="6521" w:type="dxa"/>
          </w:tcPr>
          <w:p w:rsidRPr="00A406E2" w:rsidR="00297A51" w:rsidP="00552EC0" w:rsidRDefault="00077114" w14:paraId="49C9E156" w14:textId="77777777">
            <w:pPr>
              <w:rPr>
                <w:sz w:val="24"/>
                <w:szCs w:val="24"/>
              </w:rPr>
            </w:pPr>
            <w:r w:rsidRPr="00A406E2">
              <w:rPr>
                <w:sz w:val="24"/>
                <w:szCs w:val="24"/>
              </w:rPr>
              <w:t>Welke beleidsinitiatieven worden niet meer of minder ontwikkeld als gevolg van de verlaging van het beschikbare budget op de overige subsidies van artikel 15?</w:t>
            </w:r>
          </w:p>
          <w:p w:rsidRPr="00A406E2" w:rsidR="00925BB1" w:rsidP="00552EC0" w:rsidRDefault="00925BB1" w14:paraId="0CAFD829" w14:textId="34B72011">
            <w:pPr>
              <w:rPr>
                <w:sz w:val="24"/>
                <w:szCs w:val="24"/>
              </w:rPr>
            </w:pPr>
            <w:r w:rsidRPr="00A406E2">
              <w:rPr>
                <w:sz w:val="24"/>
                <w:szCs w:val="24"/>
              </w:rPr>
              <w:t>Door de taakstelling blijft op het budget overige subsidies minder budget over voor diverse (incidentele) subsidies. De taakstelling is dusdanig dat het geen direct effect heeft op de reeds verleende subsidies, maar pas op de lange termijn effect zal hebben op de ruimte om nieuwe initiatieven te ondersteunen.</w:t>
            </w:r>
          </w:p>
        </w:tc>
        <w:tc>
          <w:tcPr>
            <w:tcW w:w="850" w:type="dxa"/>
          </w:tcPr>
          <w:p w:rsidRPr="00A406E2" w:rsidR="00297A51" w:rsidP="00552EC0" w:rsidRDefault="00297A51" w14:paraId="510457CA" w14:textId="5FDA5FD8">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077114" w14:paraId="2EA8B162" w14:textId="2B29101D">
            <w:pPr>
              <w:jc w:val="right"/>
              <w:rPr>
                <w:sz w:val="24"/>
                <w:szCs w:val="24"/>
              </w:rPr>
            </w:pPr>
            <w:r w:rsidRPr="00A406E2">
              <w:rPr>
                <w:sz w:val="24"/>
                <w:szCs w:val="24"/>
              </w:rPr>
              <w:t>49</w:t>
            </w:r>
          </w:p>
        </w:tc>
        <w:tc>
          <w:tcPr>
            <w:tcW w:w="567" w:type="dxa"/>
          </w:tcPr>
          <w:p w:rsidRPr="00A406E2" w:rsidR="00297A51" w:rsidP="00552EC0" w:rsidRDefault="00297A51" w14:paraId="18A9BDA4" w14:textId="51AC5B68">
            <w:pPr>
              <w:jc w:val="right"/>
              <w:rPr>
                <w:sz w:val="24"/>
                <w:szCs w:val="24"/>
              </w:rPr>
            </w:pPr>
            <w:r w:rsidRPr="00A406E2">
              <w:rPr>
                <w:sz w:val="24"/>
                <w:szCs w:val="24"/>
              </w:rPr>
              <w:t xml:space="preserve"> </w:t>
            </w:r>
          </w:p>
        </w:tc>
      </w:tr>
      <w:tr w:rsidRPr="00A406E2" w:rsidR="00297A51" w:rsidTr="00B90BBB" w14:paraId="0D470E22" w14:textId="77777777">
        <w:tc>
          <w:tcPr>
            <w:tcW w:w="567" w:type="dxa"/>
          </w:tcPr>
          <w:p w:rsidRPr="00A406E2" w:rsidR="00297A51" w:rsidP="00552EC0" w:rsidRDefault="00297A51" w14:paraId="34C36ECA" w14:textId="62D3FFA9">
            <w:pPr>
              <w:rPr>
                <w:sz w:val="24"/>
                <w:szCs w:val="24"/>
              </w:rPr>
            </w:pPr>
            <w:r w:rsidRPr="00A406E2">
              <w:rPr>
                <w:sz w:val="24"/>
                <w:szCs w:val="24"/>
              </w:rPr>
              <w:t>76</w:t>
            </w:r>
          </w:p>
        </w:tc>
        <w:tc>
          <w:tcPr>
            <w:tcW w:w="6521" w:type="dxa"/>
          </w:tcPr>
          <w:p w:rsidRPr="00A406E2" w:rsidR="00297A51" w:rsidP="00552EC0" w:rsidRDefault="00077114" w14:paraId="3FBCE3E8" w14:textId="77777777">
            <w:pPr>
              <w:rPr>
                <w:sz w:val="24"/>
                <w:szCs w:val="24"/>
              </w:rPr>
            </w:pPr>
            <w:r w:rsidRPr="00A406E2">
              <w:rPr>
                <w:sz w:val="24"/>
                <w:szCs w:val="24"/>
              </w:rPr>
              <w:t>Als de reden is dat de subsidie aan VSC wordt stopgezet omdat musea en centra primair zelf verantwoordelijk zijn voor hun organisatie en belangenbehartiging, wat is dan de reden dat deze organisatie nu wel subsidie krijgt?</w:t>
            </w:r>
          </w:p>
          <w:p w:rsidRPr="00A406E2" w:rsidR="007E2F58" w:rsidP="00552EC0" w:rsidRDefault="007E2F58" w14:paraId="487E00B1" w14:textId="07035B33">
            <w:pPr>
              <w:rPr>
                <w:sz w:val="24"/>
                <w:szCs w:val="24"/>
              </w:rPr>
            </w:pPr>
            <w:r w:rsidRPr="00A406E2">
              <w:rPr>
                <w:sz w:val="24"/>
                <w:szCs w:val="24"/>
              </w:rPr>
              <w:t xml:space="preserve">De Vereniging van wetenschapsmusea en </w:t>
            </w:r>
            <w:proofErr w:type="spellStart"/>
            <w:r w:rsidRPr="00A406E2">
              <w:rPr>
                <w:sz w:val="24"/>
                <w:szCs w:val="24"/>
              </w:rPr>
              <w:t>Science</w:t>
            </w:r>
            <w:proofErr w:type="spellEnd"/>
            <w:r w:rsidRPr="00A406E2">
              <w:rPr>
                <w:sz w:val="24"/>
                <w:szCs w:val="24"/>
              </w:rPr>
              <w:t xml:space="preserve"> Centers (VSC) is een samenwerkingsverband van circa 45 wetenschapsmusea, </w:t>
            </w:r>
            <w:proofErr w:type="spellStart"/>
            <w:r w:rsidRPr="00A406E2">
              <w:rPr>
                <w:sz w:val="24"/>
                <w:szCs w:val="24"/>
              </w:rPr>
              <w:t>science</w:t>
            </w:r>
            <w:proofErr w:type="spellEnd"/>
            <w:r w:rsidRPr="00A406E2">
              <w:rPr>
                <w:sz w:val="24"/>
                <w:szCs w:val="24"/>
              </w:rPr>
              <w:t xml:space="preserve"> centers, sterrenwachten, natuurmusea en maakplaatsen in Nederland. Sinds 2023 krijgt VSC een directe subsidie vanuit OCW, daarvoor liep de subsidie via NEMO. Het doel van de subsidie die OCW tot eind 2028 aan VSC verstrekt, is -</w:t>
            </w:r>
            <w:r w:rsidRPr="00A406E2" w:rsidR="00F41CFA">
              <w:rPr>
                <w:sz w:val="24"/>
                <w:szCs w:val="24"/>
              </w:rPr>
              <w:t xml:space="preserve"> </w:t>
            </w:r>
            <w:r w:rsidRPr="00A406E2">
              <w:rPr>
                <w:sz w:val="24"/>
                <w:szCs w:val="24"/>
              </w:rPr>
              <w:t>naast het verder professionaliseren van de organisatie</w:t>
            </w:r>
            <w:r w:rsidRPr="00A406E2" w:rsidR="00134E11">
              <w:rPr>
                <w:sz w:val="24"/>
                <w:szCs w:val="24"/>
              </w:rPr>
              <w:t xml:space="preserve"> </w:t>
            </w:r>
            <w:r w:rsidRPr="00A406E2">
              <w:rPr>
                <w:sz w:val="24"/>
                <w:szCs w:val="24"/>
              </w:rPr>
              <w:t xml:space="preserve">- drieledig. Op het </w:t>
            </w:r>
            <w:r w:rsidRPr="00A406E2">
              <w:rPr>
                <w:sz w:val="24"/>
                <w:szCs w:val="24"/>
              </w:rPr>
              <w:lastRenderedPageBreak/>
              <w:t>niveau van de VSC het bijdragen aan kennisdeling, samenwerking en kwaliteit vanuit de VSC; op het collectieve niveau van de VSC-leden het ondersteunen en versterken van de sectorbanden; en op maatschappelijk niveau het bieden van een podium aan wetenschapsmusea. De inschatting van OCW is dat de VSC bij haar activiteiten de samenwerking tussen leden en met organisaties zoals NWO, NEWS en KNAW uitbouwt en dat de OCW-subsidie voor de VSC per 2029 niet langer noodzakelijk is.</w:t>
            </w:r>
          </w:p>
        </w:tc>
        <w:tc>
          <w:tcPr>
            <w:tcW w:w="850" w:type="dxa"/>
          </w:tcPr>
          <w:p w:rsidRPr="00A406E2" w:rsidR="00297A51" w:rsidP="00552EC0" w:rsidRDefault="00297A51" w14:paraId="24ED60D1" w14:textId="621EABF8">
            <w:pPr>
              <w:jc w:val="right"/>
              <w:rPr>
                <w:sz w:val="24"/>
                <w:szCs w:val="24"/>
              </w:rPr>
            </w:pPr>
            <w:r w:rsidRPr="00A406E2">
              <w:rPr>
                <w:sz w:val="24"/>
                <w:szCs w:val="24"/>
              </w:rPr>
              <w:lastRenderedPageBreak/>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077114" w14:paraId="41A7F596" w14:textId="7757F390">
            <w:pPr>
              <w:jc w:val="right"/>
              <w:rPr>
                <w:sz w:val="24"/>
                <w:szCs w:val="24"/>
              </w:rPr>
            </w:pPr>
            <w:r w:rsidRPr="00A406E2">
              <w:rPr>
                <w:sz w:val="24"/>
                <w:szCs w:val="24"/>
              </w:rPr>
              <w:t>53</w:t>
            </w:r>
          </w:p>
        </w:tc>
        <w:tc>
          <w:tcPr>
            <w:tcW w:w="567" w:type="dxa"/>
          </w:tcPr>
          <w:p w:rsidRPr="00A406E2" w:rsidR="00297A51" w:rsidP="00552EC0" w:rsidRDefault="00297A51" w14:paraId="63855627" w14:textId="67C6C520">
            <w:pPr>
              <w:jc w:val="right"/>
              <w:rPr>
                <w:sz w:val="24"/>
                <w:szCs w:val="24"/>
              </w:rPr>
            </w:pPr>
            <w:r w:rsidRPr="00A406E2">
              <w:rPr>
                <w:sz w:val="24"/>
                <w:szCs w:val="24"/>
              </w:rPr>
              <w:t xml:space="preserve"> </w:t>
            </w:r>
          </w:p>
        </w:tc>
      </w:tr>
      <w:tr w:rsidRPr="00A406E2" w:rsidR="00297A51" w:rsidTr="00B90BBB" w14:paraId="2DAE26BD" w14:textId="77777777">
        <w:tc>
          <w:tcPr>
            <w:tcW w:w="567" w:type="dxa"/>
          </w:tcPr>
          <w:p w:rsidRPr="00A406E2" w:rsidR="00297A51" w:rsidP="00552EC0" w:rsidRDefault="00297A51" w14:paraId="79F5DA68" w14:textId="7FE81900">
            <w:pPr>
              <w:rPr>
                <w:sz w:val="24"/>
                <w:szCs w:val="24"/>
              </w:rPr>
            </w:pPr>
            <w:r w:rsidRPr="00A406E2">
              <w:rPr>
                <w:sz w:val="24"/>
                <w:szCs w:val="24"/>
              </w:rPr>
              <w:t>77</w:t>
            </w:r>
          </w:p>
        </w:tc>
        <w:tc>
          <w:tcPr>
            <w:tcW w:w="6521" w:type="dxa"/>
          </w:tcPr>
          <w:p w:rsidRPr="00A406E2" w:rsidR="00297A51" w:rsidP="00552EC0" w:rsidRDefault="00077114" w14:paraId="2A4B22DE" w14:textId="77777777">
            <w:pPr>
              <w:rPr>
                <w:sz w:val="24"/>
                <w:szCs w:val="24"/>
              </w:rPr>
            </w:pPr>
            <w:r w:rsidRPr="00A406E2">
              <w:rPr>
                <w:sz w:val="24"/>
                <w:szCs w:val="24"/>
              </w:rPr>
              <w:t>Welke subsidies inzake onderzoeks- en wetenschapsbeleid worden precies getroffen door de ingeboekte structurele efficiencykorting van 2,1 procent per subsidie en welke effecten zal deze korting concreet hebben?</w:t>
            </w:r>
          </w:p>
          <w:p w:rsidRPr="00A406E2" w:rsidR="007E2F58" w:rsidP="00552EC0" w:rsidRDefault="007E2F58" w14:paraId="67C8C07D" w14:textId="30147409">
            <w:pPr>
              <w:rPr>
                <w:sz w:val="24"/>
                <w:szCs w:val="24"/>
              </w:rPr>
            </w:pPr>
            <w:r w:rsidRPr="00A406E2">
              <w:rPr>
                <w:sz w:val="24"/>
                <w:szCs w:val="24"/>
              </w:rPr>
              <w:t>De structurele efficiencykorting van 2,1 procent wordt toegepast op de volgende subsidies binnen het onderzoeks- en wetenschapsbeleid: ST AAP, NEWS, NCWT/NEMO, BPRC, Naturalis, NAE, STT en VSC. Deze korting wordt verwerkt in de subsidiebudgetten en leidt voor de genoemde subsidies tot een verlaging van het beschikbare budget. Voor de betrokken subsidies betekent dit een bijstelling van de middelen, die de instellingen zelf zullen moeten opvangen. Tegelijkertijd krijgen deze instellingen in deze suppletoire begroting loon- en prijsbijstelling die per instelling hoger is dan de efficiencykorting. Dit leidt per saldo toe dat de budgetten van deze instellingen nominaal niet dalen, maar nog steeds toenemen. Voor STT, VSC en NAE zal de subsidie op termijn stopgezet worden als gevolg van de subsidietaakstelling.</w:t>
            </w:r>
          </w:p>
        </w:tc>
        <w:tc>
          <w:tcPr>
            <w:tcW w:w="850" w:type="dxa"/>
          </w:tcPr>
          <w:p w:rsidRPr="00A406E2" w:rsidR="00297A51" w:rsidP="00552EC0" w:rsidRDefault="00297A51" w14:paraId="1B8D6D3B" w14:textId="10049DDD">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1B3332" w14:paraId="1BA4208A" w14:textId="67239396">
            <w:pPr>
              <w:jc w:val="right"/>
              <w:rPr>
                <w:sz w:val="24"/>
                <w:szCs w:val="24"/>
              </w:rPr>
            </w:pPr>
            <w:r w:rsidRPr="00A406E2">
              <w:rPr>
                <w:sz w:val="24"/>
                <w:szCs w:val="24"/>
              </w:rPr>
              <w:t>53</w:t>
            </w:r>
          </w:p>
        </w:tc>
        <w:tc>
          <w:tcPr>
            <w:tcW w:w="567" w:type="dxa"/>
          </w:tcPr>
          <w:p w:rsidRPr="00A406E2" w:rsidR="00297A51" w:rsidP="00552EC0" w:rsidRDefault="00297A51" w14:paraId="02811924" w14:textId="242C7767">
            <w:pPr>
              <w:jc w:val="right"/>
              <w:rPr>
                <w:sz w:val="24"/>
                <w:szCs w:val="24"/>
              </w:rPr>
            </w:pPr>
            <w:r w:rsidRPr="00A406E2">
              <w:rPr>
                <w:sz w:val="24"/>
                <w:szCs w:val="24"/>
              </w:rPr>
              <w:t xml:space="preserve"> </w:t>
            </w:r>
          </w:p>
        </w:tc>
      </w:tr>
      <w:tr w:rsidRPr="00A406E2" w:rsidR="00297A51" w:rsidTr="00B90BBB" w14:paraId="2C20D357" w14:textId="77777777">
        <w:tc>
          <w:tcPr>
            <w:tcW w:w="567" w:type="dxa"/>
          </w:tcPr>
          <w:p w:rsidRPr="00A406E2" w:rsidR="00297A51" w:rsidP="00552EC0" w:rsidRDefault="00297A51" w14:paraId="0D10DE08" w14:textId="494AD6FC">
            <w:pPr>
              <w:rPr>
                <w:sz w:val="24"/>
                <w:szCs w:val="24"/>
              </w:rPr>
            </w:pPr>
            <w:r w:rsidRPr="00A406E2">
              <w:rPr>
                <w:sz w:val="24"/>
                <w:szCs w:val="24"/>
              </w:rPr>
              <w:t>78</w:t>
            </w:r>
          </w:p>
        </w:tc>
        <w:tc>
          <w:tcPr>
            <w:tcW w:w="6521" w:type="dxa"/>
          </w:tcPr>
          <w:p w:rsidRPr="00A406E2" w:rsidR="00297A51" w:rsidP="00552EC0" w:rsidRDefault="00077114" w14:paraId="176CC31C" w14:textId="77777777">
            <w:pPr>
              <w:rPr>
                <w:sz w:val="24"/>
                <w:szCs w:val="24"/>
              </w:rPr>
            </w:pPr>
            <w:r w:rsidRPr="00A406E2">
              <w:rPr>
                <w:sz w:val="24"/>
                <w:szCs w:val="24"/>
              </w:rPr>
              <w:t xml:space="preserve">Is met genoemde betrokkenen voor wetenschapsmusea en </w:t>
            </w:r>
            <w:proofErr w:type="spellStart"/>
            <w:r w:rsidRPr="00A406E2">
              <w:rPr>
                <w:sz w:val="24"/>
                <w:szCs w:val="24"/>
              </w:rPr>
              <w:t>sciencecenters</w:t>
            </w:r>
            <w:proofErr w:type="spellEnd"/>
            <w:r w:rsidRPr="00A406E2">
              <w:rPr>
                <w:sz w:val="24"/>
                <w:szCs w:val="24"/>
              </w:rPr>
              <w:t xml:space="preserve"> en de Netherlands Academy of Engineering (NAE) overlegd over het stoppen van de instellingssubsidies? Is ook voldoende verzekerd dat musea en centra in staat zullen zijn om te anticiperen op het stoppen van de instellingssubsidies?</w:t>
            </w:r>
          </w:p>
          <w:p w:rsidRPr="00A406E2" w:rsidR="007E2F58" w:rsidP="00552EC0" w:rsidRDefault="007E2F58" w14:paraId="5B229A51" w14:textId="5065A097">
            <w:pPr>
              <w:rPr>
                <w:sz w:val="24"/>
                <w:szCs w:val="24"/>
              </w:rPr>
            </w:pPr>
            <w:r w:rsidRPr="00A406E2">
              <w:rPr>
                <w:sz w:val="24"/>
                <w:szCs w:val="24"/>
              </w:rPr>
              <w:t xml:space="preserve">Voorafgaand aan het voorstel in de </w:t>
            </w:r>
            <w:r w:rsidRPr="00A406E2" w:rsidR="00F41CFA">
              <w:rPr>
                <w:sz w:val="24"/>
                <w:szCs w:val="24"/>
              </w:rPr>
              <w:t>Eerste</w:t>
            </w:r>
            <w:r w:rsidRPr="00A406E2">
              <w:rPr>
                <w:sz w:val="24"/>
                <w:szCs w:val="24"/>
              </w:rPr>
              <w:t xml:space="preserve"> suppletoire</w:t>
            </w:r>
            <w:r w:rsidRPr="00A406E2" w:rsidR="00F41CFA">
              <w:rPr>
                <w:sz w:val="24"/>
                <w:szCs w:val="24"/>
              </w:rPr>
              <w:t xml:space="preserve"> begroting</w:t>
            </w:r>
            <w:r w:rsidRPr="00A406E2">
              <w:rPr>
                <w:sz w:val="24"/>
                <w:szCs w:val="24"/>
              </w:rPr>
              <w:t xml:space="preserve"> is geen overleg geweest met de VSC en de Netherlands Academy of Engineering (NAE). </w:t>
            </w:r>
            <w:r w:rsidRPr="00A406E2" w:rsidR="00232E5A">
              <w:rPr>
                <w:sz w:val="24"/>
                <w:szCs w:val="24"/>
              </w:rPr>
              <w:t xml:space="preserve">Aan VSC en NAE </w:t>
            </w:r>
            <w:r w:rsidRPr="00A406E2">
              <w:rPr>
                <w:sz w:val="24"/>
                <w:szCs w:val="24"/>
              </w:rPr>
              <w:t>is toegelicht waarom en per wanneer OCW de subsidie beëindigt, waarbij de VSC tot eind 2028 en de NAE tot eind 2030 heeft om te anticiperen op het aflopen van de OCW-subsidie.</w:t>
            </w:r>
          </w:p>
        </w:tc>
        <w:tc>
          <w:tcPr>
            <w:tcW w:w="850" w:type="dxa"/>
          </w:tcPr>
          <w:p w:rsidRPr="00A406E2" w:rsidR="00297A51" w:rsidP="00552EC0" w:rsidRDefault="00297A51" w14:paraId="59870538" w14:textId="1C85E819">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2BE00F7C" w14:textId="3DD40AB2">
            <w:pPr>
              <w:jc w:val="right"/>
              <w:rPr>
                <w:sz w:val="24"/>
                <w:szCs w:val="24"/>
              </w:rPr>
            </w:pPr>
            <w:r w:rsidRPr="00A406E2">
              <w:rPr>
                <w:sz w:val="24"/>
                <w:szCs w:val="24"/>
              </w:rPr>
              <w:t>53</w:t>
            </w:r>
          </w:p>
        </w:tc>
        <w:tc>
          <w:tcPr>
            <w:tcW w:w="567" w:type="dxa"/>
          </w:tcPr>
          <w:p w:rsidRPr="00A406E2" w:rsidR="00297A51" w:rsidP="00552EC0" w:rsidRDefault="00297A51" w14:paraId="4DBECF3A" w14:textId="6140E56D">
            <w:pPr>
              <w:jc w:val="right"/>
              <w:rPr>
                <w:sz w:val="24"/>
                <w:szCs w:val="24"/>
              </w:rPr>
            </w:pPr>
            <w:r w:rsidRPr="00A406E2">
              <w:rPr>
                <w:sz w:val="24"/>
                <w:szCs w:val="24"/>
              </w:rPr>
              <w:t xml:space="preserve"> </w:t>
            </w:r>
          </w:p>
        </w:tc>
      </w:tr>
      <w:tr w:rsidRPr="00A406E2" w:rsidR="00297A51" w:rsidTr="00B90BBB" w14:paraId="2AFF8C9C" w14:textId="77777777">
        <w:tc>
          <w:tcPr>
            <w:tcW w:w="567" w:type="dxa"/>
          </w:tcPr>
          <w:p w:rsidRPr="00A406E2" w:rsidR="00297A51" w:rsidP="00552EC0" w:rsidRDefault="00297A51" w14:paraId="02588055" w14:textId="76D747C3">
            <w:pPr>
              <w:rPr>
                <w:sz w:val="24"/>
                <w:szCs w:val="24"/>
              </w:rPr>
            </w:pPr>
            <w:r w:rsidRPr="00A406E2">
              <w:rPr>
                <w:sz w:val="24"/>
                <w:szCs w:val="24"/>
              </w:rPr>
              <w:t>79</w:t>
            </w:r>
          </w:p>
        </w:tc>
        <w:tc>
          <w:tcPr>
            <w:tcW w:w="6521" w:type="dxa"/>
          </w:tcPr>
          <w:p w:rsidRPr="00A406E2" w:rsidR="00297A51" w:rsidP="00552EC0" w:rsidRDefault="00077114" w14:paraId="39245544" w14:textId="77777777">
            <w:pPr>
              <w:rPr>
                <w:sz w:val="24"/>
                <w:szCs w:val="24"/>
              </w:rPr>
            </w:pPr>
            <w:r w:rsidRPr="00A406E2">
              <w:rPr>
                <w:sz w:val="24"/>
                <w:szCs w:val="24"/>
              </w:rPr>
              <w:t>Acht u het wenselijk dat de subsidie voor de NAE stopgezet wordt met het idee dat de inleg van bedrijven die op kan vangen met oog op de onafhankelijkheid van de NAE? Op welke wijze blijft de onafhankelijkheid van de NAE geborgd?</w:t>
            </w:r>
          </w:p>
          <w:p w:rsidRPr="00A406E2" w:rsidR="007E2F58" w:rsidP="00552EC0" w:rsidRDefault="007E2F58" w14:paraId="183FFA8C" w14:textId="2412935D">
            <w:pPr>
              <w:rPr>
                <w:sz w:val="24"/>
                <w:szCs w:val="24"/>
              </w:rPr>
            </w:pPr>
            <w:r w:rsidRPr="00A406E2">
              <w:rPr>
                <w:sz w:val="24"/>
                <w:szCs w:val="24"/>
              </w:rPr>
              <w:t>Onze inschatting is dat de impact van het eerder stopzetten van het OCW-deel van de subsidie beperkt is en de NAE niet zal hinderen in het uitvoeren van haar activiteiten of het borgen van haar onafhankelijkheid. De subsidie was oorspronkelijk bedoeld als tijdelijk, waarbij het de bedoeling is dat de NAE in deze periode haar financiering voor de lange termijn borgt. Daarnaast is de onafhankelijkheid van de NAE expliciet geborgd in de statuten van de organisatie.</w:t>
            </w:r>
          </w:p>
        </w:tc>
        <w:tc>
          <w:tcPr>
            <w:tcW w:w="850" w:type="dxa"/>
          </w:tcPr>
          <w:p w:rsidRPr="00A406E2" w:rsidR="00297A51" w:rsidP="00552EC0" w:rsidRDefault="00297A51" w14:paraId="697B9324" w14:textId="2988EDFE">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077114" w14:paraId="44C8CB75" w14:textId="0E7CAAAC">
            <w:pPr>
              <w:jc w:val="right"/>
              <w:rPr>
                <w:sz w:val="24"/>
                <w:szCs w:val="24"/>
              </w:rPr>
            </w:pPr>
            <w:r w:rsidRPr="00A406E2">
              <w:rPr>
                <w:sz w:val="24"/>
                <w:szCs w:val="24"/>
              </w:rPr>
              <w:t>54</w:t>
            </w:r>
          </w:p>
        </w:tc>
        <w:tc>
          <w:tcPr>
            <w:tcW w:w="567" w:type="dxa"/>
          </w:tcPr>
          <w:p w:rsidRPr="00A406E2" w:rsidR="00297A51" w:rsidP="00552EC0" w:rsidRDefault="00297A51" w14:paraId="66321940" w14:textId="10105385">
            <w:pPr>
              <w:jc w:val="right"/>
              <w:rPr>
                <w:sz w:val="24"/>
                <w:szCs w:val="24"/>
              </w:rPr>
            </w:pPr>
            <w:r w:rsidRPr="00A406E2">
              <w:rPr>
                <w:sz w:val="24"/>
                <w:szCs w:val="24"/>
              </w:rPr>
              <w:t xml:space="preserve"> </w:t>
            </w:r>
          </w:p>
        </w:tc>
      </w:tr>
      <w:tr w:rsidRPr="00A406E2" w:rsidR="00297A51" w:rsidTr="00B90BBB" w14:paraId="4DBA1DEE" w14:textId="77777777">
        <w:tc>
          <w:tcPr>
            <w:tcW w:w="567" w:type="dxa"/>
          </w:tcPr>
          <w:p w:rsidRPr="00A406E2" w:rsidR="00297A51" w:rsidP="00552EC0" w:rsidRDefault="00297A51" w14:paraId="28C206C7" w14:textId="733363D9">
            <w:pPr>
              <w:rPr>
                <w:sz w:val="24"/>
                <w:szCs w:val="24"/>
              </w:rPr>
            </w:pPr>
            <w:r w:rsidRPr="00A406E2">
              <w:rPr>
                <w:sz w:val="24"/>
                <w:szCs w:val="24"/>
              </w:rPr>
              <w:lastRenderedPageBreak/>
              <w:t>80</w:t>
            </w:r>
          </w:p>
        </w:tc>
        <w:tc>
          <w:tcPr>
            <w:tcW w:w="6521" w:type="dxa"/>
          </w:tcPr>
          <w:p w:rsidRPr="00A406E2" w:rsidR="00297A51" w:rsidP="00552EC0" w:rsidRDefault="00077114" w14:paraId="3B0880FD" w14:textId="77777777">
            <w:pPr>
              <w:rPr>
                <w:sz w:val="24"/>
                <w:szCs w:val="24"/>
              </w:rPr>
            </w:pPr>
            <w:r w:rsidRPr="00A406E2">
              <w:rPr>
                <w:sz w:val="24"/>
                <w:szCs w:val="24"/>
              </w:rPr>
              <w:t>Wat gaat er gebeuren met de €13,4 miljoen die structureel wordt vrijgemaakt in het kader van de Implementatie EU-Richtlijn Geweld tegen Vrouwen en waarvan het beleid richt zich op onder meer het ‘doorbreken van schadelijke genderstereotyperingen’?</w:t>
            </w:r>
          </w:p>
          <w:p w:rsidRPr="00A406E2" w:rsidR="004C258C" w:rsidP="00552EC0" w:rsidRDefault="004C258C" w14:paraId="368ACC6C" w14:textId="1DBD064B">
            <w:pPr>
              <w:rPr>
                <w:sz w:val="24"/>
                <w:szCs w:val="24"/>
              </w:rPr>
            </w:pPr>
            <w:r w:rsidRPr="00A406E2">
              <w:rPr>
                <w:sz w:val="24"/>
                <w:szCs w:val="24"/>
              </w:rPr>
              <w:t>De</w:t>
            </w:r>
            <w:r w:rsidRPr="00A406E2" w:rsidR="002F7060">
              <w:rPr>
                <w:sz w:val="24"/>
                <w:szCs w:val="24"/>
              </w:rPr>
              <w:t>ze</w:t>
            </w:r>
            <w:r w:rsidRPr="00A406E2">
              <w:rPr>
                <w:sz w:val="24"/>
                <w:szCs w:val="24"/>
              </w:rPr>
              <w:t xml:space="preserve"> €</w:t>
            </w:r>
            <w:r w:rsidRPr="00A406E2" w:rsidR="00D84D3F">
              <w:rPr>
                <w:sz w:val="24"/>
                <w:szCs w:val="24"/>
              </w:rPr>
              <w:t xml:space="preserve"> </w:t>
            </w:r>
            <w:r w:rsidRPr="00A406E2">
              <w:rPr>
                <w:sz w:val="24"/>
                <w:szCs w:val="24"/>
              </w:rPr>
              <w:t>13,4 miljoen zal worden besteed aan verschillende primaire preventiemaatregelen (</w:t>
            </w:r>
            <w:r w:rsidRPr="00A406E2" w:rsidR="00A12692">
              <w:rPr>
                <w:sz w:val="24"/>
                <w:szCs w:val="24"/>
              </w:rPr>
              <w:t>zoals het</w:t>
            </w:r>
            <w:r w:rsidRPr="00A406E2">
              <w:rPr>
                <w:sz w:val="24"/>
                <w:szCs w:val="24"/>
              </w:rPr>
              <w:t xml:space="preserve"> investeren in doorbreken van schadelijke stereotypen en tradities, het bevorderen van gelijkwaardigheid en respect en het stimuleren van positieve rolmodellen). De komende tijd wordt er gewerkt aan de nadere invulling. </w:t>
            </w:r>
            <w:r w:rsidRPr="00A406E2" w:rsidR="00FA1919">
              <w:rPr>
                <w:sz w:val="24"/>
                <w:szCs w:val="24"/>
              </w:rPr>
              <w:t>In lijn met de ambities uit het coalitieakkoord worden</w:t>
            </w:r>
            <w:r w:rsidRPr="00A406E2">
              <w:rPr>
                <w:sz w:val="24"/>
                <w:szCs w:val="24"/>
              </w:rPr>
              <w:t xml:space="preserve"> structureel middelen vrijgemaakt voor de nog aan te stellen Nationaal Coördinator geweld tegen vrouwen en </w:t>
            </w:r>
            <w:r w:rsidRPr="00A406E2" w:rsidR="00FA1919">
              <w:rPr>
                <w:sz w:val="24"/>
                <w:szCs w:val="24"/>
              </w:rPr>
              <w:t>H</w:t>
            </w:r>
            <w:r w:rsidRPr="00A406E2">
              <w:rPr>
                <w:sz w:val="24"/>
                <w:szCs w:val="24"/>
              </w:rPr>
              <w:t xml:space="preserve">uiselijk </w:t>
            </w:r>
            <w:r w:rsidRPr="00A406E2" w:rsidR="00FA1919">
              <w:rPr>
                <w:sz w:val="24"/>
                <w:szCs w:val="24"/>
              </w:rPr>
              <w:t>G</w:t>
            </w:r>
            <w:r w:rsidRPr="00A406E2">
              <w:rPr>
                <w:sz w:val="24"/>
                <w:szCs w:val="24"/>
              </w:rPr>
              <w:t>eweld en voor de bekostiging van een onafhankelijk adviesorgaan.</w:t>
            </w:r>
            <w:r w:rsidRPr="00A406E2" w:rsidR="0051654E">
              <w:rPr>
                <w:sz w:val="24"/>
                <w:szCs w:val="24"/>
              </w:rPr>
              <w:t xml:space="preserve"> In de emancipatienota 2026-2030, naar verwachting verstuurd in september 2026, volgt de concrete invulling. </w:t>
            </w:r>
          </w:p>
        </w:tc>
        <w:tc>
          <w:tcPr>
            <w:tcW w:w="850" w:type="dxa"/>
          </w:tcPr>
          <w:p w:rsidRPr="00A406E2" w:rsidR="00297A51" w:rsidP="00552EC0" w:rsidRDefault="00297A51" w14:paraId="05D113B2" w14:textId="238DA4DC">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077114" w14:paraId="40ED3994" w14:textId="7C41C855">
            <w:pPr>
              <w:jc w:val="right"/>
              <w:rPr>
                <w:sz w:val="24"/>
                <w:szCs w:val="24"/>
              </w:rPr>
            </w:pPr>
            <w:r w:rsidRPr="00A406E2">
              <w:rPr>
                <w:sz w:val="24"/>
                <w:szCs w:val="24"/>
              </w:rPr>
              <w:t>56</w:t>
            </w:r>
          </w:p>
        </w:tc>
        <w:tc>
          <w:tcPr>
            <w:tcW w:w="567" w:type="dxa"/>
          </w:tcPr>
          <w:p w:rsidRPr="00A406E2" w:rsidR="00297A51" w:rsidP="00552EC0" w:rsidRDefault="00297A51" w14:paraId="67C6B928" w14:textId="12C537FD">
            <w:pPr>
              <w:jc w:val="right"/>
              <w:rPr>
                <w:sz w:val="24"/>
                <w:szCs w:val="24"/>
              </w:rPr>
            </w:pPr>
            <w:r w:rsidRPr="00A406E2">
              <w:rPr>
                <w:sz w:val="24"/>
                <w:szCs w:val="24"/>
              </w:rPr>
              <w:t xml:space="preserve"> </w:t>
            </w:r>
          </w:p>
        </w:tc>
      </w:tr>
      <w:tr w:rsidRPr="00A406E2" w:rsidR="00297A51" w:rsidTr="00B90BBB" w14:paraId="5BB90923" w14:textId="77777777">
        <w:tc>
          <w:tcPr>
            <w:tcW w:w="567" w:type="dxa"/>
          </w:tcPr>
          <w:p w:rsidRPr="00A406E2" w:rsidR="00297A51" w:rsidP="00552EC0" w:rsidRDefault="00297A51" w14:paraId="781B0A99" w14:textId="7D35520B">
            <w:pPr>
              <w:rPr>
                <w:sz w:val="24"/>
                <w:szCs w:val="24"/>
              </w:rPr>
            </w:pPr>
            <w:r w:rsidRPr="00A406E2">
              <w:rPr>
                <w:sz w:val="24"/>
                <w:szCs w:val="24"/>
              </w:rPr>
              <w:t>81</w:t>
            </w:r>
          </w:p>
        </w:tc>
        <w:tc>
          <w:tcPr>
            <w:tcW w:w="6521" w:type="dxa"/>
          </w:tcPr>
          <w:p w:rsidRPr="00A406E2" w:rsidR="00297A51" w:rsidP="00552EC0" w:rsidRDefault="00077114" w14:paraId="681F5039" w14:textId="77777777">
            <w:pPr>
              <w:rPr>
                <w:sz w:val="24"/>
                <w:szCs w:val="24"/>
              </w:rPr>
            </w:pPr>
            <w:r w:rsidRPr="00A406E2">
              <w:rPr>
                <w:sz w:val="24"/>
                <w:szCs w:val="24"/>
              </w:rPr>
              <w:t>Hoeveel ambtenaren vallen bij het ministerie van Onderwijs, Cultuur en Wetenschap en daaronder vallende uitvoeringsorganisaties onder de nullijn?</w:t>
            </w:r>
          </w:p>
          <w:p w:rsidRPr="00A406E2" w:rsidR="003E634A" w:rsidP="00552EC0" w:rsidRDefault="003E634A" w14:paraId="4072994D" w14:textId="28EDB941">
            <w:pPr>
              <w:rPr>
                <w:sz w:val="24"/>
                <w:szCs w:val="24"/>
              </w:rPr>
            </w:pPr>
            <w:r w:rsidRPr="00A406E2">
              <w:rPr>
                <w:sz w:val="24"/>
                <w:szCs w:val="24"/>
              </w:rPr>
              <w:t xml:space="preserve">Alle medewerkers van het ministerie van </w:t>
            </w:r>
            <w:r w:rsidRPr="00A406E2" w:rsidR="00D84D3F">
              <w:rPr>
                <w:sz w:val="24"/>
                <w:szCs w:val="24"/>
              </w:rPr>
              <w:t xml:space="preserve">OCW </w:t>
            </w:r>
            <w:r w:rsidRPr="00A406E2">
              <w:rPr>
                <w:sz w:val="24"/>
                <w:szCs w:val="24"/>
              </w:rPr>
              <w:t>en de daaronder vallende uitvoeringsorganisaties vallen onder de nullijn. Het betreft 7055 medewerkers (6618 fte).</w:t>
            </w:r>
          </w:p>
        </w:tc>
        <w:tc>
          <w:tcPr>
            <w:tcW w:w="850" w:type="dxa"/>
          </w:tcPr>
          <w:p w:rsidRPr="00A406E2" w:rsidR="00297A51" w:rsidP="00552EC0" w:rsidRDefault="00297A51" w14:paraId="076FF36C" w14:textId="3A252435">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077114" w14:paraId="6CDA1E8B" w14:textId="33D99495">
            <w:pPr>
              <w:jc w:val="right"/>
              <w:rPr>
                <w:sz w:val="24"/>
                <w:szCs w:val="24"/>
              </w:rPr>
            </w:pPr>
            <w:r w:rsidRPr="00A406E2">
              <w:rPr>
                <w:sz w:val="24"/>
                <w:szCs w:val="24"/>
              </w:rPr>
              <w:t>59</w:t>
            </w:r>
          </w:p>
        </w:tc>
        <w:tc>
          <w:tcPr>
            <w:tcW w:w="567" w:type="dxa"/>
          </w:tcPr>
          <w:p w:rsidRPr="00A406E2" w:rsidR="00297A51" w:rsidP="00552EC0" w:rsidRDefault="00297A51" w14:paraId="06D2B010" w14:textId="647FD2CE">
            <w:pPr>
              <w:jc w:val="right"/>
              <w:rPr>
                <w:sz w:val="24"/>
                <w:szCs w:val="24"/>
              </w:rPr>
            </w:pPr>
          </w:p>
        </w:tc>
      </w:tr>
      <w:tr w:rsidRPr="00A406E2" w:rsidR="00781870" w:rsidTr="00B90BBB" w14:paraId="3E308365" w14:textId="77777777">
        <w:tc>
          <w:tcPr>
            <w:tcW w:w="567" w:type="dxa"/>
          </w:tcPr>
          <w:p w:rsidRPr="00A406E2" w:rsidR="00781870" w:rsidP="00552EC0" w:rsidRDefault="00781870" w14:paraId="66DB8AFD" w14:textId="7B98F00F">
            <w:pPr>
              <w:rPr>
                <w:sz w:val="24"/>
                <w:szCs w:val="24"/>
              </w:rPr>
            </w:pPr>
            <w:r w:rsidRPr="00A406E2">
              <w:rPr>
                <w:sz w:val="24"/>
                <w:szCs w:val="24"/>
              </w:rPr>
              <w:t>82</w:t>
            </w:r>
          </w:p>
        </w:tc>
        <w:tc>
          <w:tcPr>
            <w:tcW w:w="6521" w:type="dxa"/>
          </w:tcPr>
          <w:p w:rsidRPr="00A406E2" w:rsidR="00781870" w:rsidP="00552EC0" w:rsidRDefault="001B3332" w14:paraId="35949BB8" w14:textId="77777777">
            <w:pPr>
              <w:rPr>
                <w:sz w:val="24"/>
                <w:szCs w:val="24"/>
              </w:rPr>
            </w:pPr>
            <w:r w:rsidRPr="00A406E2">
              <w:rPr>
                <w:sz w:val="24"/>
                <w:szCs w:val="24"/>
              </w:rPr>
              <w:t xml:space="preserve">Hoeveel ambtenaren bij het ministerie van Onderwijs, Cultuur en Wetenschap en daaronder vallende uitvoeringsorganisaties </w:t>
            </w:r>
            <w:r w:rsidRPr="00A406E2" w:rsidR="00077114">
              <w:rPr>
                <w:sz w:val="24"/>
                <w:szCs w:val="24"/>
              </w:rPr>
              <w:t>bevinden zich in</w:t>
            </w:r>
            <w:r w:rsidRPr="00A406E2">
              <w:rPr>
                <w:sz w:val="24"/>
                <w:szCs w:val="24"/>
              </w:rPr>
              <w:t xml:space="preserve"> de </w:t>
            </w:r>
            <w:r w:rsidRPr="00A406E2" w:rsidR="00077114">
              <w:rPr>
                <w:sz w:val="24"/>
                <w:szCs w:val="24"/>
              </w:rPr>
              <w:t>lagere loonschalen (schaal 1 t/m 6) en wat is het aandeel van deze groep</w:t>
            </w:r>
            <w:r w:rsidRPr="00A406E2">
              <w:rPr>
                <w:sz w:val="24"/>
                <w:szCs w:val="24"/>
              </w:rPr>
              <w:t>?</w:t>
            </w:r>
          </w:p>
          <w:p w:rsidRPr="00A406E2" w:rsidR="003E634A" w:rsidP="00552EC0" w:rsidRDefault="003E634A" w14:paraId="0F7000F4" w14:textId="09F27111">
            <w:pPr>
              <w:rPr>
                <w:sz w:val="24"/>
                <w:szCs w:val="24"/>
              </w:rPr>
            </w:pPr>
            <w:r w:rsidRPr="00A406E2">
              <w:rPr>
                <w:sz w:val="24"/>
                <w:szCs w:val="24"/>
              </w:rPr>
              <w:t>Er bevinden zich 361 medewerkers (308 fte) in de lagere loonschalen 1 t/m 6. Dit is 5% van het totale aantal medewerkers.</w:t>
            </w:r>
          </w:p>
        </w:tc>
        <w:tc>
          <w:tcPr>
            <w:tcW w:w="850" w:type="dxa"/>
          </w:tcPr>
          <w:p w:rsidRPr="00A406E2" w:rsidR="00781870" w:rsidP="00552EC0" w:rsidRDefault="00781870" w14:paraId="56E1397A" w14:textId="03CB1671">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781870" w:rsidP="00552EC0" w:rsidRDefault="001B3332" w14:paraId="1966D6F0" w14:textId="2E279247">
            <w:pPr>
              <w:jc w:val="right"/>
              <w:rPr>
                <w:sz w:val="24"/>
                <w:szCs w:val="24"/>
              </w:rPr>
            </w:pPr>
            <w:r w:rsidRPr="00A406E2">
              <w:rPr>
                <w:sz w:val="24"/>
                <w:szCs w:val="24"/>
              </w:rPr>
              <w:t>59</w:t>
            </w:r>
          </w:p>
        </w:tc>
        <w:tc>
          <w:tcPr>
            <w:tcW w:w="567" w:type="dxa"/>
          </w:tcPr>
          <w:p w:rsidRPr="00A406E2" w:rsidR="00781870" w:rsidP="00552EC0" w:rsidRDefault="001B3332" w14:paraId="195071F5" w14:textId="3F237892">
            <w:pPr>
              <w:jc w:val="right"/>
              <w:rPr>
                <w:sz w:val="24"/>
                <w:szCs w:val="24"/>
              </w:rPr>
            </w:pPr>
            <w:r w:rsidRPr="00A406E2">
              <w:rPr>
                <w:sz w:val="24"/>
                <w:szCs w:val="24"/>
              </w:rPr>
              <w:t xml:space="preserve"> </w:t>
            </w:r>
          </w:p>
        </w:tc>
      </w:tr>
      <w:tr w:rsidRPr="00A406E2" w:rsidR="00297A51" w:rsidTr="00B90BBB" w14:paraId="2A4663F2" w14:textId="77777777">
        <w:tc>
          <w:tcPr>
            <w:tcW w:w="567" w:type="dxa"/>
          </w:tcPr>
          <w:p w:rsidRPr="00A406E2" w:rsidR="00297A51" w:rsidP="00552EC0" w:rsidRDefault="00676102" w14:paraId="64A06DD0" w14:textId="1349EF88">
            <w:pPr>
              <w:rPr>
                <w:sz w:val="24"/>
                <w:szCs w:val="24"/>
              </w:rPr>
            </w:pPr>
            <w:r w:rsidRPr="00A406E2">
              <w:rPr>
                <w:sz w:val="24"/>
                <w:szCs w:val="24"/>
              </w:rPr>
              <w:t>83</w:t>
            </w:r>
          </w:p>
        </w:tc>
        <w:tc>
          <w:tcPr>
            <w:tcW w:w="6521" w:type="dxa"/>
          </w:tcPr>
          <w:p w:rsidRPr="00A406E2" w:rsidR="00297A51" w:rsidP="00552EC0" w:rsidRDefault="00077114" w14:paraId="7D71C24B" w14:textId="77777777">
            <w:pPr>
              <w:rPr>
                <w:sz w:val="24"/>
                <w:szCs w:val="24"/>
              </w:rPr>
            </w:pPr>
            <w:r w:rsidRPr="00A406E2">
              <w:rPr>
                <w:sz w:val="24"/>
                <w:szCs w:val="24"/>
              </w:rPr>
              <w:t>Welke functies of beroepen</w:t>
            </w:r>
            <w:r w:rsidRPr="00A406E2" w:rsidR="00297A51">
              <w:rPr>
                <w:sz w:val="24"/>
                <w:szCs w:val="24"/>
              </w:rPr>
              <w:t xml:space="preserve"> bij het ministerie van Onderwijs, Cultuur en Wetenschap en daaronder vallende uitvoeringsorganisaties </w:t>
            </w:r>
            <w:r w:rsidRPr="00A406E2">
              <w:rPr>
                <w:sz w:val="24"/>
                <w:szCs w:val="24"/>
              </w:rPr>
              <w:t>vallen voornamelijk binnen</w:t>
            </w:r>
            <w:r w:rsidRPr="00A406E2" w:rsidR="00297A51">
              <w:rPr>
                <w:sz w:val="24"/>
                <w:szCs w:val="24"/>
              </w:rPr>
              <w:t xml:space="preserve"> de </w:t>
            </w:r>
            <w:r w:rsidRPr="00A406E2" w:rsidR="001B3332">
              <w:rPr>
                <w:sz w:val="24"/>
                <w:szCs w:val="24"/>
              </w:rPr>
              <w:t>lagere loonschalen (schaal 1 t/m 6</w:t>
            </w:r>
            <w:r w:rsidRPr="00A406E2">
              <w:rPr>
                <w:sz w:val="24"/>
                <w:szCs w:val="24"/>
              </w:rPr>
              <w:t>)? Wat is de huidige</w:t>
            </w:r>
            <w:r w:rsidRPr="00A406E2" w:rsidR="001B3332">
              <w:rPr>
                <w:sz w:val="24"/>
                <w:szCs w:val="24"/>
              </w:rPr>
              <w:t xml:space="preserve"> en </w:t>
            </w:r>
            <w:r w:rsidRPr="00A406E2">
              <w:rPr>
                <w:sz w:val="24"/>
                <w:szCs w:val="24"/>
              </w:rPr>
              <w:t>verwachte personeelskrapte binnen</w:t>
            </w:r>
            <w:r w:rsidRPr="00A406E2" w:rsidR="001B3332">
              <w:rPr>
                <w:sz w:val="24"/>
                <w:szCs w:val="24"/>
              </w:rPr>
              <w:t xml:space="preserve"> deze </w:t>
            </w:r>
            <w:r w:rsidRPr="00A406E2">
              <w:rPr>
                <w:sz w:val="24"/>
                <w:szCs w:val="24"/>
              </w:rPr>
              <w:t>functies</w:t>
            </w:r>
            <w:r w:rsidRPr="00A406E2" w:rsidR="00297A51">
              <w:rPr>
                <w:sz w:val="24"/>
                <w:szCs w:val="24"/>
              </w:rPr>
              <w:t>?</w:t>
            </w:r>
          </w:p>
          <w:p w:rsidRPr="00A406E2" w:rsidR="003E634A" w:rsidP="00552EC0" w:rsidRDefault="003E634A" w14:paraId="79A1A631" w14:textId="0A9ABD8E">
            <w:pPr>
              <w:rPr>
                <w:sz w:val="24"/>
                <w:szCs w:val="24"/>
              </w:rPr>
            </w:pPr>
            <w:r w:rsidRPr="00A406E2">
              <w:rPr>
                <w:sz w:val="24"/>
                <w:szCs w:val="24"/>
              </w:rPr>
              <w:t>Dit betreft een hoeveelheid aan functies zoals managementondersteuners, medewerkers klantenservice, medewerkers administratie en medewerkers facilitair management. Bij deze functies zien we (</w:t>
            </w:r>
            <w:proofErr w:type="spellStart"/>
            <w:r w:rsidRPr="00A406E2">
              <w:rPr>
                <w:sz w:val="24"/>
                <w:szCs w:val="24"/>
              </w:rPr>
              <w:t>rijksbreed</w:t>
            </w:r>
            <w:proofErr w:type="spellEnd"/>
            <w:r w:rsidRPr="00A406E2">
              <w:rPr>
                <w:sz w:val="24"/>
                <w:szCs w:val="24"/>
              </w:rPr>
              <w:t>) wat krapte ontstaan bij de managementondersteuners. Over het algemeen liggen de schaarse functies binnen de ICT, financiële en juridische functies, deze functies vallen in de hogere loonschalen.</w:t>
            </w:r>
          </w:p>
        </w:tc>
        <w:tc>
          <w:tcPr>
            <w:tcW w:w="850" w:type="dxa"/>
          </w:tcPr>
          <w:p w:rsidRPr="00A406E2" w:rsidR="00297A51" w:rsidP="00552EC0" w:rsidRDefault="00297A51" w14:paraId="497199A4" w14:textId="38DF1ECA">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A406E2" w:rsidR="00297A51" w:rsidP="00552EC0" w:rsidRDefault="00297A51" w14:paraId="261FFB87" w14:textId="205E0806">
            <w:pPr>
              <w:jc w:val="right"/>
              <w:rPr>
                <w:sz w:val="24"/>
                <w:szCs w:val="24"/>
              </w:rPr>
            </w:pPr>
            <w:r w:rsidRPr="00A406E2">
              <w:rPr>
                <w:sz w:val="24"/>
                <w:szCs w:val="24"/>
              </w:rPr>
              <w:t>59</w:t>
            </w:r>
          </w:p>
        </w:tc>
        <w:tc>
          <w:tcPr>
            <w:tcW w:w="567" w:type="dxa"/>
          </w:tcPr>
          <w:p w:rsidRPr="00A406E2" w:rsidR="00297A51" w:rsidP="00552EC0" w:rsidRDefault="00297A51" w14:paraId="34012071" w14:textId="423553F2">
            <w:pPr>
              <w:jc w:val="right"/>
              <w:rPr>
                <w:sz w:val="24"/>
                <w:szCs w:val="24"/>
              </w:rPr>
            </w:pPr>
            <w:r w:rsidRPr="00A406E2">
              <w:rPr>
                <w:sz w:val="24"/>
                <w:szCs w:val="24"/>
              </w:rPr>
              <w:t xml:space="preserve"> </w:t>
            </w:r>
          </w:p>
        </w:tc>
      </w:tr>
      <w:tr w:rsidRPr="00336386" w:rsidR="00297A51" w:rsidTr="00B90BBB" w14:paraId="7509DC2F" w14:textId="77777777">
        <w:tc>
          <w:tcPr>
            <w:tcW w:w="567" w:type="dxa"/>
          </w:tcPr>
          <w:p w:rsidRPr="00A406E2" w:rsidR="00297A51" w:rsidP="00552EC0" w:rsidRDefault="00676102" w14:paraId="69750D09" w14:textId="6BA78F64">
            <w:pPr>
              <w:rPr>
                <w:sz w:val="24"/>
                <w:szCs w:val="24"/>
              </w:rPr>
            </w:pPr>
            <w:r w:rsidRPr="00A406E2">
              <w:rPr>
                <w:sz w:val="24"/>
                <w:szCs w:val="24"/>
              </w:rPr>
              <w:t>84</w:t>
            </w:r>
          </w:p>
        </w:tc>
        <w:tc>
          <w:tcPr>
            <w:tcW w:w="6521" w:type="dxa"/>
          </w:tcPr>
          <w:p w:rsidRPr="00A406E2" w:rsidR="00297A51" w:rsidP="00552EC0" w:rsidRDefault="00077114" w14:paraId="07219AAB" w14:textId="77777777">
            <w:pPr>
              <w:rPr>
                <w:sz w:val="24"/>
                <w:szCs w:val="24"/>
              </w:rPr>
            </w:pPr>
            <w:r w:rsidRPr="00A406E2">
              <w:rPr>
                <w:sz w:val="24"/>
                <w:szCs w:val="24"/>
              </w:rPr>
              <w:t>Zijn er interne analyses</w:t>
            </w:r>
            <w:r w:rsidRPr="00A406E2" w:rsidR="001B3332">
              <w:rPr>
                <w:sz w:val="24"/>
                <w:szCs w:val="24"/>
              </w:rPr>
              <w:t xml:space="preserve"> of </w:t>
            </w:r>
            <w:r w:rsidRPr="00A406E2">
              <w:rPr>
                <w:sz w:val="24"/>
                <w:szCs w:val="24"/>
              </w:rPr>
              <w:t>risico-inschattingen gemaakt over de effecten van de nullijn</w:t>
            </w:r>
            <w:r w:rsidRPr="00A406E2" w:rsidR="00297A51">
              <w:rPr>
                <w:sz w:val="24"/>
                <w:szCs w:val="24"/>
              </w:rPr>
              <w:t xml:space="preserve"> bij het ministerie van Onderwijs, Cultuur en Wetenschap en daaronder vallende uitvoeringsorganisaties</w:t>
            </w:r>
            <w:r w:rsidRPr="00A406E2">
              <w:rPr>
                <w:sz w:val="24"/>
                <w:szCs w:val="24"/>
              </w:rPr>
              <w:t>, bijvoorbeeld op de instroom of uitstroom? Zo ja, kunnen deze worden gedeeld?</w:t>
            </w:r>
          </w:p>
          <w:p w:rsidRPr="00A406E2" w:rsidR="003E634A" w:rsidP="00552EC0" w:rsidRDefault="003E634A" w14:paraId="4A81EF1B" w14:textId="2F373F01">
            <w:pPr>
              <w:rPr>
                <w:sz w:val="24"/>
                <w:szCs w:val="24"/>
              </w:rPr>
            </w:pPr>
            <w:r w:rsidRPr="00A406E2">
              <w:rPr>
                <w:sz w:val="24"/>
                <w:szCs w:val="24"/>
              </w:rPr>
              <w:t>Deze analyses of risico-inschattingen zijn niet gemaakt.</w:t>
            </w:r>
          </w:p>
        </w:tc>
        <w:tc>
          <w:tcPr>
            <w:tcW w:w="850" w:type="dxa"/>
          </w:tcPr>
          <w:p w:rsidRPr="00A406E2" w:rsidR="00297A51" w:rsidP="00552EC0" w:rsidRDefault="00297A51" w14:paraId="75BEBAAB" w14:textId="2DA10BEC">
            <w:pPr>
              <w:jc w:val="right"/>
              <w:rPr>
                <w:sz w:val="24"/>
                <w:szCs w:val="24"/>
              </w:rPr>
            </w:pPr>
            <w:r w:rsidRPr="00A406E2">
              <w:rPr>
                <w:sz w:val="24"/>
                <w:szCs w:val="24"/>
              </w:rPr>
              <w:t>36915-</w:t>
            </w:r>
            <w:r w:rsidRPr="00A406E2">
              <w:rPr>
                <w:color w:val="000000"/>
                <w:sz w:val="24"/>
                <w:szCs w:val="24"/>
                <w:bdr w:val="none" w:color="auto" w:sz="0" w:space="0" w:frame="1"/>
              </w:rPr>
              <w:t xml:space="preserve"> </w:t>
            </w:r>
            <w:r w:rsidRPr="00A406E2">
              <w:rPr>
                <w:sz w:val="24"/>
                <w:szCs w:val="24"/>
              </w:rPr>
              <w:t>VIII-2</w:t>
            </w:r>
          </w:p>
        </w:tc>
        <w:tc>
          <w:tcPr>
            <w:tcW w:w="992" w:type="dxa"/>
          </w:tcPr>
          <w:p w:rsidRPr="00336386" w:rsidR="00297A51" w:rsidP="00552EC0" w:rsidRDefault="00297A51" w14:paraId="310C267C" w14:textId="120DEF51">
            <w:pPr>
              <w:jc w:val="right"/>
              <w:rPr>
                <w:sz w:val="24"/>
                <w:szCs w:val="24"/>
              </w:rPr>
            </w:pPr>
            <w:r w:rsidRPr="00A406E2">
              <w:rPr>
                <w:sz w:val="24"/>
                <w:szCs w:val="24"/>
              </w:rPr>
              <w:t>59</w:t>
            </w:r>
          </w:p>
        </w:tc>
        <w:tc>
          <w:tcPr>
            <w:tcW w:w="567" w:type="dxa"/>
          </w:tcPr>
          <w:p w:rsidRPr="00336386" w:rsidR="00297A51" w:rsidP="00552EC0" w:rsidRDefault="00297A51" w14:paraId="3A2D4055" w14:textId="6D7BF0A3">
            <w:pPr>
              <w:jc w:val="right"/>
              <w:rPr>
                <w:sz w:val="24"/>
                <w:szCs w:val="24"/>
              </w:rPr>
            </w:pPr>
            <w:r w:rsidRPr="00336386">
              <w:rPr>
                <w:sz w:val="24"/>
                <w:szCs w:val="24"/>
              </w:rPr>
              <w:t xml:space="preserve"> </w:t>
            </w:r>
          </w:p>
        </w:tc>
      </w:tr>
    </w:tbl>
    <w:p w:rsidRPr="00336386" w:rsidR="00073B52" w:rsidRDefault="00073B52" w14:paraId="2EB985C2" w14:textId="77777777">
      <w:pPr>
        <w:rPr>
          <w:sz w:val="24"/>
          <w:szCs w:val="24"/>
        </w:rPr>
      </w:pPr>
    </w:p>
    <w:sectPr w:rsidRPr="00336386" w:rsidR="00073B52" w:rsidSect="00B915EC">
      <w:footerReference w:type="default" r:id="rId28"/>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31F8F" w14:textId="77777777" w:rsidR="00833D6E" w:rsidRDefault="00833D6E">
      <w:pPr>
        <w:spacing w:before="0" w:after="0"/>
      </w:pPr>
      <w:r>
        <w:separator/>
      </w:r>
    </w:p>
  </w:endnote>
  <w:endnote w:type="continuationSeparator" w:id="0">
    <w:p w14:paraId="6587F39F" w14:textId="77777777" w:rsidR="00833D6E" w:rsidRDefault="00833D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3C4A" w14:textId="55DFD990" w:rsidR="00073B52" w:rsidRDefault="001856D0">
    <w:pPr>
      <w:pStyle w:val="Voettekst"/>
    </w:pPr>
    <w:r>
      <w:t>Totaallijst feitelijke vragen Wijziging van de begrotingsstaten van het ministerie van Onderwijs, Cultuur en Wetenschap (VIII) voor het jaar 2026 (wijziging samenhangende met de Voorjaarsnota) (36915-</w:t>
    </w:r>
    <w:r w:rsidR="007C16A0">
      <w:t>VIII</w:t>
    </w:r>
    <w:r>
      <w:t xml:space="preserve">-0)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28E9B" w14:textId="77777777" w:rsidR="00833D6E" w:rsidRDefault="00833D6E">
      <w:pPr>
        <w:spacing w:before="0" w:after="0"/>
      </w:pPr>
      <w:r>
        <w:separator/>
      </w:r>
    </w:p>
  </w:footnote>
  <w:footnote w:type="continuationSeparator" w:id="0">
    <w:p w14:paraId="442E84B3" w14:textId="77777777" w:rsidR="00833D6E" w:rsidRDefault="00833D6E">
      <w:pPr>
        <w:spacing w:before="0" w:after="0"/>
      </w:pPr>
      <w:r>
        <w:continuationSeparator/>
      </w:r>
    </w:p>
  </w:footnote>
  <w:footnote w:id="1">
    <w:p w14:paraId="2ECCE0CD" w14:textId="0EBA415E" w:rsidR="003B2FF4" w:rsidRPr="003B2FF4" w:rsidRDefault="003B2FF4">
      <w:pPr>
        <w:pStyle w:val="Voetnoottekst"/>
      </w:pPr>
      <w:r w:rsidRPr="003B2FF4">
        <w:rPr>
          <w:rStyle w:val="Voetnootmarkering"/>
        </w:rPr>
        <w:footnoteRef/>
      </w:r>
      <w:r w:rsidRPr="003B2FF4">
        <w:t xml:space="preserve"> Kamerstuk 36 600 VIII, nr. 141</w:t>
      </w:r>
    </w:p>
  </w:footnote>
  <w:footnote w:id="2">
    <w:p w14:paraId="699684DE" w14:textId="6C38CBB9" w:rsidR="00847DA9" w:rsidRDefault="00847DA9">
      <w:pPr>
        <w:pStyle w:val="Voetnoottekst"/>
      </w:pPr>
      <w:r>
        <w:rPr>
          <w:rStyle w:val="Voetnootmarkering"/>
        </w:rPr>
        <w:footnoteRef/>
      </w:r>
      <w:r>
        <w:t xml:space="preserve"> Kamerstuk </w:t>
      </w:r>
      <w:r w:rsidRPr="00847DA9">
        <w:t>36800-VIII</w:t>
      </w:r>
      <w:r>
        <w:t xml:space="preserve">, nr. </w:t>
      </w:r>
      <w:r w:rsidRPr="00847DA9">
        <w:t>106</w:t>
      </w:r>
    </w:p>
  </w:footnote>
  <w:footnote w:id="3">
    <w:p w14:paraId="6043ECFD" w14:textId="15D3FE9C" w:rsidR="003A4106" w:rsidRPr="003A4106" w:rsidRDefault="003A4106">
      <w:pPr>
        <w:pStyle w:val="Voetnoottekst"/>
      </w:pPr>
      <w:r w:rsidRPr="003A4106">
        <w:rPr>
          <w:rStyle w:val="Voetnootmarkering"/>
        </w:rPr>
        <w:footnoteRef/>
      </w:r>
      <w:r w:rsidRPr="003A4106">
        <w:t xml:space="preserve"> Kamerstuk 27 923, nr. 515, blz. 11</w:t>
      </w:r>
    </w:p>
  </w:footnote>
  <w:footnote w:id="4">
    <w:p w14:paraId="4237D104" w14:textId="3123AFDB" w:rsidR="00411AA4" w:rsidRPr="00411AA4" w:rsidRDefault="00411AA4">
      <w:pPr>
        <w:pStyle w:val="Voetnoottekst"/>
      </w:pPr>
      <w:r w:rsidRPr="00411AA4">
        <w:rPr>
          <w:rStyle w:val="Voetnootmarkering"/>
        </w:rPr>
        <w:footnoteRef/>
      </w:r>
      <w:r w:rsidRPr="00411AA4">
        <w:t xml:space="preserve"> Kamerstuk 36 800 IX, nr. 22</w:t>
      </w:r>
    </w:p>
  </w:footnote>
  <w:footnote w:id="5">
    <w:p w14:paraId="0D0CF125" w14:textId="77777777" w:rsidR="00077114" w:rsidRDefault="00077114">
      <w:pPr>
        <w:pStyle w:val="Voetnoottekst"/>
      </w:pPr>
      <w:r>
        <w:rPr>
          <w:rStyle w:val="Voetnootmarkering"/>
        </w:rPr>
        <w:footnoteRef/>
      </w:r>
      <w:r>
        <w:t xml:space="preserve"> </w:t>
      </w:r>
      <w:r w:rsidRPr="00AB2CD6">
        <w:t>Kamerstuk 32 820, nr. 549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1D60"/>
    <w:rsid w:val="00010498"/>
    <w:rsid w:val="00013465"/>
    <w:rsid w:val="00021B60"/>
    <w:rsid w:val="00036E8F"/>
    <w:rsid w:val="00041A78"/>
    <w:rsid w:val="0004593E"/>
    <w:rsid w:val="00050408"/>
    <w:rsid w:val="000530DF"/>
    <w:rsid w:val="000554E2"/>
    <w:rsid w:val="000567E9"/>
    <w:rsid w:val="00061642"/>
    <w:rsid w:val="0006289E"/>
    <w:rsid w:val="00073B52"/>
    <w:rsid w:val="00075789"/>
    <w:rsid w:val="00077114"/>
    <w:rsid w:val="00094ABB"/>
    <w:rsid w:val="00094E9B"/>
    <w:rsid w:val="000A5D74"/>
    <w:rsid w:val="000F04E9"/>
    <w:rsid w:val="000F0CA9"/>
    <w:rsid w:val="000F6F0A"/>
    <w:rsid w:val="00112CEE"/>
    <w:rsid w:val="00134E11"/>
    <w:rsid w:val="00142F7C"/>
    <w:rsid w:val="00145239"/>
    <w:rsid w:val="00160F91"/>
    <w:rsid w:val="00164B90"/>
    <w:rsid w:val="0016582F"/>
    <w:rsid w:val="00167333"/>
    <w:rsid w:val="00167A9D"/>
    <w:rsid w:val="00175070"/>
    <w:rsid w:val="001832B9"/>
    <w:rsid w:val="001856D0"/>
    <w:rsid w:val="00197085"/>
    <w:rsid w:val="001A47AF"/>
    <w:rsid w:val="001A56AB"/>
    <w:rsid w:val="001B3332"/>
    <w:rsid w:val="001C1180"/>
    <w:rsid w:val="001D5EFD"/>
    <w:rsid w:val="001E35D6"/>
    <w:rsid w:val="001E59AF"/>
    <w:rsid w:val="001F1161"/>
    <w:rsid w:val="00201CCD"/>
    <w:rsid w:val="00230896"/>
    <w:rsid w:val="00232E5A"/>
    <w:rsid w:val="00246D28"/>
    <w:rsid w:val="0025573B"/>
    <w:rsid w:val="00264200"/>
    <w:rsid w:val="00272407"/>
    <w:rsid w:val="00280580"/>
    <w:rsid w:val="00281342"/>
    <w:rsid w:val="002841B4"/>
    <w:rsid w:val="00292A01"/>
    <w:rsid w:val="00297A51"/>
    <w:rsid w:val="002A3793"/>
    <w:rsid w:val="002A4563"/>
    <w:rsid w:val="002E755D"/>
    <w:rsid w:val="002F5444"/>
    <w:rsid w:val="002F7060"/>
    <w:rsid w:val="00306568"/>
    <w:rsid w:val="00320FC3"/>
    <w:rsid w:val="00322112"/>
    <w:rsid w:val="00336386"/>
    <w:rsid w:val="00352F3E"/>
    <w:rsid w:val="0035404A"/>
    <w:rsid w:val="00364E03"/>
    <w:rsid w:val="00374866"/>
    <w:rsid w:val="0038154B"/>
    <w:rsid w:val="003A4106"/>
    <w:rsid w:val="003A7AD7"/>
    <w:rsid w:val="003B2FF4"/>
    <w:rsid w:val="003D35C1"/>
    <w:rsid w:val="003D44DD"/>
    <w:rsid w:val="003E529F"/>
    <w:rsid w:val="003E634A"/>
    <w:rsid w:val="00404FCA"/>
    <w:rsid w:val="00406D95"/>
    <w:rsid w:val="00411AA4"/>
    <w:rsid w:val="00424A17"/>
    <w:rsid w:val="004260EA"/>
    <w:rsid w:val="00426E81"/>
    <w:rsid w:val="00454BBB"/>
    <w:rsid w:val="004614FB"/>
    <w:rsid w:val="00475B58"/>
    <w:rsid w:val="0047782A"/>
    <w:rsid w:val="004870E4"/>
    <w:rsid w:val="00491A4B"/>
    <w:rsid w:val="00491C76"/>
    <w:rsid w:val="004B49CB"/>
    <w:rsid w:val="004B6EDC"/>
    <w:rsid w:val="004C21D8"/>
    <w:rsid w:val="004C258C"/>
    <w:rsid w:val="004C26DD"/>
    <w:rsid w:val="004C475D"/>
    <w:rsid w:val="004D5A33"/>
    <w:rsid w:val="004D6217"/>
    <w:rsid w:val="004E054F"/>
    <w:rsid w:val="004E46EB"/>
    <w:rsid w:val="0051654E"/>
    <w:rsid w:val="00527B74"/>
    <w:rsid w:val="00537F0A"/>
    <w:rsid w:val="0054321C"/>
    <w:rsid w:val="00551D9C"/>
    <w:rsid w:val="00552EC0"/>
    <w:rsid w:val="005543A7"/>
    <w:rsid w:val="005626F1"/>
    <w:rsid w:val="0057003F"/>
    <w:rsid w:val="00573460"/>
    <w:rsid w:val="00574684"/>
    <w:rsid w:val="00577979"/>
    <w:rsid w:val="0058415C"/>
    <w:rsid w:val="005B3344"/>
    <w:rsid w:val="005C1139"/>
    <w:rsid w:val="005D11B2"/>
    <w:rsid w:val="005D3371"/>
    <w:rsid w:val="005F3743"/>
    <w:rsid w:val="00617D8F"/>
    <w:rsid w:val="006326D2"/>
    <w:rsid w:val="006455AA"/>
    <w:rsid w:val="0064619B"/>
    <w:rsid w:val="0065367A"/>
    <w:rsid w:val="00656AB5"/>
    <w:rsid w:val="00676102"/>
    <w:rsid w:val="00683F31"/>
    <w:rsid w:val="00692B05"/>
    <w:rsid w:val="006A56C7"/>
    <w:rsid w:val="006B02AB"/>
    <w:rsid w:val="006B2921"/>
    <w:rsid w:val="006D5935"/>
    <w:rsid w:val="006E066C"/>
    <w:rsid w:val="006E1E65"/>
    <w:rsid w:val="006F4B9C"/>
    <w:rsid w:val="00712C5B"/>
    <w:rsid w:val="00721E38"/>
    <w:rsid w:val="00723A40"/>
    <w:rsid w:val="00733E5E"/>
    <w:rsid w:val="00745C8B"/>
    <w:rsid w:val="007658A3"/>
    <w:rsid w:val="00765F43"/>
    <w:rsid w:val="0077584F"/>
    <w:rsid w:val="00775FD5"/>
    <w:rsid w:val="00777D68"/>
    <w:rsid w:val="007810F3"/>
    <w:rsid w:val="00781870"/>
    <w:rsid w:val="007A4491"/>
    <w:rsid w:val="007B0C39"/>
    <w:rsid w:val="007B2DBF"/>
    <w:rsid w:val="007B540D"/>
    <w:rsid w:val="007B58CF"/>
    <w:rsid w:val="007C135C"/>
    <w:rsid w:val="007C16A0"/>
    <w:rsid w:val="007C3D7A"/>
    <w:rsid w:val="007E2F58"/>
    <w:rsid w:val="00803740"/>
    <w:rsid w:val="00805981"/>
    <w:rsid w:val="00815872"/>
    <w:rsid w:val="008223AE"/>
    <w:rsid w:val="0082633B"/>
    <w:rsid w:val="00833D6E"/>
    <w:rsid w:val="008403AC"/>
    <w:rsid w:val="00842E0C"/>
    <w:rsid w:val="00847DA9"/>
    <w:rsid w:val="008549EB"/>
    <w:rsid w:val="00855D99"/>
    <w:rsid w:val="00867C42"/>
    <w:rsid w:val="00870F2B"/>
    <w:rsid w:val="00871E98"/>
    <w:rsid w:val="00872727"/>
    <w:rsid w:val="008814FC"/>
    <w:rsid w:val="008906C0"/>
    <w:rsid w:val="00894378"/>
    <w:rsid w:val="00894624"/>
    <w:rsid w:val="008A12FD"/>
    <w:rsid w:val="008A4C8B"/>
    <w:rsid w:val="008B0E59"/>
    <w:rsid w:val="008B6FFA"/>
    <w:rsid w:val="008F7C35"/>
    <w:rsid w:val="00914DB1"/>
    <w:rsid w:val="00924F6F"/>
    <w:rsid w:val="00925BB1"/>
    <w:rsid w:val="0093459B"/>
    <w:rsid w:val="009375CC"/>
    <w:rsid w:val="009409D2"/>
    <w:rsid w:val="00963C26"/>
    <w:rsid w:val="00977388"/>
    <w:rsid w:val="00982049"/>
    <w:rsid w:val="00986EAA"/>
    <w:rsid w:val="00993F62"/>
    <w:rsid w:val="00996941"/>
    <w:rsid w:val="009A2D68"/>
    <w:rsid w:val="009C112E"/>
    <w:rsid w:val="009D218B"/>
    <w:rsid w:val="009D29EC"/>
    <w:rsid w:val="009E7A68"/>
    <w:rsid w:val="00A06D74"/>
    <w:rsid w:val="00A123B1"/>
    <w:rsid w:val="00A12692"/>
    <w:rsid w:val="00A2321B"/>
    <w:rsid w:val="00A3155E"/>
    <w:rsid w:val="00A3345B"/>
    <w:rsid w:val="00A4029D"/>
    <w:rsid w:val="00A406E2"/>
    <w:rsid w:val="00A44400"/>
    <w:rsid w:val="00A56BB2"/>
    <w:rsid w:val="00A57502"/>
    <w:rsid w:val="00A7030A"/>
    <w:rsid w:val="00A77C3E"/>
    <w:rsid w:val="00A81948"/>
    <w:rsid w:val="00A847AB"/>
    <w:rsid w:val="00A9197A"/>
    <w:rsid w:val="00A92D48"/>
    <w:rsid w:val="00A92F60"/>
    <w:rsid w:val="00AA6007"/>
    <w:rsid w:val="00AB2CD6"/>
    <w:rsid w:val="00AB7606"/>
    <w:rsid w:val="00AC3D3F"/>
    <w:rsid w:val="00AD16E7"/>
    <w:rsid w:val="00AD6C6E"/>
    <w:rsid w:val="00AE2819"/>
    <w:rsid w:val="00AF0B9C"/>
    <w:rsid w:val="00AF1449"/>
    <w:rsid w:val="00B065AE"/>
    <w:rsid w:val="00B21263"/>
    <w:rsid w:val="00B250DA"/>
    <w:rsid w:val="00B306E5"/>
    <w:rsid w:val="00B3135A"/>
    <w:rsid w:val="00B56DEB"/>
    <w:rsid w:val="00B77CD3"/>
    <w:rsid w:val="00B8556A"/>
    <w:rsid w:val="00B90BBB"/>
    <w:rsid w:val="00B915EC"/>
    <w:rsid w:val="00B93226"/>
    <w:rsid w:val="00B9452D"/>
    <w:rsid w:val="00B97AD0"/>
    <w:rsid w:val="00BB2D7B"/>
    <w:rsid w:val="00BB708E"/>
    <w:rsid w:val="00BC22D0"/>
    <w:rsid w:val="00BD09F8"/>
    <w:rsid w:val="00BE00F8"/>
    <w:rsid w:val="00C10E07"/>
    <w:rsid w:val="00C25F4D"/>
    <w:rsid w:val="00C40A8A"/>
    <w:rsid w:val="00C43BDC"/>
    <w:rsid w:val="00C44E05"/>
    <w:rsid w:val="00C55682"/>
    <w:rsid w:val="00C623E5"/>
    <w:rsid w:val="00C649B0"/>
    <w:rsid w:val="00C94B9F"/>
    <w:rsid w:val="00CA1288"/>
    <w:rsid w:val="00CA2574"/>
    <w:rsid w:val="00CA6EBB"/>
    <w:rsid w:val="00CB1642"/>
    <w:rsid w:val="00CB78A0"/>
    <w:rsid w:val="00CC5DC3"/>
    <w:rsid w:val="00CD2255"/>
    <w:rsid w:val="00CD3A6D"/>
    <w:rsid w:val="00CD407E"/>
    <w:rsid w:val="00CE0EBF"/>
    <w:rsid w:val="00CF496C"/>
    <w:rsid w:val="00CF7664"/>
    <w:rsid w:val="00D2288F"/>
    <w:rsid w:val="00D305A2"/>
    <w:rsid w:val="00D4108C"/>
    <w:rsid w:val="00D53410"/>
    <w:rsid w:val="00D67B1E"/>
    <w:rsid w:val="00D813C3"/>
    <w:rsid w:val="00D82AEA"/>
    <w:rsid w:val="00D84D3F"/>
    <w:rsid w:val="00DB1079"/>
    <w:rsid w:val="00DB1F8F"/>
    <w:rsid w:val="00DB45BC"/>
    <w:rsid w:val="00DD26FA"/>
    <w:rsid w:val="00DD47D3"/>
    <w:rsid w:val="00DD4A32"/>
    <w:rsid w:val="00DE2355"/>
    <w:rsid w:val="00DE4BB5"/>
    <w:rsid w:val="00DF358E"/>
    <w:rsid w:val="00DF46A2"/>
    <w:rsid w:val="00E007D3"/>
    <w:rsid w:val="00E176AC"/>
    <w:rsid w:val="00E263A4"/>
    <w:rsid w:val="00E416EF"/>
    <w:rsid w:val="00E45245"/>
    <w:rsid w:val="00E51EF8"/>
    <w:rsid w:val="00E603A0"/>
    <w:rsid w:val="00E665DF"/>
    <w:rsid w:val="00E7153D"/>
    <w:rsid w:val="00E76B33"/>
    <w:rsid w:val="00E82114"/>
    <w:rsid w:val="00EB7AD9"/>
    <w:rsid w:val="00EC34A1"/>
    <w:rsid w:val="00EC7EE1"/>
    <w:rsid w:val="00ED20A5"/>
    <w:rsid w:val="00EE5CFA"/>
    <w:rsid w:val="00EF7274"/>
    <w:rsid w:val="00F13E99"/>
    <w:rsid w:val="00F17A20"/>
    <w:rsid w:val="00F27647"/>
    <w:rsid w:val="00F41CFA"/>
    <w:rsid w:val="00F4552E"/>
    <w:rsid w:val="00F55E47"/>
    <w:rsid w:val="00F61A71"/>
    <w:rsid w:val="00F70623"/>
    <w:rsid w:val="00F73959"/>
    <w:rsid w:val="00F90D6E"/>
    <w:rsid w:val="00F9178D"/>
    <w:rsid w:val="00FA1919"/>
    <w:rsid w:val="00FA1EC7"/>
    <w:rsid w:val="00FA2683"/>
    <w:rsid w:val="00FD626B"/>
    <w:rsid w:val="00FE3BFD"/>
    <w:rsid w:val="00FE3FFF"/>
    <w:rsid w:val="00FF35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A92E8"/>
  <w15:docId w15:val="{B2FD8587-0D68-4447-8ADD-829E79FB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5245"/>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3B2FF4"/>
    <w:pPr>
      <w:spacing w:before="0" w:after="0"/>
    </w:pPr>
  </w:style>
  <w:style w:type="character" w:customStyle="1" w:styleId="VoetnoottekstChar">
    <w:name w:val="Voetnoottekst Char"/>
    <w:basedOn w:val="Standaardalinea-lettertype"/>
    <w:link w:val="Voetnoottekst"/>
    <w:uiPriority w:val="99"/>
    <w:semiHidden/>
    <w:rsid w:val="003B2FF4"/>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3B2FF4"/>
    <w:rPr>
      <w:vertAlign w:val="superscript"/>
    </w:rPr>
  </w:style>
  <w:style w:type="character" w:styleId="Verwijzingopmerking">
    <w:name w:val="annotation reference"/>
    <w:basedOn w:val="Standaardalinea-lettertype"/>
    <w:uiPriority w:val="99"/>
    <w:semiHidden/>
    <w:unhideWhenUsed/>
    <w:rsid w:val="00DF358E"/>
    <w:rPr>
      <w:sz w:val="16"/>
      <w:szCs w:val="16"/>
    </w:rPr>
  </w:style>
  <w:style w:type="paragraph" w:styleId="Tekstopmerking">
    <w:name w:val="annotation text"/>
    <w:basedOn w:val="Standaard"/>
    <w:link w:val="TekstopmerkingChar"/>
    <w:uiPriority w:val="99"/>
    <w:unhideWhenUsed/>
    <w:rsid w:val="00DF358E"/>
  </w:style>
  <w:style w:type="character" w:customStyle="1" w:styleId="TekstopmerkingChar">
    <w:name w:val="Tekst opmerking Char"/>
    <w:basedOn w:val="Standaardalinea-lettertype"/>
    <w:link w:val="Tekstopmerking"/>
    <w:uiPriority w:val="99"/>
    <w:rsid w:val="00DF358E"/>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DF358E"/>
    <w:rPr>
      <w:b/>
      <w:bCs/>
    </w:rPr>
  </w:style>
  <w:style w:type="character" w:customStyle="1" w:styleId="OnderwerpvanopmerkingChar">
    <w:name w:val="Onderwerp van opmerking Char"/>
    <w:basedOn w:val="TekstopmerkingChar"/>
    <w:link w:val="Onderwerpvanopmerking"/>
    <w:uiPriority w:val="99"/>
    <w:semiHidden/>
    <w:rsid w:val="00DF358E"/>
    <w:rPr>
      <w:rFonts w:ascii="Times New Roman" w:eastAsia="Times New Roman" w:hAnsi="Times New Roman" w:cs="Times New Roman"/>
      <w:b/>
      <w:bCs/>
      <w:sz w:val="20"/>
      <w:szCs w:val="20"/>
      <w:lang w:val="nl-NL" w:eastAsia="nl-NL"/>
    </w:rPr>
  </w:style>
  <w:style w:type="table" w:styleId="Tabelraster">
    <w:name w:val="Table Grid"/>
    <w:basedOn w:val="Standaardtabel"/>
    <w:uiPriority w:val="39"/>
    <w:rsid w:val="00E176AC"/>
    <w:rPr>
      <w:rFonts w:eastAsiaTheme="minorHAnsi"/>
      <w:kern w:val="2"/>
      <w:sz w:val="22"/>
      <w:szCs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A7030A"/>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unhideWhenUsed/>
    <w:rsid w:val="00306568"/>
    <w:rPr>
      <w:color w:val="0000FF" w:themeColor="hyperlink"/>
      <w:u w:val="single"/>
    </w:rPr>
  </w:style>
  <w:style w:type="character" w:styleId="Onopgelostemelding">
    <w:name w:val="Unresolved Mention"/>
    <w:basedOn w:val="Standaardalinea-lettertype"/>
    <w:uiPriority w:val="99"/>
    <w:semiHidden/>
    <w:unhideWhenUsed/>
    <w:rsid w:val="00306568"/>
    <w:rPr>
      <w:color w:val="605E5C"/>
      <w:shd w:val="clear" w:color="auto" w:fill="E1DFDD"/>
    </w:rPr>
  </w:style>
  <w:style w:type="character" w:styleId="GevolgdeHyperlink">
    <w:name w:val="FollowedHyperlink"/>
    <w:basedOn w:val="Standaardalinea-lettertype"/>
    <w:uiPriority w:val="99"/>
    <w:semiHidden/>
    <w:unhideWhenUsed/>
    <w:rsid w:val="00AC3D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zoek.officielebekendmakingen.nl/kst-36600-VIII-141.pdf" TargetMode="External" Id="rId13" /><Relationship Type="http://schemas.openxmlformats.org/officeDocument/2006/relationships/hyperlink" Target="https://zoek.officielebekendmakingen.nl/kst-34550-VII-52.html" TargetMode="External" Id="rId18" /><Relationship Type="http://schemas.openxmlformats.org/officeDocument/2006/relationships/hyperlink" Target="file:///\\ocw.local\userdata\Homedrive\O200GOL\Data\Proza\proza_ocw_local-otcs\c-63275722\Stand%2520van%2520zaken%2520moties%2520en%2520toezeggingen%2520met%2520betrekking%2520tot%2520cultuur.pdf" TargetMode="External" Id="rId26" /><Relationship Type="http://schemas.openxmlformats.org/officeDocument/2006/relationships/hyperlink" Target="https://zoek.officielebekendmakingen.nl/kst-36800-VIII-36.html" TargetMode="External" Id="rId21" /><Relationship Type="http://schemas.openxmlformats.org/officeDocument/2006/relationships/settings" Target="settings.xml" Id="rId7" /><Relationship Type="http://schemas.openxmlformats.org/officeDocument/2006/relationships/hyperlink" Target="https://zoek.officielebekendmakingen.nl/ah-tk-20252026-1432.pdf" TargetMode="External" Id="rId12" /><Relationship Type="http://schemas.openxmlformats.org/officeDocument/2006/relationships/hyperlink" Target="https://www.tweedekamer.nl/kamerstukken/brieven_regering/detail?id=2026Z07202&amp;did=2026D16241" TargetMode="External" Id="rId17" /><Relationship Type="http://schemas.openxmlformats.org/officeDocument/2006/relationships/hyperlink" Target="https://catalogus.boekman.nl/pub/Geven_in_Nederland_2024.pdf" TargetMode="External" Id="rId25" /><Relationship Type="http://schemas.openxmlformats.org/officeDocument/2006/relationships/hyperlink" Target="https://www.tweedekamer.nl/kamerstukken/brieven_regering/detail?id=2026Z07006&amp;did=2026D15817" TargetMode="External" Id="rId16" /><Relationship Type="http://schemas.openxmlformats.org/officeDocument/2006/relationships/image" Target="media/image1.emf" Id="rId20" /><Relationship Type="http://schemas.openxmlformats.org/officeDocument/2006/relationships/fontTable" Target="fontTable.xml" Id="rId29" /><Relationship Type="http://schemas.openxmlformats.org/officeDocument/2006/relationships/styles" Target="styles.xml" Id="rId6" /><Relationship Type="http://schemas.openxmlformats.org/officeDocument/2006/relationships/hyperlink" Target="https://www.rijksoverheid.nl/documenten/rapporten/2026/04/02/referentieraming-ocw-2026" TargetMode="External" Id="rId11" /><Relationship Type="http://schemas.openxmlformats.org/officeDocument/2006/relationships/hyperlink" Target="https://zoek.officielebekendmakingen.nl/stcrt-2012-8545.html" TargetMode="External" Id="rId24" /><Relationship Type="http://schemas.openxmlformats.org/officeDocument/2006/relationships/hyperlink" Target="https://www.tweedekamer.nl/kamerstukken/brieven_regering/detail?id=2026Z07006&amp;did=2026D15817" TargetMode="External" Id="rId15" /><Relationship Type="http://schemas.openxmlformats.org/officeDocument/2006/relationships/hyperlink" Target="https://vng.nl/sites/default/files/2026-03/herziene-ringenmodel-culturele-infrastructuur-van-gemeenten.pdf"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https://www.rijksoverheid.nl/documenten/rapporten/2026/04/02/referentieraming-ocw-2026" TargetMode="External" Id="rId19" /><Relationship Type="http://schemas.openxmlformats.org/officeDocument/2006/relationships/footnotes" Target="footnotes.xml" Id="rId9" /><Relationship Type="http://schemas.openxmlformats.org/officeDocument/2006/relationships/hyperlink" Target="https://zoek.officielebekendmakingen.nl/kst-36600-VIII-147.html" TargetMode="External" Id="rId14" /><Relationship Type="http://schemas.openxmlformats.org/officeDocument/2006/relationships/hyperlink" Target="https://www.cpb.nl/raming/centraal-economisch-plan-cep-2026" TargetMode="External" Id="rId22" /><Relationship Type="http://schemas.openxmlformats.org/officeDocument/2006/relationships/hyperlink" Target="https://www.rijksfinancien.nl/memorie-van-toelichting/2026/OWB/VIII" TargetMode="External" Id="rId27" /><Relationship Type="http://schemas.openxmlformats.org/officeDocument/2006/relationships/theme" Target="theme/theme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24</ap:Pages>
  <ap:Words>9686</ap:Words>
  <ap:Characters>53274</ap:Characters>
  <ap:DocSecurity>0</ap:DocSecurity>
  <ap:Lines>443</ap:Lines>
  <ap:Paragraphs>125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62835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2026-04-17T15:17:00.0000000Z</lastPrinted>
  <dcterms:created xsi:type="dcterms:W3CDTF">2026-04-17T15:17:00.0000000Z</dcterms:created>
  <dcterms:modified xsi:type="dcterms:W3CDTF">2026-04-17T15:17:00.0000000Z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06c62447-c9bd-4553-8c47-a435236be3e3</vt:lpwstr>
  </property>
  <property fmtid="{D5CDD505-2E9C-101B-9397-08002B2CF9AE}" pid="4" name="cs_objectid">
    <vt:lpwstr>63401949</vt:lpwstr>
  </property>
</Properties>
</file>