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A2B" w:rsidP="00B74A2B" w:rsidRDefault="00B74A2B" w14:paraId="2FE5E7A5" w14:textId="7199CD25">
      <w:r>
        <w:t xml:space="preserve">Jongeren die met het jeugdstrafrecht in aanraking komen, hebben baat bij tijdige en passende interventies gericht op het voorkomen van herhaling van strafbare feiten. </w:t>
      </w:r>
      <w:r w:rsidRPr="00B74A2B">
        <w:t>Juist op deze</w:t>
      </w:r>
      <w:r>
        <w:t xml:space="preserve"> </w:t>
      </w:r>
      <w:r w:rsidRPr="00B74A2B">
        <w:t>cruciale momenten</w:t>
      </w:r>
      <w:r>
        <w:t xml:space="preserve"> </w:t>
      </w:r>
      <w:r w:rsidRPr="00B74A2B">
        <w:t>— van aanhouding tot afdoening</w:t>
      </w:r>
      <w:r>
        <w:t xml:space="preserve"> </w:t>
      </w:r>
      <w:r w:rsidRPr="00B74A2B">
        <w:t>en tenuitvoerlegging — wordt het</w:t>
      </w:r>
      <w:r>
        <w:t xml:space="preserve"> </w:t>
      </w:r>
      <w:r w:rsidRPr="00B74A2B">
        <w:t>verschil gemaakt tussen verder</w:t>
      </w:r>
      <w:r>
        <w:t xml:space="preserve"> </w:t>
      </w:r>
      <w:r w:rsidRPr="00B74A2B">
        <w:t>afglijden of terugkeren op het</w:t>
      </w:r>
      <w:r>
        <w:t xml:space="preserve"> </w:t>
      </w:r>
      <w:r w:rsidRPr="00B74A2B">
        <w:t>rechte pad: naar school, werk en</w:t>
      </w:r>
      <w:r>
        <w:t xml:space="preserve"> </w:t>
      </w:r>
      <w:r w:rsidRPr="00B74A2B">
        <w:t>een veilige omgeving.</w:t>
      </w:r>
      <w:r>
        <w:t xml:space="preserve"> Ik zet mij ervoor in om te zorgen dat </w:t>
      </w:r>
      <w:r w:rsidRPr="00B74A2B">
        <w:t>de jeugdstrafrechtketen snel,</w:t>
      </w:r>
      <w:r>
        <w:t xml:space="preserve"> </w:t>
      </w:r>
      <w:r w:rsidRPr="00B74A2B">
        <w:t>zorgvuldig en passend</w:t>
      </w:r>
      <w:r w:rsidR="006D25CA">
        <w:t xml:space="preserve"> kan</w:t>
      </w:r>
      <w:r w:rsidRPr="00B74A2B">
        <w:t xml:space="preserve"> reageren</w:t>
      </w:r>
      <w:r>
        <w:t xml:space="preserve">. </w:t>
      </w:r>
    </w:p>
    <w:p w:rsidR="00B74A2B" w:rsidP="00B74A2B" w:rsidRDefault="00B74A2B" w14:paraId="4EEA8676" w14:textId="77777777"/>
    <w:p w:rsidRPr="00914400" w:rsidR="00914400" w:rsidP="00B74A2B" w:rsidRDefault="00914400" w14:paraId="4C6CAA9F" w14:textId="3ABC6A52">
      <w:r w:rsidRPr="00914400">
        <w:t>M</w:t>
      </w:r>
      <w:r w:rsidR="00020E6B">
        <w:t>et</w:t>
      </w:r>
      <w:r w:rsidRPr="00914400">
        <w:t xml:space="preserve"> deze brief informeer ik uw Kamer over de belangrijkste ontwikkelingen met betrekking tot de justitiële jeugd</w:t>
      </w:r>
      <w:r w:rsidR="00020E6B">
        <w:t>, mede ten behoeve van het commissiedebat Justitiële Jeugd van 23 april 2026</w:t>
      </w:r>
      <w:r w:rsidRPr="00914400">
        <w:t xml:space="preserve">. </w:t>
      </w:r>
      <w:r w:rsidR="00B74A2B">
        <w:t>Daarbij</w:t>
      </w:r>
      <w:r w:rsidR="002D52DE">
        <w:t xml:space="preserve"> komen</w:t>
      </w:r>
      <w:r w:rsidRPr="00914400">
        <w:t>de volgende onderwerpen aan de orde</w:t>
      </w:r>
      <w:r w:rsidR="00B74A2B">
        <w:t>:</w:t>
      </w:r>
    </w:p>
    <w:p w:rsidRPr="00914400" w:rsidR="00914400" w:rsidP="0040440B" w:rsidRDefault="00914400" w14:paraId="6B5F9CCA" w14:textId="77777777">
      <w:pPr>
        <w:pStyle w:val="Lijstalinea"/>
        <w:numPr>
          <w:ilvl w:val="0"/>
          <w:numId w:val="8"/>
        </w:numPr>
        <w:rPr>
          <w:lang w:val="nl-BE"/>
        </w:rPr>
      </w:pPr>
      <w:bookmarkStart w:name="_Hlk224136089" w:id="0"/>
      <w:r w:rsidRPr="00914400">
        <w:rPr>
          <w:lang w:val="nl-BE"/>
        </w:rPr>
        <w:t>Stand van zaken capaciteit justitiële jeugdinrichtingen</w:t>
      </w:r>
    </w:p>
    <w:p w:rsidRPr="00914400" w:rsidR="00914400" w:rsidP="0040440B" w:rsidRDefault="00914400" w14:paraId="4F6014CD" w14:textId="392C0759">
      <w:pPr>
        <w:pStyle w:val="Lijstalinea"/>
        <w:numPr>
          <w:ilvl w:val="0"/>
          <w:numId w:val="8"/>
        </w:numPr>
        <w:rPr>
          <w:lang w:val="nl-BE"/>
        </w:rPr>
      </w:pPr>
      <w:r w:rsidRPr="00914400">
        <w:rPr>
          <w:lang w:val="nl-BE"/>
        </w:rPr>
        <w:t>Proces herbezinning opgave justitiële jeugdinrichtingen</w:t>
      </w:r>
    </w:p>
    <w:p w:rsidR="00914400" w:rsidP="0040440B" w:rsidRDefault="002A17C9" w14:paraId="32C13639" w14:textId="595F881D">
      <w:pPr>
        <w:pStyle w:val="Lijstalinea"/>
        <w:numPr>
          <w:ilvl w:val="0"/>
          <w:numId w:val="8"/>
        </w:numPr>
        <w:rPr>
          <w:lang w:val="nl-BE"/>
        </w:rPr>
      </w:pPr>
      <w:r>
        <w:rPr>
          <w:lang w:val="nl-BE"/>
        </w:rPr>
        <w:t>Beleidsr</w:t>
      </w:r>
      <w:r w:rsidRPr="00914400" w:rsidR="00914400">
        <w:rPr>
          <w:lang w:val="nl-BE"/>
        </w:rPr>
        <w:t xml:space="preserve">eactie </w:t>
      </w:r>
      <w:r w:rsidR="00914400">
        <w:rPr>
          <w:lang w:val="nl-BE"/>
        </w:rPr>
        <w:t xml:space="preserve">op het </w:t>
      </w:r>
      <w:r w:rsidRPr="00914400" w:rsidR="00914400">
        <w:rPr>
          <w:lang w:val="nl-BE"/>
        </w:rPr>
        <w:t>Doelgroeponderzoek Justitiële Jeugdinrichtingen</w:t>
      </w:r>
    </w:p>
    <w:p w:rsidR="0045534A" w:rsidP="0040440B" w:rsidRDefault="002A17C9" w14:paraId="5AF5B547" w14:textId="562A28FE">
      <w:pPr>
        <w:pStyle w:val="Lijstalinea"/>
        <w:numPr>
          <w:ilvl w:val="0"/>
          <w:numId w:val="8"/>
        </w:numPr>
        <w:rPr>
          <w:lang w:val="nl-BE"/>
        </w:rPr>
      </w:pPr>
      <w:r>
        <w:rPr>
          <w:lang w:val="nl-BE"/>
        </w:rPr>
        <w:t>Beleids</w:t>
      </w:r>
      <w:r w:rsidR="00F95FC7">
        <w:rPr>
          <w:lang w:val="nl-BE"/>
        </w:rPr>
        <w:t xml:space="preserve">reactie op het </w:t>
      </w:r>
      <w:r w:rsidRPr="00914400" w:rsidR="00F95FC7">
        <w:rPr>
          <w:lang w:val="nl-BE"/>
        </w:rPr>
        <w:t>RSJ-advies ‘Problemen in de PIJ: Advies over de door- en uitstroom van jeugdigen met een PIJ-maatregel’</w:t>
      </w:r>
      <w:bookmarkStart w:name="_Hlk224631437" w:id="1"/>
    </w:p>
    <w:p w:rsidRPr="0045534A" w:rsidR="0045534A" w:rsidP="0040440B" w:rsidRDefault="0045534A" w14:paraId="288B0001" w14:textId="269D548D">
      <w:pPr>
        <w:pStyle w:val="Lijstalinea"/>
        <w:numPr>
          <w:ilvl w:val="0"/>
          <w:numId w:val="8"/>
        </w:numPr>
        <w:rPr>
          <w:lang w:val="nl-BE"/>
        </w:rPr>
      </w:pPr>
      <w:r w:rsidRPr="000A3EB2">
        <w:t>Strafmaat van zowel 12-</w:t>
      </w:r>
      <w:r>
        <w:t xml:space="preserve"> tot </w:t>
      </w:r>
      <w:r w:rsidRPr="000A3EB2">
        <w:t>18</w:t>
      </w:r>
      <w:r>
        <w:t>-</w:t>
      </w:r>
      <w:r w:rsidRPr="000A3EB2">
        <w:t>jarigen als 18-</w:t>
      </w:r>
      <w:r>
        <w:t xml:space="preserve"> tot </w:t>
      </w:r>
      <w:r w:rsidRPr="000A3EB2">
        <w:t>23</w:t>
      </w:r>
      <w:r>
        <w:t>-</w:t>
      </w:r>
      <w:r w:rsidRPr="000A3EB2">
        <w:t>jarigen</w:t>
      </w:r>
      <w:r w:rsidRPr="0045534A">
        <w:rPr>
          <w:b/>
          <w:bCs/>
        </w:rPr>
        <w:t xml:space="preserve"> </w:t>
      </w:r>
      <w:bookmarkEnd w:id="1"/>
    </w:p>
    <w:p w:rsidRPr="00914400" w:rsidR="00914400" w:rsidP="0040440B" w:rsidRDefault="00914400" w14:paraId="69D1482A" w14:textId="658F16D0">
      <w:pPr>
        <w:pStyle w:val="Lijstalinea"/>
        <w:numPr>
          <w:ilvl w:val="0"/>
          <w:numId w:val="8"/>
        </w:numPr>
        <w:rPr>
          <w:lang w:val="nl-BE"/>
        </w:rPr>
      </w:pPr>
      <w:r>
        <w:rPr>
          <w:lang w:val="nl-BE"/>
        </w:rPr>
        <w:t>Opbrengst V</w:t>
      </w:r>
      <w:r w:rsidRPr="00914400">
        <w:rPr>
          <w:lang w:val="nl-BE"/>
        </w:rPr>
        <w:t>erbetertraject</w:t>
      </w:r>
      <w:r>
        <w:rPr>
          <w:lang w:val="nl-BE"/>
        </w:rPr>
        <w:t xml:space="preserve"> adolescentenstrafrecht</w:t>
      </w:r>
    </w:p>
    <w:p w:rsidR="008264D1" w:rsidP="0040440B" w:rsidRDefault="002A17C9" w14:paraId="640C6E5B" w14:textId="43361DD1">
      <w:pPr>
        <w:pStyle w:val="Lijstalinea"/>
        <w:numPr>
          <w:ilvl w:val="0"/>
          <w:numId w:val="8"/>
        </w:numPr>
        <w:rPr>
          <w:lang w:val="nl-BE"/>
        </w:rPr>
      </w:pPr>
      <w:r>
        <w:rPr>
          <w:lang w:val="nl-BE"/>
        </w:rPr>
        <w:t>Beleids</w:t>
      </w:r>
      <w:r w:rsidR="00914400">
        <w:rPr>
          <w:lang w:val="nl-BE"/>
        </w:rPr>
        <w:t xml:space="preserve">reactie op het </w:t>
      </w:r>
      <w:r w:rsidRPr="00914400" w:rsidR="00914400">
        <w:rPr>
          <w:lang w:val="nl-BE"/>
        </w:rPr>
        <w:t>RSJ-advies ‘Een nieuw perspectief op buitenstrafrechtelijke afdoeningen voor jeugdigen’</w:t>
      </w:r>
    </w:p>
    <w:p w:rsidRPr="008264D1" w:rsidR="00090DCE" w:rsidP="0040440B" w:rsidRDefault="00090DCE" w14:paraId="0527EEB5" w14:textId="591ACE9E">
      <w:pPr>
        <w:pStyle w:val="Lijstalinea"/>
        <w:numPr>
          <w:ilvl w:val="0"/>
          <w:numId w:val="8"/>
        </w:numPr>
        <w:rPr>
          <w:lang w:val="nl-BE"/>
        </w:rPr>
      </w:pPr>
      <w:r>
        <w:rPr>
          <w:lang w:val="nl-BE"/>
        </w:rPr>
        <w:t>Jeugdreclassering in Verbinding</w:t>
      </w:r>
    </w:p>
    <w:bookmarkEnd w:id="0"/>
    <w:p w:rsidRPr="00914400" w:rsidR="00914400" w:rsidP="0040440B" w:rsidRDefault="00914400" w14:paraId="025045C9" w14:textId="77777777"/>
    <w:p w:rsidRPr="009729B5" w:rsidR="00914400" w:rsidP="0040440B" w:rsidRDefault="00914400" w14:paraId="03B7B5EE" w14:textId="2B1A7704">
      <w:pPr>
        <w:pStyle w:val="Lijstalinea"/>
        <w:numPr>
          <w:ilvl w:val="0"/>
          <w:numId w:val="9"/>
        </w:numPr>
        <w:rPr>
          <w:b/>
          <w:bCs/>
          <w:lang w:val="nl-BE"/>
        </w:rPr>
      </w:pPr>
      <w:r w:rsidRPr="009729B5">
        <w:rPr>
          <w:b/>
          <w:bCs/>
          <w:lang w:val="nl-BE"/>
        </w:rPr>
        <w:t xml:space="preserve">Stand van zaken capaciteit justitiële jeugdinrichtingen </w:t>
      </w:r>
    </w:p>
    <w:p w:rsidR="004C4AFD" w:rsidP="0040440B" w:rsidRDefault="004C4AFD" w14:paraId="51CFDFB9" w14:textId="54E0B504">
      <w:pPr>
        <w:autoSpaceDN/>
        <w:textAlignment w:val="auto"/>
        <w:rPr>
          <w:rFonts w:eastAsia="Times New Roman"/>
          <w:color w:val="auto"/>
        </w:rPr>
      </w:pPr>
      <w:r w:rsidRPr="00470F06">
        <w:rPr>
          <w:rFonts w:eastAsia="Times New Roman"/>
          <w:color w:val="auto"/>
        </w:rPr>
        <w:t xml:space="preserve">In de </w:t>
      </w:r>
      <w:r w:rsidRPr="00914400" w:rsidR="00EC74E9">
        <w:rPr>
          <w:lang w:val="nl-BE"/>
        </w:rPr>
        <w:t>justitiële jeugdinrichtingen</w:t>
      </w:r>
      <w:r w:rsidRPr="00470F06" w:rsidR="00EC74E9">
        <w:rPr>
          <w:rFonts w:eastAsia="Times New Roman"/>
          <w:color w:val="auto"/>
        </w:rPr>
        <w:t xml:space="preserve"> </w:t>
      </w:r>
      <w:r w:rsidR="00EC74E9">
        <w:rPr>
          <w:rFonts w:eastAsia="Times New Roman"/>
          <w:color w:val="auto"/>
        </w:rPr>
        <w:t>(</w:t>
      </w:r>
      <w:proofErr w:type="spellStart"/>
      <w:r w:rsidRPr="00470F06">
        <w:rPr>
          <w:rFonts w:eastAsia="Times New Roman"/>
          <w:color w:val="auto"/>
        </w:rPr>
        <w:t>JJI’s</w:t>
      </w:r>
      <w:proofErr w:type="spellEnd"/>
      <w:r w:rsidR="00EC74E9">
        <w:rPr>
          <w:rFonts w:eastAsia="Times New Roman"/>
          <w:color w:val="auto"/>
        </w:rPr>
        <w:t>)</w:t>
      </w:r>
      <w:r w:rsidRPr="00470F06">
        <w:rPr>
          <w:rFonts w:eastAsia="Times New Roman"/>
          <w:color w:val="auto"/>
        </w:rPr>
        <w:t xml:space="preserve"> is </w:t>
      </w:r>
      <w:r w:rsidR="00EC74E9">
        <w:rPr>
          <w:rFonts w:eastAsia="Times New Roman"/>
          <w:color w:val="auto"/>
        </w:rPr>
        <w:t xml:space="preserve">al langere tijd </w:t>
      </w:r>
      <w:r w:rsidRPr="00470F06">
        <w:rPr>
          <w:rFonts w:eastAsia="Times New Roman"/>
          <w:color w:val="auto"/>
        </w:rPr>
        <w:t>een capaciteitstekort als gevolg van een gebrek aan plekken en personeel in combinatie met een toenemende instroom.</w:t>
      </w:r>
      <w:r w:rsidR="00EC74E9">
        <w:rPr>
          <w:rStyle w:val="Voetnootmarkering"/>
          <w:rFonts w:eastAsia="Times New Roman"/>
          <w:color w:val="auto"/>
        </w:rPr>
        <w:footnoteReference w:id="1"/>
      </w:r>
      <w:r w:rsidR="00DC5AC4">
        <w:rPr>
          <w:rFonts w:eastAsia="Times New Roman"/>
          <w:color w:val="auto"/>
        </w:rPr>
        <w:t xml:space="preserve"> </w:t>
      </w:r>
      <w:r w:rsidRPr="00470F06">
        <w:rPr>
          <w:rFonts w:eastAsia="Times New Roman"/>
          <w:color w:val="auto"/>
        </w:rPr>
        <w:t xml:space="preserve">Er zijn al </w:t>
      </w:r>
      <w:r w:rsidR="00020E6B">
        <w:rPr>
          <w:rFonts w:eastAsia="Times New Roman"/>
          <w:color w:val="auto"/>
        </w:rPr>
        <w:t xml:space="preserve">verschillende </w:t>
      </w:r>
      <w:r w:rsidRPr="00470F06">
        <w:rPr>
          <w:rFonts w:eastAsia="Times New Roman"/>
          <w:color w:val="auto"/>
        </w:rPr>
        <w:t>maatregelen getroffen om dit capaciteitstekort het hoofd te bieden.</w:t>
      </w:r>
      <w:r w:rsidR="00EC74E9">
        <w:rPr>
          <w:rFonts w:eastAsia="Times New Roman"/>
          <w:color w:val="auto"/>
        </w:rPr>
        <w:t xml:space="preserve"> </w:t>
      </w:r>
      <w:r w:rsidR="00DC5AC4">
        <w:rPr>
          <w:rFonts w:eastAsia="Times New Roman"/>
          <w:color w:val="auto"/>
        </w:rPr>
        <w:t xml:space="preserve">Mijn </w:t>
      </w:r>
      <w:r w:rsidRPr="00470F06">
        <w:rPr>
          <w:rFonts w:eastAsia="Times New Roman"/>
          <w:color w:val="auto"/>
        </w:rPr>
        <w:t xml:space="preserve">ambtsvoorganger heeft </w:t>
      </w:r>
      <w:r w:rsidR="00DC5AC4">
        <w:rPr>
          <w:rFonts w:eastAsia="Times New Roman"/>
          <w:color w:val="auto"/>
        </w:rPr>
        <w:t>uw</w:t>
      </w:r>
      <w:r w:rsidRPr="00470F06">
        <w:rPr>
          <w:rFonts w:eastAsia="Times New Roman"/>
          <w:color w:val="auto"/>
        </w:rPr>
        <w:t xml:space="preserve"> Kamer toegezegd </w:t>
      </w:r>
      <w:r w:rsidR="00DC5AC4">
        <w:rPr>
          <w:rFonts w:eastAsia="Times New Roman"/>
          <w:color w:val="auto"/>
        </w:rPr>
        <w:t>u</w:t>
      </w:r>
      <w:r w:rsidRPr="00470F06">
        <w:rPr>
          <w:rFonts w:eastAsia="Times New Roman"/>
          <w:color w:val="auto"/>
        </w:rPr>
        <w:t xml:space="preserve"> periodiek te informeren over de stand van zaken van deze maatregelen.</w:t>
      </w:r>
      <w:r w:rsidR="00EC74E9">
        <w:rPr>
          <w:rStyle w:val="Voetnootmarkering"/>
          <w:rFonts w:eastAsia="Times New Roman"/>
          <w:color w:val="auto"/>
        </w:rPr>
        <w:footnoteReference w:id="2"/>
      </w:r>
      <w:r w:rsidRPr="00470F06">
        <w:rPr>
          <w:rFonts w:eastAsia="Times New Roman"/>
          <w:color w:val="auto"/>
        </w:rPr>
        <w:t xml:space="preserve"> In deze brief </w:t>
      </w:r>
      <w:r w:rsidR="00DC5AC4">
        <w:rPr>
          <w:rFonts w:eastAsia="Times New Roman"/>
          <w:color w:val="auto"/>
        </w:rPr>
        <w:t>doe ik</w:t>
      </w:r>
      <w:r w:rsidRPr="00470F06">
        <w:rPr>
          <w:rFonts w:eastAsia="Times New Roman"/>
          <w:color w:val="auto"/>
        </w:rPr>
        <w:t xml:space="preserve"> deze toezegging gestand. </w:t>
      </w:r>
    </w:p>
    <w:p w:rsidRPr="00DC5AC4" w:rsidR="004C4AFD" w:rsidP="0040440B" w:rsidRDefault="00383C2B" w14:paraId="2EC6A016" w14:textId="6FA1B987">
      <w:pPr>
        <w:autoSpaceDN/>
        <w:textAlignment w:val="auto"/>
        <w:rPr>
          <w:rFonts w:eastAsia="Times New Roman"/>
          <w:color w:val="auto"/>
        </w:rPr>
      </w:pPr>
      <w:r>
        <w:rPr>
          <w:rFonts w:eastAsia="Times New Roman"/>
          <w:color w:val="auto"/>
        </w:rPr>
        <w:t>Hoewel er sinds de vorige Kamerbrief in september 2025</w:t>
      </w:r>
      <w:r>
        <w:rPr>
          <w:rStyle w:val="Voetnootmarkering"/>
          <w:rFonts w:eastAsia="Times New Roman"/>
          <w:color w:val="auto"/>
        </w:rPr>
        <w:footnoteReference w:id="3"/>
      </w:r>
      <w:r>
        <w:rPr>
          <w:rFonts w:eastAsia="Times New Roman"/>
          <w:color w:val="auto"/>
        </w:rPr>
        <w:t xml:space="preserve"> onverminderd en volop wordt ingezet op de genoemde maatregelen, is de conclusie dat dit vooralsnog niet tot gewenste resultaten heeft geleid. </w:t>
      </w:r>
      <w:r w:rsidRPr="00DC5AC4" w:rsidR="004C4AFD">
        <w:rPr>
          <w:rFonts w:eastAsia="Times New Roman"/>
          <w:color w:val="auto"/>
        </w:rPr>
        <w:t>Concreet betreft het de volgende maatregelen</w:t>
      </w:r>
      <w:r>
        <w:rPr>
          <w:rFonts w:eastAsia="Times New Roman"/>
          <w:color w:val="auto"/>
        </w:rPr>
        <w:t>:</w:t>
      </w:r>
      <w:r w:rsidRPr="00DC5AC4" w:rsidR="004C4AFD">
        <w:rPr>
          <w:rFonts w:eastAsia="Times New Roman"/>
          <w:color w:val="auto"/>
        </w:rPr>
        <w:t xml:space="preserve"> </w:t>
      </w:r>
    </w:p>
    <w:p w:rsidR="00E37D50" w:rsidP="0040440B" w:rsidRDefault="00E37D50" w14:paraId="1E8E2A6E" w14:textId="21642E01">
      <w:pPr>
        <w:pStyle w:val="Lijstalinea"/>
        <w:numPr>
          <w:ilvl w:val="0"/>
          <w:numId w:val="19"/>
        </w:numPr>
        <w:autoSpaceDN/>
        <w:textAlignment w:val="auto"/>
        <w:rPr>
          <w:rFonts w:eastAsia="Times New Roman"/>
          <w:color w:val="auto"/>
        </w:rPr>
      </w:pPr>
      <w:bookmarkStart w:name="_Hlk227143993" w:id="2"/>
      <w:r w:rsidRPr="00DC5AC4">
        <w:rPr>
          <w:rFonts w:eastAsia="Times New Roman"/>
          <w:color w:val="auto"/>
        </w:rPr>
        <w:t>Uitbreiding van JJI-capaciteit</w:t>
      </w:r>
      <w:r>
        <w:rPr>
          <w:rFonts w:eastAsia="Times New Roman"/>
          <w:color w:val="auto"/>
        </w:rPr>
        <w:t>:</w:t>
      </w:r>
      <w:r w:rsidRPr="00DC5AC4">
        <w:rPr>
          <w:rFonts w:eastAsia="Times New Roman"/>
          <w:color w:val="auto"/>
        </w:rPr>
        <w:t xml:space="preserve"> </w:t>
      </w:r>
      <w:r w:rsidR="004E4063">
        <w:rPr>
          <w:rFonts w:eastAsia="Times New Roman"/>
          <w:color w:val="auto"/>
        </w:rPr>
        <w:t>Ten opzichte van september 2025 is de bruikbare capaciteit heel licht toegenomen doordat bestaande capaciteit, die eerder buiten gebruik was gesteld door het personeelstekort, opnieuw in gebruik is genomen.</w:t>
      </w:r>
      <w:r w:rsidR="004E4063">
        <w:rPr>
          <w:rStyle w:val="Voetnootmarkering"/>
          <w:rFonts w:eastAsia="Times New Roman"/>
          <w:color w:val="auto"/>
        </w:rPr>
        <w:footnoteReference w:id="4"/>
      </w:r>
      <w:r w:rsidR="004E4063">
        <w:rPr>
          <w:rFonts w:eastAsia="Times New Roman"/>
          <w:color w:val="auto"/>
        </w:rPr>
        <w:t xml:space="preserve"> </w:t>
      </w:r>
      <w:r w:rsidRPr="00DC5AC4" w:rsidR="004E4063">
        <w:rPr>
          <w:rFonts w:eastAsia="Times New Roman"/>
          <w:color w:val="auto"/>
        </w:rPr>
        <w:t>Op termijn volgen uitbreidingen</w:t>
      </w:r>
      <w:r w:rsidR="004E4063">
        <w:rPr>
          <w:rFonts w:eastAsia="Times New Roman"/>
          <w:color w:val="auto"/>
        </w:rPr>
        <w:t xml:space="preserve"> van de operationele capaciteit:</w:t>
      </w:r>
      <w:r w:rsidRPr="00DC5AC4" w:rsidR="004E4063">
        <w:rPr>
          <w:rFonts w:eastAsia="Times New Roman"/>
          <w:color w:val="auto"/>
        </w:rPr>
        <w:t xml:space="preserve"> enkele afdelingen in bestaande inrichtingen en de </w:t>
      </w:r>
      <w:r w:rsidR="004E4063">
        <w:rPr>
          <w:rFonts w:eastAsia="Times New Roman"/>
          <w:color w:val="auto"/>
        </w:rPr>
        <w:t xml:space="preserve">gefaseerde </w:t>
      </w:r>
      <w:r w:rsidRPr="00DC5AC4" w:rsidR="004E4063">
        <w:rPr>
          <w:rFonts w:eastAsia="Times New Roman"/>
          <w:color w:val="auto"/>
        </w:rPr>
        <w:t>heropening van een JJI in Harreveld.</w:t>
      </w:r>
      <w:r w:rsidR="004E4063">
        <w:rPr>
          <w:rFonts w:eastAsia="Times New Roman"/>
          <w:color w:val="auto"/>
        </w:rPr>
        <w:t xml:space="preserve"> </w:t>
      </w:r>
      <w:r>
        <w:rPr>
          <w:rFonts w:eastAsia="Times New Roman"/>
          <w:color w:val="auto"/>
        </w:rPr>
        <w:t>De capaciteit die feitelijk bruikbaar is</w:t>
      </w:r>
      <w:r w:rsidR="00E21777">
        <w:rPr>
          <w:rFonts w:eastAsia="Times New Roman"/>
          <w:color w:val="auto"/>
        </w:rPr>
        <w:t>,</w:t>
      </w:r>
      <w:r>
        <w:rPr>
          <w:rFonts w:eastAsia="Times New Roman"/>
          <w:color w:val="auto"/>
        </w:rPr>
        <w:t xml:space="preserve"> schommelt als gevolg van het personeelstekort. Als personeel vertrekt, ziek is of met verlof</w:t>
      </w:r>
      <w:r w:rsidR="00E21777">
        <w:rPr>
          <w:rFonts w:eastAsia="Times New Roman"/>
          <w:color w:val="auto"/>
        </w:rPr>
        <w:t xml:space="preserve"> gaat,</w:t>
      </w:r>
      <w:r>
        <w:rPr>
          <w:rFonts w:eastAsia="Times New Roman"/>
          <w:color w:val="auto"/>
        </w:rPr>
        <w:t xml:space="preserve"> ontstaat</w:t>
      </w:r>
      <w:r w:rsidR="00E21777">
        <w:rPr>
          <w:rFonts w:eastAsia="Times New Roman"/>
          <w:color w:val="auto"/>
        </w:rPr>
        <w:t xml:space="preserve"> al</w:t>
      </w:r>
      <w:r>
        <w:rPr>
          <w:rFonts w:eastAsia="Times New Roman"/>
          <w:color w:val="auto"/>
        </w:rPr>
        <w:t xml:space="preserve"> snel het risico dat groepen onvoldoende bemenst kunnen worden en daardoor moeten worden onttrokken aan de bruikbare capaciteit. Daarmee blijft het personeelstekort het grootste punt van zorg en aandacht. </w:t>
      </w:r>
      <w:bookmarkStart w:name="_Hlk227147501" w:id="3"/>
      <w:r w:rsidR="0006237B">
        <w:rPr>
          <w:rFonts w:eastAsia="Times New Roman"/>
          <w:color w:val="auto"/>
        </w:rPr>
        <w:t xml:space="preserve">Daarnaast ligt er, net als in gevangeniswezen, ook voor de </w:t>
      </w:r>
      <w:proofErr w:type="spellStart"/>
      <w:r w:rsidR="0006237B">
        <w:rPr>
          <w:rFonts w:eastAsia="Times New Roman"/>
          <w:color w:val="auto"/>
        </w:rPr>
        <w:t>JJI’s</w:t>
      </w:r>
      <w:proofErr w:type="spellEnd"/>
      <w:r w:rsidR="0006237B">
        <w:rPr>
          <w:rFonts w:eastAsia="Times New Roman"/>
          <w:color w:val="auto"/>
        </w:rPr>
        <w:t xml:space="preserve"> een renovatieopgave. Die opgave wordt gefaseerd uitgevoerd op een wijze die zo min mogelijk impact heeft op de bruikbare capaciteit.</w:t>
      </w:r>
      <w:bookmarkEnd w:id="3"/>
    </w:p>
    <w:p w:rsidR="00943246" w:rsidP="00943246" w:rsidRDefault="00943246" w14:paraId="55D9525A" w14:textId="77777777">
      <w:pPr>
        <w:pStyle w:val="Default"/>
        <w:spacing w:line="220" w:lineRule="atLeast"/>
        <w:rPr>
          <w:rFonts w:ascii="Verdana" w:hAnsi="Verdana"/>
          <w:b/>
          <w:bCs/>
          <w:sz w:val="16"/>
          <w:szCs w:val="16"/>
        </w:rPr>
      </w:pPr>
    </w:p>
    <w:p w:rsidRPr="00DA0E48" w:rsidR="00943246" w:rsidP="00943246" w:rsidRDefault="00943246" w14:paraId="0D393B4A" w14:textId="1B2EE9D5">
      <w:pPr>
        <w:pStyle w:val="Default"/>
        <w:spacing w:line="220" w:lineRule="atLeast"/>
        <w:rPr>
          <w:rFonts w:ascii="Verdana" w:hAnsi="Verdana"/>
          <w:b/>
          <w:bCs/>
          <w:sz w:val="18"/>
          <w:szCs w:val="18"/>
        </w:rPr>
      </w:pPr>
      <w:r w:rsidRPr="00DA0E48">
        <w:rPr>
          <w:rFonts w:ascii="Verdana" w:hAnsi="Verdana"/>
          <w:b/>
          <w:bCs/>
          <w:sz w:val="18"/>
          <w:szCs w:val="18"/>
        </w:rPr>
        <w:t>Tabel Capaciteitsbehoefte en plekkentekort</w:t>
      </w:r>
    </w:p>
    <w:tbl>
      <w:tblPr>
        <w:tblStyle w:val="Onopgemaaktetabel3"/>
        <w:tblW w:w="7366" w:type="dxa"/>
        <w:tblLook w:val="04A0" w:firstRow="1" w:lastRow="0" w:firstColumn="1" w:lastColumn="0" w:noHBand="0" w:noVBand="1"/>
      </w:tblPr>
      <w:tblGrid>
        <w:gridCol w:w="3539"/>
        <w:gridCol w:w="709"/>
        <w:gridCol w:w="709"/>
        <w:gridCol w:w="708"/>
        <w:gridCol w:w="709"/>
        <w:gridCol w:w="992"/>
      </w:tblGrid>
      <w:tr w:rsidRPr="00BC78AE" w:rsidR="00943246" w:rsidTr="00DA0E48" w14:paraId="73064557" w14:textId="77777777">
        <w:trPr>
          <w:cnfStyle w:val="100000000000" w:firstRow="1" w:lastRow="0" w:firstColumn="0" w:lastColumn="0" w:oddVBand="0" w:evenVBand="0" w:oddHBand="0" w:evenHBand="0" w:firstRowFirstColumn="0" w:firstRowLastColumn="0" w:lastRowFirstColumn="0" w:lastRowLastColumn="0"/>
          <w:trHeight w:val="332"/>
        </w:trPr>
        <w:tc>
          <w:tcPr>
            <w:cnfStyle w:val="001000000100" w:firstRow="0" w:lastRow="0" w:firstColumn="1" w:lastColumn="0" w:oddVBand="0" w:evenVBand="0" w:oddHBand="0" w:evenHBand="0" w:firstRowFirstColumn="1" w:firstRowLastColumn="0" w:lastRowFirstColumn="0" w:lastRowLastColumn="0"/>
            <w:tcW w:w="3539" w:type="dxa"/>
            <w:tcBorders>
              <w:top w:val="single" w:color="auto" w:sz="4" w:space="0"/>
              <w:left w:val="single" w:color="auto" w:sz="4" w:space="0"/>
            </w:tcBorders>
            <w:hideMark/>
          </w:tcPr>
          <w:p w:rsidRPr="008F735C" w:rsidR="00943246" w:rsidP="00DA0E48" w:rsidRDefault="00943246" w14:paraId="67A42B45" w14:textId="77777777">
            <w:pPr>
              <w:pStyle w:val="Default"/>
              <w:spacing w:line="220" w:lineRule="atLeast"/>
              <w:rPr>
                <w:rFonts w:ascii="Verdana" w:hAnsi="Verdana"/>
                <w:sz w:val="16"/>
                <w:szCs w:val="16"/>
              </w:rPr>
            </w:pPr>
            <w:r w:rsidRPr="008F735C">
              <w:rPr>
                <w:rFonts w:ascii="Verdana" w:hAnsi="Verdana"/>
                <w:sz w:val="16"/>
                <w:szCs w:val="16"/>
              </w:rPr>
              <w:t> </w:t>
            </w:r>
          </w:p>
        </w:tc>
        <w:tc>
          <w:tcPr>
            <w:tcW w:w="709" w:type="dxa"/>
            <w:tcBorders>
              <w:top w:val="single" w:color="auto" w:sz="4" w:space="0"/>
            </w:tcBorders>
            <w:hideMark/>
          </w:tcPr>
          <w:p w:rsidRPr="008F735C" w:rsidR="00943246" w:rsidP="00DA0E48" w:rsidRDefault="00943246" w14:paraId="201CE869"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2026</w:t>
            </w:r>
          </w:p>
        </w:tc>
        <w:tc>
          <w:tcPr>
            <w:tcW w:w="709" w:type="dxa"/>
            <w:tcBorders>
              <w:top w:val="single" w:color="auto" w:sz="4" w:space="0"/>
            </w:tcBorders>
            <w:hideMark/>
          </w:tcPr>
          <w:p w:rsidRPr="008F735C" w:rsidR="00943246" w:rsidP="00DA0E48" w:rsidRDefault="00943246" w14:paraId="100CBEAB"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2027</w:t>
            </w:r>
          </w:p>
        </w:tc>
        <w:tc>
          <w:tcPr>
            <w:tcW w:w="708" w:type="dxa"/>
            <w:tcBorders>
              <w:top w:val="single" w:color="auto" w:sz="4" w:space="0"/>
            </w:tcBorders>
            <w:hideMark/>
          </w:tcPr>
          <w:p w:rsidRPr="008F735C" w:rsidR="00943246" w:rsidP="00DA0E48" w:rsidRDefault="00943246" w14:paraId="53FB5447"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2028</w:t>
            </w:r>
          </w:p>
        </w:tc>
        <w:tc>
          <w:tcPr>
            <w:tcW w:w="709" w:type="dxa"/>
            <w:tcBorders>
              <w:top w:val="single" w:color="auto" w:sz="4" w:space="0"/>
            </w:tcBorders>
            <w:hideMark/>
          </w:tcPr>
          <w:p w:rsidRPr="008F735C" w:rsidR="00943246" w:rsidP="00DA0E48" w:rsidRDefault="00943246" w14:paraId="6BDCFD6F"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2029</w:t>
            </w:r>
          </w:p>
        </w:tc>
        <w:tc>
          <w:tcPr>
            <w:tcW w:w="992" w:type="dxa"/>
            <w:tcBorders>
              <w:top w:val="single" w:color="auto" w:sz="4" w:space="0"/>
              <w:right w:val="single" w:color="auto" w:sz="4" w:space="0"/>
            </w:tcBorders>
            <w:hideMark/>
          </w:tcPr>
          <w:p w:rsidRPr="008F735C" w:rsidR="00943246" w:rsidP="00DA0E48" w:rsidRDefault="00943246" w14:paraId="17F37CC5" w14:textId="77777777">
            <w:pPr>
              <w:pStyle w:val="Default"/>
              <w:spacing w:line="220" w:lineRule="atLeast"/>
              <w:cnfStyle w:val="100000000000" w:firstRow="1"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2030</w:t>
            </w:r>
          </w:p>
        </w:tc>
      </w:tr>
      <w:tr w:rsidRPr="00BC78AE" w:rsidR="00943246" w:rsidTr="00DA0E48" w14:paraId="2C93DFB5" w14:textId="77777777">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3539" w:type="dxa"/>
            <w:tcBorders>
              <w:top w:val="single" w:color="auto" w:sz="4" w:space="0"/>
              <w:left w:val="single" w:color="auto" w:sz="4" w:space="0"/>
            </w:tcBorders>
            <w:hideMark/>
          </w:tcPr>
          <w:p w:rsidRPr="008F735C" w:rsidR="00943246" w:rsidP="00DA0E48" w:rsidRDefault="00943246" w14:paraId="529F0826" w14:textId="77777777">
            <w:pPr>
              <w:pStyle w:val="Default"/>
              <w:spacing w:line="220" w:lineRule="atLeast"/>
              <w:rPr>
                <w:rFonts w:ascii="Verdana" w:hAnsi="Verdana"/>
                <w:sz w:val="16"/>
                <w:szCs w:val="16"/>
              </w:rPr>
            </w:pPr>
            <w:r w:rsidRPr="00BC78AE">
              <w:rPr>
                <w:rFonts w:ascii="Verdana" w:hAnsi="Verdana"/>
                <w:caps w:val="0"/>
                <w:sz w:val="16"/>
                <w:szCs w:val="16"/>
              </w:rPr>
              <w:t>Huidige capaciteit</w:t>
            </w:r>
          </w:p>
        </w:tc>
        <w:tc>
          <w:tcPr>
            <w:tcW w:w="709" w:type="dxa"/>
            <w:tcBorders>
              <w:top w:val="single" w:color="auto" w:sz="4" w:space="0"/>
            </w:tcBorders>
            <w:hideMark/>
          </w:tcPr>
          <w:p w:rsidRPr="008F735C" w:rsidR="00943246" w:rsidP="00DA0E48" w:rsidRDefault="00943246" w14:paraId="3A088939"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Pr>
                <w:rFonts w:ascii="Verdana" w:hAnsi="Verdana"/>
                <w:sz w:val="16"/>
                <w:szCs w:val="16"/>
              </w:rPr>
              <w:t>610</w:t>
            </w:r>
          </w:p>
        </w:tc>
        <w:tc>
          <w:tcPr>
            <w:tcW w:w="709" w:type="dxa"/>
            <w:tcBorders>
              <w:top w:val="single" w:color="auto" w:sz="4" w:space="0"/>
            </w:tcBorders>
            <w:hideMark/>
          </w:tcPr>
          <w:p w:rsidRPr="008F735C" w:rsidR="00943246" w:rsidP="00DA0E48" w:rsidRDefault="00943246" w14:paraId="74852D5D"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 </w:t>
            </w:r>
          </w:p>
        </w:tc>
        <w:tc>
          <w:tcPr>
            <w:tcW w:w="708" w:type="dxa"/>
            <w:tcBorders>
              <w:top w:val="single" w:color="auto" w:sz="4" w:space="0"/>
            </w:tcBorders>
            <w:hideMark/>
          </w:tcPr>
          <w:p w:rsidRPr="008F735C" w:rsidR="00943246" w:rsidP="00DA0E48" w:rsidRDefault="00943246" w14:paraId="342A4AF0"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 </w:t>
            </w:r>
          </w:p>
        </w:tc>
        <w:tc>
          <w:tcPr>
            <w:tcW w:w="709" w:type="dxa"/>
            <w:tcBorders>
              <w:top w:val="single" w:color="auto" w:sz="4" w:space="0"/>
            </w:tcBorders>
            <w:hideMark/>
          </w:tcPr>
          <w:p w:rsidRPr="008F735C" w:rsidR="00943246" w:rsidP="00DA0E48" w:rsidRDefault="00943246" w14:paraId="5589A04B"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 </w:t>
            </w:r>
          </w:p>
        </w:tc>
        <w:tc>
          <w:tcPr>
            <w:tcW w:w="992" w:type="dxa"/>
            <w:tcBorders>
              <w:top w:val="single" w:color="auto" w:sz="4" w:space="0"/>
              <w:right w:val="single" w:color="auto" w:sz="4" w:space="0"/>
            </w:tcBorders>
            <w:hideMark/>
          </w:tcPr>
          <w:p w:rsidRPr="008F735C" w:rsidR="00943246" w:rsidP="00DA0E48" w:rsidRDefault="00943246" w14:paraId="1BD7458C"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 </w:t>
            </w:r>
          </w:p>
        </w:tc>
      </w:tr>
      <w:tr w:rsidRPr="00BC78AE" w:rsidR="00943246" w:rsidTr="00DA0E48" w14:paraId="23D4A222" w14:textId="77777777">
        <w:trPr>
          <w:trHeight w:val="357"/>
        </w:trPr>
        <w:tc>
          <w:tcPr>
            <w:cnfStyle w:val="001000000000" w:firstRow="0" w:lastRow="0" w:firstColumn="1" w:lastColumn="0" w:oddVBand="0" w:evenVBand="0" w:oddHBand="0" w:evenHBand="0" w:firstRowFirstColumn="0" w:firstRowLastColumn="0" w:lastRowFirstColumn="0" w:lastRowLastColumn="0"/>
            <w:tcW w:w="3539" w:type="dxa"/>
            <w:tcBorders>
              <w:left w:val="single" w:color="auto" w:sz="4" w:space="0"/>
              <w:bottom w:val="single" w:color="auto" w:sz="4" w:space="0"/>
            </w:tcBorders>
            <w:hideMark/>
          </w:tcPr>
          <w:p w:rsidRPr="008F735C" w:rsidR="00943246" w:rsidP="00DA0E48" w:rsidRDefault="00943246" w14:paraId="3FF9E00C" w14:textId="77777777">
            <w:pPr>
              <w:pStyle w:val="Default"/>
              <w:spacing w:line="220" w:lineRule="atLeast"/>
              <w:rPr>
                <w:rFonts w:ascii="Verdana" w:hAnsi="Verdana"/>
                <w:sz w:val="16"/>
                <w:szCs w:val="16"/>
              </w:rPr>
            </w:pPr>
            <w:r w:rsidRPr="00BC78AE">
              <w:rPr>
                <w:rFonts w:ascii="Verdana" w:hAnsi="Verdana"/>
                <w:caps w:val="0"/>
                <w:sz w:val="16"/>
                <w:szCs w:val="16"/>
              </w:rPr>
              <w:t xml:space="preserve">Capaciteit incl. </w:t>
            </w:r>
            <w:r>
              <w:rPr>
                <w:rFonts w:ascii="Verdana" w:hAnsi="Verdana"/>
                <w:caps w:val="0"/>
                <w:sz w:val="16"/>
                <w:szCs w:val="16"/>
              </w:rPr>
              <w:t>g</w:t>
            </w:r>
            <w:r w:rsidRPr="00BC78AE">
              <w:rPr>
                <w:rFonts w:ascii="Verdana" w:hAnsi="Verdana"/>
                <w:caps w:val="0"/>
                <w:sz w:val="16"/>
                <w:szCs w:val="16"/>
              </w:rPr>
              <w:t>eplande uitbreiding</w:t>
            </w:r>
          </w:p>
        </w:tc>
        <w:tc>
          <w:tcPr>
            <w:tcW w:w="709" w:type="dxa"/>
            <w:tcBorders>
              <w:bottom w:val="single" w:color="auto" w:sz="4" w:space="0"/>
            </w:tcBorders>
            <w:hideMark/>
          </w:tcPr>
          <w:p w:rsidRPr="008F735C" w:rsidR="00943246" w:rsidP="00DA0E48" w:rsidRDefault="00943246" w14:paraId="7014F629"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C78AE">
              <w:rPr>
                <w:rFonts w:ascii="Verdana" w:hAnsi="Verdana"/>
                <w:sz w:val="16"/>
                <w:szCs w:val="16"/>
              </w:rPr>
              <w:t>618</w:t>
            </w:r>
          </w:p>
        </w:tc>
        <w:tc>
          <w:tcPr>
            <w:tcW w:w="709" w:type="dxa"/>
            <w:tcBorders>
              <w:bottom w:val="single" w:color="auto" w:sz="4" w:space="0"/>
            </w:tcBorders>
            <w:hideMark/>
          </w:tcPr>
          <w:p w:rsidRPr="008F735C" w:rsidR="00943246" w:rsidP="00DA0E48" w:rsidRDefault="00943246" w14:paraId="6F347FDF"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6</w:t>
            </w:r>
            <w:r>
              <w:rPr>
                <w:rFonts w:ascii="Verdana" w:hAnsi="Verdana"/>
                <w:sz w:val="16"/>
                <w:szCs w:val="16"/>
              </w:rPr>
              <w:t>38</w:t>
            </w:r>
            <w:r w:rsidRPr="00BC78AE">
              <w:rPr>
                <w:rFonts w:ascii="Verdana" w:hAnsi="Verdana"/>
                <w:sz w:val="14"/>
                <w:szCs w:val="14"/>
              </w:rPr>
              <w:t>*</w:t>
            </w:r>
          </w:p>
        </w:tc>
        <w:tc>
          <w:tcPr>
            <w:tcW w:w="708" w:type="dxa"/>
            <w:tcBorders>
              <w:bottom w:val="single" w:color="auto" w:sz="4" w:space="0"/>
            </w:tcBorders>
            <w:hideMark/>
          </w:tcPr>
          <w:p w:rsidRPr="008F735C" w:rsidR="00943246" w:rsidP="00DA0E48" w:rsidRDefault="00943246" w14:paraId="4C1A8D51"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8F735C">
              <w:rPr>
                <w:rFonts w:ascii="Verdana" w:hAnsi="Verdana"/>
                <w:sz w:val="16"/>
                <w:szCs w:val="16"/>
              </w:rPr>
              <w:t>6</w:t>
            </w:r>
            <w:r>
              <w:rPr>
                <w:rFonts w:ascii="Verdana" w:hAnsi="Verdana"/>
                <w:sz w:val="16"/>
                <w:szCs w:val="16"/>
              </w:rPr>
              <w:t>74</w:t>
            </w:r>
          </w:p>
        </w:tc>
        <w:tc>
          <w:tcPr>
            <w:tcW w:w="709" w:type="dxa"/>
            <w:tcBorders>
              <w:bottom w:val="single" w:color="auto" w:sz="4" w:space="0"/>
            </w:tcBorders>
            <w:hideMark/>
          </w:tcPr>
          <w:p w:rsidRPr="008F735C" w:rsidR="00943246" w:rsidP="00DA0E48" w:rsidRDefault="00943246" w14:paraId="31AC2748"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C78AE">
              <w:rPr>
                <w:rFonts w:ascii="Verdana" w:hAnsi="Verdana"/>
                <w:sz w:val="16"/>
                <w:szCs w:val="16"/>
              </w:rPr>
              <w:t>688</w:t>
            </w:r>
          </w:p>
        </w:tc>
        <w:tc>
          <w:tcPr>
            <w:tcW w:w="992" w:type="dxa"/>
            <w:tcBorders>
              <w:bottom w:val="single" w:color="auto" w:sz="4" w:space="0"/>
              <w:right w:val="single" w:color="auto" w:sz="4" w:space="0"/>
            </w:tcBorders>
            <w:hideMark/>
          </w:tcPr>
          <w:p w:rsidRPr="008F735C" w:rsidR="00943246" w:rsidP="00DA0E48" w:rsidRDefault="00943246" w14:paraId="346BBA3E"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C78AE">
              <w:rPr>
                <w:rFonts w:ascii="Verdana" w:hAnsi="Verdana"/>
                <w:sz w:val="16"/>
                <w:szCs w:val="16"/>
              </w:rPr>
              <w:t>688</w:t>
            </w:r>
          </w:p>
        </w:tc>
      </w:tr>
      <w:tr w:rsidRPr="00BC78AE" w:rsidR="00943246" w:rsidTr="00DA0E48" w14:paraId="57A174DF" w14:textId="7777777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539" w:type="dxa"/>
            <w:tcBorders>
              <w:top w:val="single" w:color="7F7F7F" w:themeColor="text1" w:themeTint="80" w:sz="4" w:space="0"/>
              <w:left w:val="single" w:color="auto" w:sz="4" w:space="0"/>
              <w:bottom w:val="single" w:color="auto" w:sz="4" w:space="0"/>
            </w:tcBorders>
            <w:hideMark/>
          </w:tcPr>
          <w:p w:rsidRPr="008F735C" w:rsidR="00943246" w:rsidP="00DA0E48" w:rsidRDefault="00943246" w14:paraId="2F5CC260" w14:textId="77777777">
            <w:pPr>
              <w:pStyle w:val="Default"/>
              <w:spacing w:line="220" w:lineRule="atLeast"/>
              <w:rPr>
                <w:rFonts w:ascii="Verdana" w:hAnsi="Verdana"/>
                <w:sz w:val="16"/>
                <w:szCs w:val="16"/>
              </w:rPr>
            </w:pPr>
            <w:r w:rsidRPr="00BC78AE">
              <w:rPr>
                <w:rFonts w:ascii="Verdana" w:hAnsi="Verdana"/>
                <w:caps w:val="0"/>
                <w:sz w:val="16"/>
                <w:szCs w:val="16"/>
              </w:rPr>
              <w:t>Capaciteitsbehoefte PMJ 2026</w:t>
            </w:r>
          </w:p>
        </w:tc>
        <w:tc>
          <w:tcPr>
            <w:tcW w:w="709" w:type="dxa"/>
            <w:tcBorders>
              <w:top w:val="single" w:color="7F7F7F" w:themeColor="text1" w:themeTint="80" w:sz="4" w:space="0"/>
              <w:bottom w:val="single" w:color="auto" w:sz="4" w:space="0"/>
            </w:tcBorders>
            <w:hideMark/>
          </w:tcPr>
          <w:p w:rsidRPr="008F735C" w:rsidR="00943246" w:rsidP="00DA0E48" w:rsidRDefault="00943246" w14:paraId="1499B66B"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692</w:t>
            </w:r>
          </w:p>
        </w:tc>
        <w:tc>
          <w:tcPr>
            <w:tcW w:w="709" w:type="dxa"/>
            <w:tcBorders>
              <w:top w:val="single" w:color="7F7F7F" w:themeColor="text1" w:themeTint="80" w:sz="4" w:space="0"/>
              <w:bottom w:val="single" w:color="auto" w:sz="4" w:space="0"/>
            </w:tcBorders>
            <w:hideMark/>
          </w:tcPr>
          <w:p w:rsidRPr="008F735C" w:rsidR="00943246" w:rsidP="00DA0E48" w:rsidRDefault="00943246" w14:paraId="67F7DCAB"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703</w:t>
            </w:r>
          </w:p>
        </w:tc>
        <w:tc>
          <w:tcPr>
            <w:tcW w:w="708" w:type="dxa"/>
            <w:tcBorders>
              <w:top w:val="single" w:color="7F7F7F" w:themeColor="text1" w:themeTint="80" w:sz="4" w:space="0"/>
              <w:bottom w:val="single" w:color="auto" w:sz="4" w:space="0"/>
            </w:tcBorders>
            <w:hideMark/>
          </w:tcPr>
          <w:p w:rsidRPr="008F735C" w:rsidR="00943246" w:rsidP="00DA0E48" w:rsidRDefault="00943246" w14:paraId="2AD975FF"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710</w:t>
            </w:r>
          </w:p>
        </w:tc>
        <w:tc>
          <w:tcPr>
            <w:tcW w:w="709" w:type="dxa"/>
            <w:tcBorders>
              <w:top w:val="single" w:color="7F7F7F" w:themeColor="text1" w:themeTint="80" w:sz="4" w:space="0"/>
              <w:bottom w:val="single" w:color="auto" w:sz="4" w:space="0"/>
            </w:tcBorders>
            <w:hideMark/>
          </w:tcPr>
          <w:p w:rsidRPr="008F735C" w:rsidR="00943246" w:rsidP="00DA0E48" w:rsidRDefault="00943246" w14:paraId="7390845C"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714</w:t>
            </w:r>
          </w:p>
        </w:tc>
        <w:tc>
          <w:tcPr>
            <w:tcW w:w="992" w:type="dxa"/>
            <w:tcBorders>
              <w:top w:val="single" w:color="7F7F7F" w:themeColor="text1" w:themeTint="80" w:sz="4" w:space="0"/>
              <w:bottom w:val="single" w:color="auto" w:sz="4" w:space="0"/>
              <w:right w:val="single" w:color="auto" w:sz="4" w:space="0"/>
            </w:tcBorders>
            <w:hideMark/>
          </w:tcPr>
          <w:p w:rsidRPr="008F735C" w:rsidR="00943246" w:rsidP="00DA0E48" w:rsidRDefault="00943246" w14:paraId="0A32BDA1" w14:textId="77777777">
            <w:pPr>
              <w:pStyle w:val="Default"/>
              <w:spacing w:line="220" w:lineRule="atLeast"/>
              <w:cnfStyle w:val="000000100000" w:firstRow="0" w:lastRow="0" w:firstColumn="0" w:lastColumn="0" w:oddVBand="0" w:evenVBand="0" w:oddHBand="1" w:evenHBand="0" w:firstRowFirstColumn="0" w:firstRowLastColumn="0" w:lastRowFirstColumn="0" w:lastRowLastColumn="0"/>
              <w:rPr>
                <w:rFonts w:ascii="Verdana" w:hAnsi="Verdana"/>
                <w:sz w:val="16"/>
                <w:szCs w:val="16"/>
              </w:rPr>
            </w:pPr>
            <w:r w:rsidRPr="008F735C">
              <w:rPr>
                <w:rFonts w:ascii="Verdana" w:hAnsi="Verdana"/>
                <w:sz w:val="16"/>
                <w:szCs w:val="16"/>
              </w:rPr>
              <w:t>718</w:t>
            </w:r>
          </w:p>
        </w:tc>
      </w:tr>
      <w:tr w:rsidRPr="00BC78AE" w:rsidR="00943246" w:rsidTr="00DA0E48" w14:paraId="3FA2B2F9" w14:textId="77777777">
        <w:trPr>
          <w:trHeight w:val="339"/>
        </w:trPr>
        <w:tc>
          <w:tcPr>
            <w:cnfStyle w:val="001000000000" w:firstRow="0" w:lastRow="0" w:firstColumn="1" w:lastColumn="0" w:oddVBand="0" w:evenVBand="0" w:oddHBand="0" w:evenHBand="0" w:firstRowFirstColumn="0" w:firstRowLastColumn="0" w:lastRowFirstColumn="0" w:lastRowLastColumn="0"/>
            <w:tcW w:w="3539" w:type="dxa"/>
            <w:tcBorders>
              <w:top w:val="single" w:color="auto" w:sz="4" w:space="0"/>
              <w:left w:val="single" w:color="auto" w:sz="4" w:space="0"/>
              <w:bottom w:val="single" w:color="auto" w:sz="4" w:space="0"/>
            </w:tcBorders>
          </w:tcPr>
          <w:p w:rsidRPr="00BC78AE" w:rsidR="00943246" w:rsidP="00DA0E48" w:rsidRDefault="00943246" w14:paraId="680D6F5E" w14:textId="77777777">
            <w:pPr>
              <w:pStyle w:val="Default"/>
              <w:spacing w:line="220" w:lineRule="atLeast"/>
              <w:rPr>
                <w:rFonts w:ascii="Verdana" w:hAnsi="Verdana"/>
                <w:sz w:val="16"/>
                <w:szCs w:val="16"/>
              </w:rPr>
            </w:pPr>
            <w:r w:rsidRPr="00BC78AE">
              <w:rPr>
                <w:rFonts w:ascii="Verdana" w:hAnsi="Verdana"/>
                <w:caps w:val="0"/>
                <w:sz w:val="16"/>
                <w:szCs w:val="16"/>
              </w:rPr>
              <w:t>Tekort na uitbreiding</w:t>
            </w:r>
          </w:p>
        </w:tc>
        <w:tc>
          <w:tcPr>
            <w:tcW w:w="709" w:type="dxa"/>
            <w:tcBorders>
              <w:top w:val="single" w:color="auto" w:sz="4" w:space="0"/>
              <w:bottom w:val="single" w:color="auto" w:sz="4" w:space="0"/>
            </w:tcBorders>
          </w:tcPr>
          <w:p w:rsidRPr="00BC78AE" w:rsidR="00943246" w:rsidP="00DA0E48" w:rsidRDefault="00943246" w14:paraId="6676599D"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74</w:t>
            </w:r>
          </w:p>
        </w:tc>
        <w:tc>
          <w:tcPr>
            <w:tcW w:w="709" w:type="dxa"/>
            <w:tcBorders>
              <w:top w:val="single" w:color="auto" w:sz="4" w:space="0"/>
              <w:bottom w:val="single" w:color="auto" w:sz="4" w:space="0"/>
            </w:tcBorders>
          </w:tcPr>
          <w:p w:rsidRPr="00BC78AE" w:rsidR="00943246" w:rsidP="00DA0E48" w:rsidRDefault="00943246" w14:paraId="6558CE86"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65</w:t>
            </w:r>
          </w:p>
        </w:tc>
        <w:tc>
          <w:tcPr>
            <w:tcW w:w="708" w:type="dxa"/>
            <w:tcBorders>
              <w:top w:val="single" w:color="auto" w:sz="4" w:space="0"/>
              <w:bottom w:val="single" w:color="auto" w:sz="4" w:space="0"/>
            </w:tcBorders>
          </w:tcPr>
          <w:p w:rsidRPr="00BC78AE" w:rsidR="00943246" w:rsidP="00DA0E48" w:rsidRDefault="00943246" w14:paraId="1AF7D980"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Pr>
                <w:rFonts w:ascii="Verdana" w:hAnsi="Verdana"/>
                <w:sz w:val="16"/>
                <w:szCs w:val="16"/>
              </w:rPr>
              <w:t>36</w:t>
            </w:r>
          </w:p>
        </w:tc>
        <w:tc>
          <w:tcPr>
            <w:tcW w:w="709" w:type="dxa"/>
            <w:tcBorders>
              <w:top w:val="single" w:color="auto" w:sz="4" w:space="0"/>
              <w:bottom w:val="single" w:color="auto" w:sz="4" w:space="0"/>
            </w:tcBorders>
          </w:tcPr>
          <w:p w:rsidRPr="00BC78AE" w:rsidR="00943246" w:rsidP="00DA0E48" w:rsidRDefault="00943246" w14:paraId="315FCFC7"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C78AE">
              <w:rPr>
                <w:rFonts w:ascii="Verdana" w:hAnsi="Verdana"/>
                <w:sz w:val="16"/>
                <w:szCs w:val="16"/>
              </w:rPr>
              <w:t>26</w:t>
            </w:r>
          </w:p>
        </w:tc>
        <w:tc>
          <w:tcPr>
            <w:tcW w:w="992" w:type="dxa"/>
            <w:tcBorders>
              <w:top w:val="single" w:color="auto" w:sz="4" w:space="0"/>
              <w:bottom w:val="single" w:color="auto" w:sz="4" w:space="0"/>
              <w:right w:val="single" w:color="auto" w:sz="4" w:space="0"/>
            </w:tcBorders>
          </w:tcPr>
          <w:p w:rsidRPr="00BC78AE" w:rsidR="00943246" w:rsidP="00DA0E48" w:rsidRDefault="00943246" w14:paraId="43B2DBAF" w14:textId="77777777">
            <w:pPr>
              <w:pStyle w:val="Default"/>
              <w:spacing w:line="220" w:lineRule="atLeast"/>
              <w:cnfStyle w:val="000000000000" w:firstRow="0" w:lastRow="0" w:firstColumn="0" w:lastColumn="0" w:oddVBand="0" w:evenVBand="0" w:oddHBand="0" w:evenHBand="0" w:firstRowFirstColumn="0" w:firstRowLastColumn="0" w:lastRowFirstColumn="0" w:lastRowLastColumn="0"/>
              <w:rPr>
                <w:rFonts w:ascii="Verdana" w:hAnsi="Verdana"/>
                <w:sz w:val="16"/>
                <w:szCs w:val="16"/>
              </w:rPr>
            </w:pPr>
            <w:r w:rsidRPr="00BC78AE">
              <w:rPr>
                <w:rFonts w:ascii="Verdana" w:hAnsi="Verdana"/>
                <w:sz w:val="16"/>
                <w:szCs w:val="16"/>
              </w:rPr>
              <w:t>30</w:t>
            </w:r>
          </w:p>
        </w:tc>
      </w:tr>
    </w:tbl>
    <w:p w:rsidRPr="00BC78AE" w:rsidR="00943246" w:rsidP="00943246" w:rsidRDefault="00943246" w14:paraId="5FB8D199" w14:textId="77777777">
      <w:pPr>
        <w:pStyle w:val="Default"/>
        <w:spacing w:line="220" w:lineRule="atLeast"/>
        <w:rPr>
          <w:rFonts w:ascii="Verdana" w:hAnsi="Verdana"/>
          <w:sz w:val="14"/>
          <w:szCs w:val="14"/>
        </w:rPr>
      </w:pPr>
      <w:r w:rsidRPr="00BC78AE">
        <w:rPr>
          <w:rFonts w:ascii="Verdana" w:hAnsi="Verdana"/>
          <w:sz w:val="14"/>
          <w:szCs w:val="14"/>
        </w:rPr>
        <w:t>*</w:t>
      </w:r>
      <w:r>
        <w:rPr>
          <w:rFonts w:ascii="Verdana" w:hAnsi="Verdana"/>
          <w:sz w:val="14"/>
          <w:szCs w:val="14"/>
        </w:rPr>
        <w:t>Start gefaseerde h</w:t>
      </w:r>
      <w:r w:rsidRPr="00BC78AE">
        <w:rPr>
          <w:rFonts w:ascii="Verdana" w:hAnsi="Verdana"/>
          <w:sz w:val="14"/>
          <w:szCs w:val="14"/>
        </w:rPr>
        <w:t xml:space="preserve">eropening </w:t>
      </w:r>
      <w:r>
        <w:rPr>
          <w:rFonts w:ascii="Verdana" w:hAnsi="Verdana"/>
          <w:sz w:val="14"/>
          <w:szCs w:val="14"/>
        </w:rPr>
        <w:t>Harreveld</w:t>
      </w:r>
    </w:p>
    <w:p w:rsidRPr="00A9477D" w:rsidR="00943246" w:rsidP="00A9477D" w:rsidRDefault="00943246" w14:paraId="08EFC33F" w14:textId="77777777">
      <w:pPr>
        <w:autoSpaceDN/>
        <w:textAlignment w:val="auto"/>
        <w:rPr>
          <w:rFonts w:eastAsia="Times New Roman"/>
          <w:color w:val="auto"/>
        </w:rPr>
      </w:pPr>
    </w:p>
    <w:bookmarkEnd w:id="2"/>
    <w:p w:rsidRPr="00062BE1" w:rsidR="00E37D50" w:rsidP="0040440B" w:rsidRDefault="00E37D50" w14:paraId="4EFE7089" w14:textId="77777777">
      <w:pPr>
        <w:pStyle w:val="Lijstalinea"/>
        <w:numPr>
          <w:ilvl w:val="0"/>
          <w:numId w:val="19"/>
        </w:numPr>
        <w:autoSpaceDN/>
        <w:textAlignment w:val="auto"/>
        <w:rPr>
          <w:rFonts w:eastAsia="Times New Roman"/>
          <w:color w:val="auto"/>
        </w:rPr>
      </w:pPr>
      <w:r w:rsidRPr="00DC5AC4">
        <w:rPr>
          <w:rFonts w:eastAsia="Times New Roman"/>
          <w:color w:val="auto"/>
        </w:rPr>
        <w:t xml:space="preserve">Vermindering van het aantal uren gezamenlijk dagprogramma: </w:t>
      </w:r>
      <w:r w:rsidRPr="00062BE1">
        <w:rPr>
          <w:rFonts w:eastAsia="Times New Roman"/>
          <w:color w:val="auto"/>
        </w:rPr>
        <w:t>De situatie is onveranderd ten opzichte van de laatste update aan de Kamer.</w:t>
      </w:r>
      <w:r>
        <w:rPr>
          <w:rFonts w:eastAsia="Times New Roman"/>
          <w:color w:val="auto"/>
        </w:rPr>
        <w:t xml:space="preserve"> D</w:t>
      </w:r>
      <w:r w:rsidRPr="00DC5AC4">
        <w:rPr>
          <w:rFonts w:eastAsia="Times New Roman"/>
          <w:color w:val="auto"/>
        </w:rPr>
        <w:t>e wettelijke ondergrens van 77 uur gezamenlijk dagprogramma wordt niet gehaald.</w:t>
      </w:r>
      <w:r>
        <w:rPr>
          <w:rStyle w:val="Voetnootmarkering"/>
          <w:rFonts w:eastAsia="Times New Roman"/>
          <w:color w:val="auto"/>
        </w:rPr>
        <w:footnoteReference w:id="5"/>
      </w:r>
      <w:r w:rsidRPr="00DC5AC4">
        <w:rPr>
          <w:rFonts w:eastAsia="Times New Roman"/>
          <w:color w:val="auto"/>
        </w:rPr>
        <w:t xml:space="preserve"> De beleidsmatige ondergrens van 62 uur wordt </w:t>
      </w:r>
      <w:r>
        <w:rPr>
          <w:rFonts w:eastAsia="Times New Roman"/>
          <w:color w:val="auto"/>
        </w:rPr>
        <w:t xml:space="preserve">door omstandigheden soms </w:t>
      </w:r>
      <w:r w:rsidRPr="00DC5AC4">
        <w:rPr>
          <w:rFonts w:eastAsia="Times New Roman"/>
          <w:color w:val="auto"/>
        </w:rPr>
        <w:t>ook niet gehaald.</w:t>
      </w:r>
      <w:r>
        <w:rPr>
          <w:rStyle w:val="Voetnootmarkering"/>
          <w:rFonts w:eastAsia="Times New Roman"/>
          <w:color w:val="auto"/>
        </w:rPr>
        <w:footnoteReference w:id="6"/>
      </w:r>
      <w:r w:rsidRPr="00DC5AC4">
        <w:rPr>
          <w:rFonts w:eastAsia="Times New Roman"/>
          <w:color w:val="auto"/>
        </w:rPr>
        <w:t xml:space="preserve"> Als gevolg hiervan verblijven jeugdigen meer uren op een dag op kamer. </w:t>
      </w:r>
      <w:r>
        <w:rPr>
          <w:rFonts w:eastAsia="Times New Roman"/>
          <w:color w:val="auto"/>
        </w:rPr>
        <w:t xml:space="preserve">In de tijd die zij op hun kamer doorbrengen, wordt hen een passend pedagogisch programma aangeboden. </w:t>
      </w:r>
    </w:p>
    <w:p w:rsidRPr="00DC7C62" w:rsidR="00914400" w:rsidP="0040440B" w:rsidRDefault="004C4AFD" w14:paraId="5C91D5B5" w14:textId="0D7467D9">
      <w:pPr>
        <w:pStyle w:val="Lijstalinea"/>
        <w:numPr>
          <w:ilvl w:val="0"/>
          <w:numId w:val="19"/>
        </w:numPr>
        <w:autoSpaceDN/>
        <w:textAlignment w:val="auto"/>
      </w:pPr>
      <w:r w:rsidRPr="00DC7C62">
        <w:rPr>
          <w:rFonts w:eastAsia="Times New Roman"/>
          <w:color w:val="auto"/>
        </w:rPr>
        <w:t xml:space="preserve">Jongvolwassenen die als gevolg van het capaciteitstekort niet in de </w:t>
      </w:r>
      <w:proofErr w:type="spellStart"/>
      <w:r w:rsidRPr="00DC7C62">
        <w:rPr>
          <w:rFonts w:eastAsia="Times New Roman"/>
          <w:color w:val="auto"/>
        </w:rPr>
        <w:t>JJI’s</w:t>
      </w:r>
      <w:proofErr w:type="spellEnd"/>
      <w:r w:rsidRPr="00DC7C62">
        <w:rPr>
          <w:rFonts w:eastAsia="Times New Roman"/>
          <w:color w:val="auto"/>
        </w:rPr>
        <w:t xml:space="preserve"> geplaatst kunnen worden, worden geplaatst op twee speciaal voor deze doelgroep vrijgemaakte Huis van Bewaring-afdelingen in Justitieel Complex Zeist en Penitentiaire Inrichting Almelo</w:t>
      </w:r>
      <w:r w:rsidRPr="00DC7C62" w:rsidR="00DC7C62">
        <w:rPr>
          <w:rFonts w:eastAsia="Times New Roman"/>
          <w:color w:val="auto"/>
        </w:rPr>
        <w:t>, apart van volwassen gedetineerden</w:t>
      </w:r>
      <w:r w:rsidRPr="00DC7C62">
        <w:rPr>
          <w:rFonts w:eastAsia="Times New Roman"/>
          <w:color w:val="auto"/>
        </w:rPr>
        <w:t xml:space="preserve">. </w:t>
      </w:r>
      <w:r w:rsidR="00DC7C62">
        <w:rPr>
          <w:rFonts w:eastAsia="Times New Roman"/>
          <w:color w:val="auto"/>
        </w:rPr>
        <w:t xml:space="preserve">In 2025 waren gemiddeld 38 van de 48 plekken op deze afdelingen bezet. </w:t>
      </w:r>
    </w:p>
    <w:p w:rsidR="00DC7C62" w:rsidP="0040440B" w:rsidRDefault="00DC7C62" w14:paraId="2D63A8FD" w14:textId="77777777">
      <w:pPr>
        <w:autoSpaceDN/>
        <w:textAlignment w:val="auto"/>
      </w:pPr>
    </w:p>
    <w:p w:rsidRPr="00F95FC7" w:rsidR="00914400" w:rsidP="0040440B" w:rsidRDefault="00914400" w14:paraId="130F51C9" w14:textId="2F87BA75">
      <w:pPr>
        <w:pStyle w:val="Lijstalinea"/>
        <w:numPr>
          <w:ilvl w:val="0"/>
          <w:numId w:val="9"/>
        </w:numPr>
        <w:rPr>
          <w:b/>
          <w:bCs/>
          <w:lang w:val="nl-BE"/>
        </w:rPr>
      </w:pPr>
      <w:r w:rsidRPr="00F95FC7">
        <w:rPr>
          <w:b/>
          <w:bCs/>
          <w:lang w:val="nl-BE"/>
        </w:rPr>
        <w:t xml:space="preserve">Proces herbezinning opgave justitiële jeugdinrichtingen </w:t>
      </w:r>
    </w:p>
    <w:p w:rsidR="00020E6B" w:rsidP="0040440B" w:rsidRDefault="004C4AFD" w14:paraId="57D3233F" w14:textId="174F86AC">
      <w:r w:rsidRPr="006B761A">
        <w:t xml:space="preserve">Door de structureel aanhoudende personele en </w:t>
      </w:r>
      <w:proofErr w:type="spellStart"/>
      <w:r w:rsidRPr="006B761A">
        <w:t>capacitaire</w:t>
      </w:r>
      <w:proofErr w:type="spellEnd"/>
      <w:r w:rsidRPr="006B761A">
        <w:t xml:space="preserve"> tekorten binnen de </w:t>
      </w:r>
      <w:proofErr w:type="spellStart"/>
      <w:r w:rsidRPr="006B761A">
        <w:t>JJI's</w:t>
      </w:r>
      <w:proofErr w:type="spellEnd"/>
      <w:r w:rsidRPr="006B761A">
        <w:t xml:space="preserve"> staat het pedagogisch uitgangspunt van vrijheidsbeneming al enige jaren onder druk. </w:t>
      </w:r>
      <w:r w:rsidR="00E50BD3">
        <w:t xml:space="preserve">Het is nodig dat er een nieuwe en realistische balans wordt gevonden tussen de kwaliteit (zorg en veiligheid) en de benodigde randvoorwaarden voor de taakuitoefening van de Dienst Justitiële Inrichtingen DJI). </w:t>
      </w:r>
      <w:r w:rsidR="00DC7C62">
        <w:t>De hierboven geschetste m</w:t>
      </w:r>
      <w:r w:rsidRPr="006B761A">
        <w:t xml:space="preserve">aatregelen hebben tot op heden onvoldoende structurele oplossingen geboden. </w:t>
      </w:r>
      <w:r w:rsidR="00057E46">
        <w:t>Mijn ambtsvoorganger</w:t>
      </w:r>
      <w:r w:rsidRPr="006B761A" w:rsidR="00057E46">
        <w:t xml:space="preserve"> heeft </w:t>
      </w:r>
      <w:r w:rsidR="00057E46">
        <w:t>uw</w:t>
      </w:r>
      <w:r w:rsidRPr="006B761A" w:rsidR="00057E46">
        <w:t xml:space="preserve"> Kamer </w:t>
      </w:r>
      <w:r w:rsidR="00057E46">
        <w:t>laten weten</w:t>
      </w:r>
      <w:r w:rsidRPr="006B761A" w:rsidR="00057E46">
        <w:t xml:space="preserve"> dat een herbezinning van de huidige opgave van de </w:t>
      </w:r>
      <w:proofErr w:type="spellStart"/>
      <w:r w:rsidRPr="006B761A" w:rsidR="00057E46">
        <w:t>JJI</w:t>
      </w:r>
      <w:r w:rsidR="00057E46">
        <w:t>’</w:t>
      </w:r>
      <w:r w:rsidRPr="006B761A" w:rsidR="00057E46">
        <w:t>s</w:t>
      </w:r>
      <w:proofErr w:type="spellEnd"/>
      <w:r w:rsidRPr="006B761A" w:rsidR="00057E46">
        <w:t xml:space="preserve"> </w:t>
      </w:r>
      <w:r w:rsidR="00057E46">
        <w:t xml:space="preserve">daarom </w:t>
      </w:r>
      <w:r w:rsidRPr="006B761A" w:rsidR="00057E46">
        <w:t>noodzakelijk is.</w:t>
      </w:r>
      <w:r w:rsidR="00057E46">
        <w:rPr>
          <w:rStyle w:val="Voetnootmarkering"/>
        </w:rPr>
        <w:footnoteReference w:id="7"/>
      </w:r>
      <w:r w:rsidRPr="006B761A" w:rsidR="00057E46">
        <w:t xml:space="preserve"> </w:t>
      </w:r>
      <w:r w:rsidRPr="006B761A">
        <w:t xml:space="preserve">Door de tekorten wordt ook het onderwijs geraakt en is het recht op onderwijs op dit moment onvoldoende gewaarborgd in de </w:t>
      </w:r>
      <w:proofErr w:type="spellStart"/>
      <w:r w:rsidRPr="006B761A">
        <w:t>JJI's</w:t>
      </w:r>
      <w:proofErr w:type="spellEnd"/>
      <w:r w:rsidRPr="006B761A">
        <w:t>.</w:t>
      </w:r>
      <w:r>
        <w:rPr>
          <w:rStyle w:val="Voetnootmarkering"/>
        </w:rPr>
        <w:footnoteReference w:id="8"/>
      </w:r>
      <w:r w:rsidRPr="006B761A">
        <w:t xml:space="preserve"> De visie op de positie van het onderwijs binnen de </w:t>
      </w:r>
      <w:proofErr w:type="spellStart"/>
      <w:r w:rsidRPr="006B761A">
        <w:t>JJI</w:t>
      </w:r>
      <w:r>
        <w:t>’</w:t>
      </w:r>
      <w:r w:rsidRPr="006B761A">
        <w:t>s</w:t>
      </w:r>
      <w:proofErr w:type="spellEnd"/>
      <w:r w:rsidRPr="006B761A">
        <w:t xml:space="preserve"> </w:t>
      </w:r>
      <w:r>
        <w:t>wordt daarom meegenomen in</w:t>
      </w:r>
      <w:r w:rsidRPr="006B761A">
        <w:t xml:space="preserve"> de herbezinning. </w:t>
      </w:r>
    </w:p>
    <w:p w:rsidR="004C4AFD" w:rsidP="0040440B" w:rsidRDefault="004C4AFD" w14:paraId="5F1031A9" w14:textId="0A4B7EC6">
      <w:r w:rsidRPr="006B761A">
        <w:t xml:space="preserve">Deze herbezinning is </w:t>
      </w:r>
      <w:r w:rsidR="009F6D68">
        <w:t>inmiddels</w:t>
      </w:r>
      <w:r w:rsidRPr="006B761A">
        <w:t xml:space="preserve"> van start gegaan en moet leiden tot een uitvoerbare opdracht voor de </w:t>
      </w:r>
      <w:proofErr w:type="spellStart"/>
      <w:r w:rsidRPr="006B761A">
        <w:t>JJI's</w:t>
      </w:r>
      <w:proofErr w:type="spellEnd"/>
      <w:r w:rsidRPr="006B761A">
        <w:t xml:space="preserve">, waarbij rekening wordt gehouden met de beschikbaarheid van personeel, capaciteit en financiën. </w:t>
      </w:r>
      <w:r>
        <w:t>De herbezinning</w:t>
      </w:r>
      <w:r w:rsidRPr="006B761A">
        <w:t xml:space="preserve"> wordt vormgegeven aan de hand van het Beleidskompas. </w:t>
      </w:r>
      <w:r w:rsidR="00020E6B">
        <w:t>Door</w:t>
      </w:r>
      <w:r w:rsidRPr="006B761A">
        <w:t xml:space="preserve"> een projectgroep met leden vanuit </w:t>
      </w:r>
      <w:r>
        <w:t>mijn ministerie</w:t>
      </w:r>
      <w:r w:rsidRPr="006B761A">
        <w:t>, het ministerie van Onderwijs, Cultuur en Wetenschap</w:t>
      </w:r>
      <w:r>
        <w:t xml:space="preserve"> (OCW) en de </w:t>
      </w:r>
      <w:r w:rsidRPr="006B761A">
        <w:t>DJI</w:t>
      </w:r>
      <w:r w:rsidR="00020E6B">
        <w:t xml:space="preserve"> </w:t>
      </w:r>
      <w:r>
        <w:t xml:space="preserve">wordt op dit moment gewerkt aan </w:t>
      </w:r>
      <w:r w:rsidR="001877B7">
        <w:t>het eerste onderdeel van het Beleidskompas</w:t>
      </w:r>
      <w:r>
        <w:t xml:space="preserve">. </w:t>
      </w:r>
      <w:r w:rsidR="00E50BD3">
        <w:t xml:space="preserve">. Het Beleidskompas biedt de projectgroep verschillende middelen om (samen met een brede cirkel van stakeholders, belanghebbenden en wetenschappelijke kennis) tot een set aan uitgewerkte scenario’s en aanbevelingen te komen. De verwachting zal zijn dat resultaten en aanbevelingen uit dit proces gereed zijn in het eerste kwartaal van 2027. Dit omdat er tijd genomen moet worden om tot een zorgvuldig onderbouwd en door alle partijen gedragen en toekomstbestendig resultaat te komen. De uitdagingen waar de </w:t>
      </w:r>
      <w:proofErr w:type="spellStart"/>
      <w:r w:rsidR="00E50BD3">
        <w:t>JJI’s</w:t>
      </w:r>
      <w:proofErr w:type="spellEnd"/>
      <w:r w:rsidR="00E50BD3">
        <w:t xml:space="preserve"> zich voor gesteld zien zijn uitdagend en hardnekkig. Quick </w:t>
      </w:r>
      <w:proofErr w:type="spellStart"/>
      <w:r w:rsidR="00E50BD3">
        <w:t>fixes</w:t>
      </w:r>
      <w:proofErr w:type="spellEnd"/>
      <w:r w:rsidR="00E50BD3">
        <w:t xml:space="preserve"> liggen inmiddels niet meer in handbereik. De zoektocht naar meer structurele oplossingen heeft dan ook tijd nodig.</w:t>
      </w:r>
    </w:p>
    <w:p w:rsidR="00914400" w:rsidP="0040440B" w:rsidRDefault="004C4AFD" w14:paraId="4DC149AF" w14:textId="019D5C2F">
      <w:r>
        <w:t>Ik informeer uw Kamer over de uitkomsten van deze herbezinning wanneer die gereedkomen</w:t>
      </w:r>
      <w:r w:rsidR="00E50BD3">
        <w:t>, naar verwachting in het eerste kwartaal van 2027</w:t>
      </w:r>
      <w:r>
        <w:t xml:space="preserve">. </w:t>
      </w:r>
    </w:p>
    <w:p w:rsidRPr="00914400" w:rsidR="00924C4B" w:rsidP="0040440B" w:rsidRDefault="00924C4B" w14:paraId="55C2CAC2" w14:textId="77777777"/>
    <w:p w:rsidRPr="009729B5" w:rsidR="00924C4B" w:rsidP="0040440B" w:rsidRDefault="002A17C9" w14:paraId="2CE9683E" w14:textId="2DA25C93">
      <w:pPr>
        <w:pStyle w:val="Lijstalinea"/>
        <w:numPr>
          <w:ilvl w:val="0"/>
          <w:numId w:val="9"/>
        </w:numPr>
        <w:rPr>
          <w:b/>
          <w:bCs/>
          <w:lang w:val="nl-BE"/>
        </w:rPr>
      </w:pPr>
      <w:r>
        <w:rPr>
          <w:b/>
          <w:bCs/>
          <w:lang w:val="nl-BE"/>
        </w:rPr>
        <w:t>Beleids</w:t>
      </w:r>
      <w:r w:rsidRPr="00914400" w:rsidR="00914400">
        <w:rPr>
          <w:b/>
          <w:bCs/>
          <w:lang w:val="nl-BE"/>
        </w:rPr>
        <w:t xml:space="preserve">reactie op het </w:t>
      </w:r>
      <w:r w:rsidR="00020E6B">
        <w:rPr>
          <w:b/>
          <w:bCs/>
          <w:lang w:val="nl-BE"/>
        </w:rPr>
        <w:t>D</w:t>
      </w:r>
      <w:r w:rsidRPr="00914400" w:rsidR="00914400">
        <w:rPr>
          <w:b/>
          <w:bCs/>
          <w:lang w:val="nl-BE"/>
        </w:rPr>
        <w:t xml:space="preserve">oelgroeponderzoek </w:t>
      </w:r>
      <w:r w:rsidR="00020E6B">
        <w:rPr>
          <w:b/>
          <w:bCs/>
          <w:lang w:val="nl-BE"/>
        </w:rPr>
        <w:t>J</w:t>
      </w:r>
      <w:r w:rsidRPr="00914400" w:rsidR="00914400">
        <w:rPr>
          <w:b/>
          <w:bCs/>
          <w:lang w:val="nl-BE"/>
        </w:rPr>
        <w:t xml:space="preserve">ustitiële </w:t>
      </w:r>
      <w:r w:rsidR="00020E6B">
        <w:rPr>
          <w:b/>
          <w:bCs/>
          <w:lang w:val="nl-BE"/>
        </w:rPr>
        <w:t>J</w:t>
      </w:r>
      <w:r w:rsidRPr="00914400" w:rsidR="00914400">
        <w:rPr>
          <w:b/>
          <w:bCs/>
          <w:lang w:val="nl-BE"/>
        </w:rPr>
        <w:t>eugdinrichtingen</w:t>
      </w:r>
    </w:p>
    <w:p w:rsidR="0073778D" w:rsidP="0040440B" w:rsidRDefault="00020E6B" w14:paraId="33F8CE15" w14:textId="1B7B2326">
      <w:r>
        <w:t>O</w:t>
      </w:r>
      <w:r w:rsidR="00914400">
        <w:t>p 25 maart</w:t>
      </w:r>
      <w:r>
        <w:t xml:space="preserve"> 2026</w:t>
      </w:r>
      <w:r w:rsidR="00914400">
        <w:t xml:space="preserve"> bood ik uw Kamer het </w:t>
      </w:r>
      <w:r w:rsidRPr="009C4FFD" w:rsidR="00914400">
        <w:t>onderzoeksrapport ‘Doelgroeponderzoek Justitiële Jeugdinrichtingen’ aan</w:t>
      </w:r>
      <w:r w:rsidR="00914400">
        <w:t>.</w:t>
      </w:r>
      <w:r w:rsidR="00914400">
        <w:rPr>
          <w:rStyle w:val="Voetnootmarkering"/>
        </w:rPr>
        <w:footnoteReference w:id="9"/>
      </w:r>
      <w:r w:rsidR="00914400">
        <w:t xml:space="preserve"> </w:t>
      </w:r>
      <w:r w:rsidRPr="00A5571B" w:rsidR="0073778D">
        <w:t xml:space="preserve">De </w:t>
      </w:r>
      <w:r w:rsidRPr="009C4FFD" w:rsidR="0073778D">
        <w:t xml:space="preserve">Academische Werkplaats Risicojeugd </w:t>
      </w:r>
      <w:r w:rsidRPr="00A5571B" w:rsidR="0073778D">
        <w:t>bracht</w:t>
      </w:r>
      <w:r w:rsidR="0073778D">
        <w:t xml:space="preserve">, in opdracht van het </w:t>
      </w:r>
      <w:r w:rsidRPr="009C4FFD" w:rsidR="0073778D">
        <w:t>Wetenschappelijk Onderzoek- en Datacentrum</w:t>
      </w:r>
      <w:r w:rsidR="00137E7D">
        <w:t xml:space="preserve"> (WODC)</w:t>
      </w:r>
      <w:r w:rsidR="0073778D">
        <w:t xml:space="preserve">, </w:t>
      </w:r>
      <w:r w:rsidRPr="00A5571B" w:rsidR="0073778D">
        <w:t>de kenmerken van de populatie jongeren in een JJI in kaart en onderzocht hoe zij kunnen worden gekarakteriseerd</w:t>
      </w:r>
      <w:r w:rsidR="0073778D">
        <w:t xml:space="preserve"> en</w:t>
      </w:r>
      <w:r w:rsidRPr="00A5571B" w:rsidR="0073778D">
        <w:t xml:space="preserve"> welke subgroepen binnen deze populatie kunnen worden onderscheiden</w:t>
      </w:r>
      <w:r w:rsidR="0073778D">
        <w:t xml:space="preserve">. Ook hebben zij in kaart gebracht hoe het (behandel)aanbod beter op deze jongeren kan worden afgestemd. </w:t>
      </w:r>
    </w:p>
    <w:p w:rsidR="00914400" w:rsidP="0040440B" w:rsidRDefault="0073778D" w14:paraId="640A148E" w14:textId="2335E270">
      <w:r>
        <w:t>In de aanbiedingsbrief</w:t>
      </w:r>
      <w:r w:rsidR="00914400">
        <w:t xml:space="preserve"> </w:t>
      </w:r>
      <w:r>
        <w:t>deed</w:t>
      </w:r>
      <w:r w:rsidR="00914400">
        <w:t xml:space="preserve"> ik </w:t>
      </w:r>
      <w:r>
        <w:t xml:space="preserve">uw Kamer </w:t>
      </w:r>
      <w:r w:rsidR="00914400">
        <w:t>de toezegging om in het voorjaar te reageren op dit onderzoek. Hierbij doe ik die toezegging gestand</w:t>
      </w:r>
      <w:r w:rsidR="001318A7">
        <w:t xml:space="preserve"> en kom ik ook tegemoet aan u</w:t>
      </w:r>
      <w:r w:rsidR="00224E0E">
        <w:t>w</w:t>
      </w:r>
      <w:r w:rsidR="001318A7">
        <w:t xml:space="preserve"> verzoek van 3 april 2026</w:t>
      </w:r>
      <w:r w:rsidR="001318A7">
        <w:rPr>
          <w:rStyle w:val="Voetnootmarkering"/>
        </w:rPr>
        <w:footnoteReference w:id="10"/>
      </w:r>
      <w:r w:rsidR="00914400">
        <w:t>. Allereerst zal ik de onderzoekbevindingen uiteenzetten</w:t>
      </w:r>
      <w:r w:rsidR="00020E6B">
        <w:t>,</w:t>
      </w:r>
      <w:r w:rsidR="00914400">
        <w:t xml:space="preserve"> waarna ik de aanbevelingen weergeef </w:t>
      </w:r>
      <w:r w:rsidR="004377DE">
        <w:t>en</w:t>
      </w:r>
      <w:r w:rsidR="00914400">
        <w:t xml:space="preserve"> voorzie van mijn reactie. </w:t>
      </w:r>
    </w:p>
    <w:p w:rsidR="00914400" w:rsidP="0040440B" w:rsidRDefault="00914400" w14:paraId="71C37263" w14:textId="77777777"/>
    <w:p w:rsidRPr="00F95FC7" w:rsidR="0073778D" w:rsidP="0040440B" w:rsidRDefault="0073778D" w14:paraId="2A1FC358" w14:textId="03351BB0">
      <w:pPr>
        <w:keepNext/>
        <w:rPr>
          <w:b/>
          <w:bCs/>
          <w:i/>
          <w:iCs/>
        </w:rPr>
      </w:pPr>
      <w:r w:rsidRPr="00F95FC7">
        <w:rPr>
          <w:b/>
          <w:bCs/>
          <w:i/>
          <w:iCs/>
        </w:rPr>
        <w:t>Onderzoeksbevindingen</w:t>
      </w:r>
    </w:p>
    <w:p w:rsidR="0073778D" w:rsidP="0040440B" w:rsidRDefault="0073778D" w14:paraId="7F185CB9" w14:textId="32E98F9C">
      <w:pPr>
        <w:keepNext/>
      </w:pPr>
      <w:r>
        <w:t>De onderzoekers concluderen dat d</w:t>
      </w:r>
      <w:r w:rsidRPr="0073778D">
        <w:t>e groep jongeren in de JJI divers is in leeftijd en ontwikkelingsfase, sociaal</w:t>
      </w:r>
      <w:r w:rsidR="00E21777">
        <w:t>-</w:t>
      </w:r>
      <w:r w:rsidRPr="0073778D">
        <w:t xml:space="preserve">demografische kenmerken, </w:t>
      </w:r>
      <w:proofErr w:type="spellStart"/>
      <w:r w:rsidRPr="0073778D">
        <w:t>delictkenmerken</w:t>
      </w:r>
      <w:proofErr w:type="spellEnd"/>
      <w:r w:rsidRPr="0073778D">
        <w:t xml:space="preserve">, psychische problematiek en verblijfsduur. Het aanbod in de </w:t>
      </w:r>
      <w:proofErr w:type="spellStart"/>
      <w:r w:rsidRPr="0073778D">
        <w:t>JJI’s</w:t>
      </w:r>
      <w:proofErr w:type="spellEnd"/>
      <w:r w:rsidRPr="0073778D">
        <w:t xml:space="preserve"> is ook divers en sluit aan bij veel van de kenmerken van de populatie. Tegelijkertijd is voor bepaalde groepen jongeren verbetering in het aanbod mogelijk</w:t>
      </w:r>
      <w:r w:rsidR="00F438FD">
        <w:t>. De onderzoekers benoem</w:t>
      </w:r>
      <w:r w:rsidR="00A544A1">
        <w:t>en</w:t>
      </w:r>
      <w:r w:rsidR="00F438FD">
        <w:t xml:space="preserve"> daarbij in het bijzonder</w:t>
      </w:r>
      <w:r w:rsidRPr="0073778D">
        <w:t xml:space="preserve"> jongeren met een licht verstandelijke beperking, jongeren met een verleden van vluchten en/of oorlog</w:t>
      </w:r>
      <w:r w:rsidR="00F57D9A">
        <w:t>,</w:t>
      </w:r>
      <w:r w:rsidRPr="0073778D">
        <w:t xml:space="preserve"> en jongvolwassenen. Het in theorie beschikbare behandelaanbod is niet in elke JJI (tijdig) beschikbaar als gevolg van wachtlijsten en een tekort aan behandelaren. Ook ontbreekt het veelal aan behandeling voor jongeren die kort </w:t>
      </w:r>
      <w:r w:rsidR="00A544A1">
        <w:t xml:space="preserve">in een JJI </w:t>
      </w:r>
      <w:r w:rsidRPr="0073778D">
        <w:t xml:space="preserve">verblijven. </w:t>
      </w:r>
      <w:r w:rsidR="004E4063">
        <w:t>P</w:t>
      </w:r>
      <w:r w:rsidRPr="0073778D">
        <w:t xml:space="preserve">rofessionals op de groepen </w:t>
      </w:r>
      <w:r w:rsidR="00F438FD">
        <w:t xml:space="preserve">in de </w:t>
      </w:r>
      <w:proofErr w:type="spellStart"/>
      <w:r w:rsidR="00F438FD">
        <w:t>JJI’s</w:t>
      </w:r>
      <w:proofErr w:type="spellEnd"/>
      <w:r w:rsidR="00F438FD">
        <w:t xml:space="preserve"> </w:t>
      </w:r>
      <w:r w:rsidR="004E4063">
        <w:t>missen</w:t>
      </w:r>
      <w:r w:rsidRPr="0073778D" w:rsidR="004E4063">
        <w:t xml:space="preserve"> </w:t>
      </w:r>
      <w:r w:rsidRPr="0073778D">
        <w:t>expertise om goed om te gaan met gedrag</w:t>
      </w:r>
      <w:r w:rsidR="00F438FD">
        <w:t xml:space="preserve"> </w:t>
      </w:r>
      <w:r w:rsidRPr="0073778D">
        <w:t>gerelateerd aan veelvoorkomende problematie</w:t>
      </w:r>
      <w:r w:rsidR="00A544A1">
        <w:t>k</w:t>
      </w:r>
      <w:r w:rsidR="004E4063">
        <w:t xml:space="preserve"> zoals middelengebruik en een lichtverstandelijke beperking</w:t>
      </w:r>
      <w:r w:rsidRPr="0073778D">
        <w:t xml:space="preserve">. </w:t>
      </w:r>
      <w:r w:rsidR="00F57D9A">
        <w:t>Tevens</w:t>
      </w:r>
      <w:r w:rsidRPr="0073778D">
        <w:t xml:space="preserve"> wordt het aantal plaatsen waar intensieve specialistische begeleiding kan worden geboden, het onderwijs en de mogelijkheden voor dagbesteding als te beperkt ervaren. </w:t>
      </w:r>
      <w:r w:rsidR="00F57D9A">
        <w:t>Verder</w:t>
      </w:r>
      <w:r w:rsidRPr="0073778D" w:rsidR="00A544A1">
        <w:t xml:space="preserve"> is behoefte aan meer plekken met lagere beveiligingsniveaus om jongeren beter voor te bereiden op hun terugkeer in de samenleving.</w:t>
      </w:r>
      <w:r w:rsidR="00A544A1">
        <w:t xml:space="preserve"> </w:t>
      </w:r>
      <w:r w:rsidRPr="0073778D">
        <w:t xml:space="preserve">Voor jongeren met zware forensische problematiek en jongeren met gecombineerde psychische en gedragsproblematiek die uitstromen </w:t>
      </w:r>
      <w:r w:rsidR="00F438FD">
        <w:t>uit een JJI</w:t>
      </w:r>
      <w:r w:rsidR="00F57D9A">
        <w:t>,</w:t>
      </w:r>
      <w:r w:rsidR="00F438FD">
        <w:t xml:space="preserve"> </w:t>
      </w:r>
      <w:r w:rsidRPr="0073778D">
        <w:t xml:space="preserve">wordt een gebrek aan passende vervolgplekken ervaren. </w:t>
      </w:r>
    </w:p>
    <w:p w:rsidR="009729B5" w:rsidP="0040440B" w:rsidRDefault="009729B5" w14:paraId="6DDD0052" w14:textId="1A9F2665"/>
    <w:p w:rsidRPr="00F95FC7" w:rsidR="009729B5" w:rsidP="0040440B" w:rsidRDefault="009729B5" w14:paraId="551F40FE" w14:textId="51504787">
      <w:pPr>
        <w:rPr>
          <w:b/>
          <w:bCs/>
          <w:i/>
          <w:iCs/>
        </w:rPr>
      </w:pPr>
      <w:r w:rsidRPr="00F95FC7">
        <w:rPr>
          <w:b/>
          <w:bCs/>
          <w:i/>
          <w:iCs/>
        </w:rPr>
        <w:t xml:space="preserve">Aanbevelingen </w:t>
      </w:r>
    </w:p>
    <w:p w:rsidR="0073778D" w:rsidP="0040440B" w:rsidRDefault="0073778D" w14:paraId="4B20A159" w14:textId="29CEEBF0">
      <w:r>
        <w:t>Op basis van deze bevindingen komen de onderzoekers tot de volgende aanbevelingen</w:t>
      </w:r>
    </w:p>
    <w:p w:rsidRPr="004E7809" w:rsidR="004E7809" w:rsidP="0040440B" w:rsidRDefault="0073778D" w14:paraId="4885B19A" w14:textId="46B07CEB">
      <w:pPr>
        <w:pStyle w:val="Lijstalinea"/>
        <w:numPr>
          <w:ilvl w:val="0"/>
          <w:numId w:val="10"/>
        </w:numPr>
        <w:ind w:left="426"/>
      </w:pPr>
      <w:r w:rsidRPr="004E7809">
        <w:t>Zoek voor de jongeren met het laagste risicoprofiel naar de best passende plek</w:t>
      </w:r>
      <w:r w:rsidR="00A544A1">
        <w:t>.</w:t>
      </w:r>
    </w:p>
    <w:p w:rsidRPr="004E7809" w:rsidR="004E7809" w:rsidP="0040440B" w:rsidRDefault="004E7809" w14:paraId="0304C06D" w14:textId="0C08BFBD">
      <w:pPr>
        <w:pStyle w:val="Lijstalinea"/>
        <w:numPr>
          <w:ilvl w:val="0"/>
          <w:numId w:val="10"/>
        </w:numPr>
        <w:ind w:left="426"/>
      </w:pPr>
      <w:r w:rsidRPr="004E7809">
        <w:t>Zorg voor voldoende passend aanbod voor jongeren met een intensieve zorgbehoefte</w:t>
      </w:r>
      <w:r w:rsidR="00A544A1">
        <w:t>.</w:t>
      </w:r>
    </w:p>
    <w:p w:rsidRPr="004E7809" w:rsidR="004E7809" w:rsidP="0040440B" w:rsidRDefault="004E7809" w14:paraId="6DFF7A36" w14:textId="4CBFD8F2">
      <w:pPr>
        <w:pStyle w:val="Lijstalinea"/>
        <w:numPr>
          <w:ilvl w:val="0"/>
          <w:numId w:val="10"/>
        </w:numPr>
        <w:ind w:left="426"/>
      </w:pPr>
      <w:r w:rsidRPr="004E7809">
        <w:t xml:space="preserve">Zorg dat de diversiteit van het huidige behandelaanbod binnen alle </w:t>
      </w:r>
      <w:proofErr w:type="spellStart"/>
      <w:r w:rsidRPr="004E7809">
        <w:t>JJI’s</w:t>
      </w:r>
      <w:proofErr w:type="spellEnd"/>
      <w:r w:rsidRPr="004E7809">
        <w:t xml:space="preserve"> in voldoende mate en tijdig inzetbaar is en breid het behandelaanbod voor specifieke doelgroepen uit.</w:t>
      </w:r>
    </w:p>
    <w:p w:rsidRPr="004E7809" w:rsidR="004E7809" w:rsidP="0040440B" w:rsidRDefault="004E7809" w14:paraId="1202012F" w14:textId="25359614">
      <w:pPr>
        <w:pStyle w:val="Lijstalinea"/>
        <w:numPr>
          <w:ilvl w:val="0"/>
          <w:numId w:val="10"/>
        </w:numPr>
        <w:ind w:left="426"/>
      </w:pPr>
      <w:r w:rsidRPr="004E7809">
        <w:t>Ondersteun medewerkers die dagelijks werken met de jongeren.</w:t>
      </w:r>
    </w:p>
    <w:p w:rsidRPr="004E7809" w:rsidR="004E7809" w:rsidP="0040440B" w:rsidRDefault="004E7809" w14:paraId="714CED9C" w14:textId="5FBEDCB0">
      <w:pPr>
        <w:pStyle w:val="Lijstalinea"/>
        <w:numPr>
          <w:ilvl w:val="0"/>
          <w:numId w:val="10"/>
        </w:numPr>
        <w:ind w:left="426"/>
      </w:pPr>
      <w:r w:rsidRPr="004E7809">
        <w:t>Verrijk het onderwijsaanbod en de mogelijkheden voor dagbesteding</w:t>
      </w:r>
      <w:r w:rsidR="00CE125A">
        <w:t>.</w:t>
      </w:r>
    </w:p>
    <w:p w:rsidR="004E7809" w:rsidP="0040440B" w:rsidRDefault="004E7809" w14:paraId="36487901" w14:textId="08CB8AA6">
      <w:pPr>
        <w:pStyle w:val="Lijstalinea"/>
        <w:numPr>
          <w:ilvl w:val="0"/>
          <w:numId w:val="10"/>
        </w:numPr>
        <w:ind w:left="426"/>
      </w:pPr>
      <w:r w:rsidRPr="004E7809">
        <w:t>Realiseer meer passende vervolgplekken voor jongeren met een hoge zorgbehoefte, waar ook voldoende forensische expertise aanwezig is.</w:t>
      </w:r>
    </w:p>
    <w:p w:rsidR="004E7809" w:rsidP="0040440B" w:rsidRDefault="004E7809" w14:paraId="3964D5DA" w14:textId="77777777">
      <w:pPr>
        <w:ind w:left="66"/>
      </w:pPr>
    </w:p>
    <w:p w:rsidRPr="00F95FC7" w:rsidR="004E7809" w:rsidP="0040440B" w:rsidRDefault="004E7809" w14:paraId="023E2DDC" w14:textId="7C5C6E8A">
      <w:pPr>
        <w:rPr>
          <w:b/>
          <w:bCs/>
          <w:i/>
          <w:iCs/>
        </w:rPr>
      </w:pPr>
      <w:r w:rsidRPr="00F95FC7">
        <w:rPr>
          <w:b/>
          <w:bCs/>
          <w:i/>
          <w:iCs/>
        </w:rPr>
        <w:t>Beleidsreactie</w:t>
      </w:r>
    </w:p>
    <w:p w:rsidR="0017115A" w:rsidP="0040440B" w:rsidRDefault="0017115A" w14:paraId="159141B0" w14:textId="1A8E8D67">
      <w:r>
        <w:t xml:space="preserve">Ik ben de onderzoekers zeer erkentelijk voor het inzicht dat zij hebben geboden in de kenmerken van de doelgroep in de </w:t>
      </w:r>
      <w:proofErr w:type="spellStart"/>
      <w:r>
        <w:t>JJI’s</w:t>
      </w:r>
      <w:proofErr w:type="spellEnd"/>
      <w:r>
        <w:t xml:space="preserve">, het aanbod en de verbetermogelijkheden. Ook ik onderschrijf het belang van een passend aanbod, zowel in behandeling, onderwijs en dagbesteding als in beveiligingsniveau. </w:t>
      </w:r>
    </w:p>
    <w:p w:rsidR="00F57D9A" w:rsidP="0040440B" w:rsidRDefault="0017115A" w14:paraId="7AF0A980" w14:textId="77777777">
      <w:r>
        <w:t xml:space="preserve">Tegelijkertijd is iedere differentiatie in aanbod onlosmakelijk verbonden met de inzet van personeel. Als gevolg van het personeelstekort moeten scherpe keuzes worden gemaakt over de plekken waar en de wijze waarop het personeel het beste kan worden ingezet om de grootst mogelijk impact te maken op het </w:t>
      </w:r>
      <w:r w:rsidRPr="00B86C59">
        <w:t>verminderen van recidive en het vergroten van de kans op succesvolle terugkeer</w:t>
      </w:r>
      <w:r>
        <w:t xml:space="preserve"> van jongeren</w:t>
      </w:r>
      <w:r w:rsidRPr="00B86C59">
        <w:t xml:space="preserve"> in de samenlevin</w:t>
      </w:r>
      <w:r>
        <w:t>g. Om die keuzes te kunnen maken werkt mijn ministerie, samen met onder</w:t>
      </w:r>
      <w:r w:rsidR="00F27EA1">
        <w:t xml:space="preserve"> </w:t>
      </w:r>
      <w:r>
        <w:t>meer de DJI en het ministerie van O</w:t>
      </w:r>
      <w:r w:rsidR="00F57D9A">
        <w:t>CW</w:t>
      </w:r>
      <w:r>
        <w:t xml:space="preserve"> aan </w:t>
      </w:r>
      <w:r w:rsidR="00AC6A9D">
        <w:t>de eerder, in paragraaf 2, genoemde</w:t>
      </w:r>
      <w:r>
        <w:t xml:space="preserve"> herbezinning op de opgave van de </w:t>
      </w:r>
      <w:proofErr w:type="spellStart"/>
      <w:r>
        <w:t>JJI’s</w:t>
      </w:r>
      <w:proofErr w:type="spellEnd"/>
      <w:r>
        <w:t>.</w:t>
      </w:r>
      <w:r>
        <w:rPr>
          <w:rStyle w:val="Voetnootmarkering"/>
        </w:rPr>
        <w:footnoteReference w:id="11"/>
      </w:r>
      <w:r>
        <w:t xml:space="preserve"> </w:t>
      </w:r>
    </w:p>
    <w:p w:rsidR="00F57D9A" w:rsidP="0040440B" w:rsidRDefault="00F57D9A" w14:paraId="053B6B2D" w14:textId="77777777"/>
    <w:p w:rsidRPr="00F57D9A" w:rsidR="00F57D9A" w:rsidP="0040440B" w:rsidRDefault="00F57D9A" w14:paraId="2969FCBC" w14:textId="55BA7F4D">
      <w:pPr>
        <w:keepNext/>
        <w:rPr>
          <w:i/>
          <w:iCs/>
        </w:rPr>
      </w:pPr>
      <w:r w:rsidRPr="00F57D9A">
        <w:rPr>
          <w:i/>
          <w:iCs/>
        </w:rPr>
        <w:t>Aanbevelingen 1, 2, 3 en 5</w:t>
      </w:r>
    </w:p>
    <w:p w:rsidR="0017115A" w:rsidP="0040440B" w:rsidRDefault="0017115A" w14:paraId="767A9FEF" w14:textId="2F90138D">
      <w:pPr>
        <w:keepNext/>
      </w:pPr>
      <w:r>
        <w:t>Ik neem de inzichten en aanbeveling</w:t>
      </w:r>
      <w:r w:rsidR="00E21777">
        <w:t>en</w:t>
      </w:r>
      <w:r>
        <w:t xml:space="preserve"> uit het onderzoek die betrekking hebben op het aanbod binnen de </w:t>
      </w:r>
      <w:proofErr w:type="spellStart"/>
      <w:r>
        <w:t>JJI’s</w:t>
      </w:r>
      <w:proofErr w:type="spellEnd"/>
      <w:r>
        <w:t xml:space="preserve"> en de JJI-scholen (aanbevelingen 1, 2</w:t>
      </w:r>
      <w:r w:rsidR="00F57D9A">
        <w:t>,</w:t>
      </w:r>
      <w:r>
        <w:t xml:space="preserve"> 3 en 5) in </w:t>
      </w:r>
      <w:r w:rsidR="00E37D50">
        <w:t xml:space="preserve">de herbezinning </w:t>
      </w:r>
      <w:r>
        <w:t>mee.</w:t>
      </w:r>
    </w:p>
    <w:p w:rsidR="00E37D50" w:rsidP="0040440B" w:rsidRDefault="00E37D50" w14:paraId="592909D0" w14:textId="77777777">
      <w:pPr>
        <w:keepNext/>
      </w:pPr>
    </w:p>
    <w:p w:rsidRPr="00E37D50" w:rsidR="00E37D50" w:rsidP="0040440B" w:rsidRDefault="00C21351" w14:paraId="4465A498" w14:textId="715F7C8E">
      <w:pPr>
        <w:keepNext/>
        <w:rPr>
          <w:i/>
          <w:iCs/>
        </w:rPr>
      </w:pPr>
      <w:r>
        <w:rPr>
          <w:i/>
          <w:iCs/>
        </w:rPr>
        <w:t>Toelichting bij a</w:t>
      </w:r>
      <w:r w:rsidRPr="00F57D9A" w:rsidR="00E37D50">
        <w:rPr>
          <w:i/>
          <w:iCs/>
        </w:rPr>
        <w:t>anbeveling 3</w:t>
      </w:r>
      <w:r w:rsidR="00E21777">
        <w:rPr>
          <w:i/>
          <w:iCs/>
        </w:rPr>
        <w:t xml:space="preserve">: </w:t>
      </w:r>
      <w:r>
        <w:rPr>
          <w:i/>
          <w:iCs/>
        </w:rPr>
        <w:t>E</w:t>
      </w:r>
      <w:r w:rsidR="00E37D50">
        <w:rPr>
          <w:i/>
          <w:iCs/>
        </w:rPr>
        <w:t>ffectiviteit van behandelingen</w:t>
      </w:r>
    </w:p>
    <w:p w:rsidRPr="009C6158" w:rsidR="009C6158" w:rsidP="0040440B" w:rsidRDefault="00AC6A9D" w14:paraId="24DEF228" w14:textId="14D3860B">
      <w:r>
        <w:t>In de toelichting bij aanbeveling 3 geven de onderzoekers aan dat het v</w:t>
      </w:r>
      <w:r w:rsidRPr="00AC6A9D">
        <w:t xml:space="preserve">oor de behandelingen </w:t>
      </w:r>
      <w:r w:rsidR="007971E0">
        <w:t xml:space="preserve">in de JJI </w:t>
      </w:r>
      <w:r w:rsidRPr="00AC6A9D">
        <w:t>die niet erkend zijn</w:t>
      </w:r>
      <w:r w:rsidR="00F57D9A">
        <w:t>,</w:t>
      </w:r>
      <w:r w:rsidRPr="00AC6A9D">
        <w:t xml:space="preserve"> </w:t>
      </w:r>
      <w:r>
        <w:t>van belang is te</w:t>
      </w:r>
      <w:r w:rsidRPr="00AC6A9D">
        <w:t xml:space="preserve"> werken aan een gedegen theoretische onderbouwing en verdere ontwikkeling door middel van onderzoek naar de effectiviteit.</w:t>
      </w:r>
      <w:r>
        <w:t xml:space="preserve"> </w:t>
      </w:r>
      <w:r w:rsidR="007971E0">
        <w:t xml:space="preserve">In het jeugdstrafrecht dient de </w:t>
      </w:r>
      <w:r w:rsidR="00C21351">
        <w:t xml:space="preserve">interventie </w:t>
      </w:r>
      <w:r w:rsidRPr="007971E0" w:rsidR="007971E0">
        <w:t xml:space="preserve">altijd gericht </w:t>
      </w:r>
      <w:r w:rsidR="007971E0">
        <w:t xml:space="preserve">te zijn </w:t>
      </w:r>
      <w:r w:rsidRPr="007971E0" w:rsidR="007971E0">
        <w:t xml:space="preserve">op gedragsverandering om recidive te voorkomen. Daarom </w:t>
      </w:r>
      <w:r w:rsidR="007971E0">
        <w:t>stimuleer</w:t>
      </w:r>
      <w:r w:rsidRPr="007971E0" w:rsidR="007971E0">
        <w:t xml:space="preserve"> en </w:t>
      </w:r>
      <w:r w:rsidR="007971E0">
        <w:t>faciliteer</w:t>
      </w:r>
      <w:r w:rsidRPr="007971E0" w:rsidR="007971E0">
        <w:t xml:space="preserve"> </w:t>
      </w:r>
      <w:r w:rsidR="007971E0">
        <w:t>ik het</w:t>
      </w:r>
      <w:r w:rsidRPr="007971E0" w:rsidR="007971E0">
        <w:t xml:space="preserve"> werken vanuit het Risk–</w:t>
      </w:r>
      <w:proofErr w:type="spellStart"/>
      <w:r w:rsidRPr="007971E0" w:rsidR="007971E0">
        <w:t>Need</w:t>
      </w:r>
      <w:proofErr w:type="spellEnd"/>
      <w:r w:rsidRPr="007971E0" w:rsidR="007971E0">
        <w:t>–</w:t>
      </w:r>
      <w:proofErr w:type="spellStart"/>
      <w:r w:rsidRPr="007971E0" w:rsidR="007971E0">
        <w:t>Responsivity</w:t>
      </w:r>
      <w:proofErr w:type="spellEnd"/>
      <w:r w:rsidR="00472419">
        <w:t>-model</w:t>
      </w:r>
      <w:r w:rsidRPr="007971E0" w:rsidR="007971E0">
        <w:t xml:space="preserve">: de reactie </w:t>
      </w:r>
      <w:r w:rsidR="007971E0">
        <w:t xml:space="preserve">op het delict </w:t>
      </w:r>
      <w:r w:rsidRPr="007971E0" w:rsidR="007971E0">
        <w:t>sluit aan op het risico op herhaling, op de factoren die gedrag in stand houden, én op wat bij de jongere past om echt te kunnen veranderen.</w:t>
      </w:r>
      <w:r w:rsidR="007971E0">
        <w:t xml:space="preserve"> </w:t>
      </w:r>
      <w:r w:rsidR="00472419">
        <w:t xml:space="preserve">Inzicht in de effectiviteit van behandelingen is daarvoor essentieel. </w:t>
      </w:r>
      <w:r w:rsidR="00C064F6">
        <w:t xml:space="preserve">Een klein deel van de interventies </w:t>
      </w:r>
      <w:r w:rsidR="0006237B">
        <w:t>d</w:t>
      </w:r>
      <w:r w:rsidR="00C064F6">
        <w:t xml:space="preserve">ie worden benut in de </w:t>
      </w:r>
      <w:proofErr w:type="spellStart"/>
      <w:r w:rsidR="00C064F6">
        <w:t>JJI’s</w:t>
      </w:r>
      <w:proofErr w:type="spellEnd"/>
      <w:r w:rsidR="00C064F6">
        <w:t xml:space="preserve"> zijn effectief volgens eerst of goede aanwijzingen, een deel is goed of voldoende onderbouwd en er lopen effectonderzoeken. Voor de overige interventies</w:t>
      </w:r>
      <w:r w:rsidR="007971E0">
        <w:t xml:space="preserve"> ga ik in gesprek met de DJI, de ontwikkelaars van behandelingen en de </w:t>
      </w:r>
      <w:r w:rsidRPr="007971E0" w:rsidR="007971E0">
        <w:t>Erkenningscommissie Interventies</w:t>
      </w:r>
      <w:r w:rsidR="007971E0">
        <w:t xml:space="preserve"> van het Nederlands jeugdinstituut om te bezien op welke manier </w:t>
      </w:r>
      <w:r w:rsidRPr="009C6158" w:rsidR="009C6158">
        <w:t>uitvoering kan worden gegeven aan de aanbeveling om voor de niet erkende interventies te werken aan een gedegen theoretische onderbouwing</w:t>
      </w:r>
      <w:r w:rsidR="00F57D9A">
        <w:t xml:space="preserve">, om </w:t>
      </w:r>
      <w:r w:rsidRPr="009C6158" w:rsidR="009C6158">
        <w:t>deze</w:t>
      </w:r>
      <w:r w:rsidR="00F57D9A">
        <w:t>,</w:t>
      </w:r>
      <w:r w:rsidRPr="009C6158" w:rsidR="009C6158">
        <w:t xml:space="preserve"> indien nodig</w:t>
      </w:r>
      <w:r w:rsidR="00F57D9A">
        <w:t>,</w:t>
      </w:r>
      <w:r w:rsidRPr="009C6158" w:rsidR="009C6158">
        <w:t xml:space="preserve"> door te ontwikkelen.</w:t>
      </w:r>
    </w:p>
    <w:p w:rsidRPr="00AC6A9D" w:rsidR="00AC6A9D" w:rsidP="0040440B" w:rsidRDefault="00AC6A9D" w14:paraId="39CC5D5E" w14:textId="77777777"/>
    <w:p w:rsidRPr="00AC6A9D" w:rsidR="00AC6A9D" w:rsidP="0040440B" w:rsidRDefault="004377DE" w14:paraId="55A90AEE" w14:textId="598C7164">
      <w:pPr>
        <w:rPr>
          <w:i/>
          <w:iCs/>
        </w:rPr>
      </w:pPr>
      <w:r w:rsidRPr="00AC6A9D">
        <w:rPr>
          <w:i/>
          <w:iCs/>
        </w:rPr>
        <w:t xml:space="preserve">Aanbeveling 4: </w:t>
      </w:r>
      <w:r w:rsidRPr="00AC6A9D" w:rsidR="00AC6A9D">
        <w:rPr>
          <w:i/>
          <w:iCs/>
        </w:rPr>
        <w:t>Ondersteun medewerkers die dagelijks werken met de jongeren.</w:t>
      </w:r>
    </w:p>
    <w:p w:rsidR="004377DE" w:rsidP="0040440B" w:rsidRDefault="00AC6A9D" w14:paraId="66688886" w14:textId="5EBBDBEC">
      <w:r>
        <w:t>D</w:t>
      </w:r>
      <w:r w:rsidR="004377DE">
        <w:t xml:space="preserve">e DJI doet alles wat binnen </w:t>
      </w:r>
      <w:r w:rsidR="00F57D9A">
        <w:t>haar</w:t>
      </w:r>
      <w:r w:rsidR="004377DE">
        <w:t xml:space="preserve"> mogelijkheden ligt om personeel te </w:t>
      </w:r>
      <w:r w:rsidRPr="0022097F" w:rsidR="004377DE">
        <w:t>werven, behouden, ondersteunen en faciliteren</w:t>
      </w:r>
      <w:r w:rsidR="004377DE">
        <w:t xml:space="preserve">. De onderzoekers dragen de suggestie aan om de groepsgrootte te verkleinen van 8 tot 10 jongeren </w:t>
      </w:r>
      <w:r w:rsidR="00F57D9A">
        <w:t>naar</w:t>
      </w:r>
      <w:r w:rsidR="004377DE">
        <w:t xml:space="preserve"> 4 tot 6 jongeren en spreken hierbij de verwachting uit dat </w:t>
      </w:r>
      <w:r w:rsidRPr="00ED1682" w:rsidR="004377DE">
        <w:t xml:space="preserve">hiermee personeelsverloop tegengegaan kan worden. </w:t>
      </w:r>
      <w:r w:rsidR="00147BF4">
        <w:t xml:space="preserve">Binnen de </w:t>
      </w:r>
      <w:proofErr w:type="spellStart"/>
      <w:r w:rsidR="00147BF4">
        <w:t>JJI’s</w:t>
      </w:r>
      <w:proofErr w:type="spellEnd"/>
      <w:r w:rsidR="00147BF4">
        <w:t xml:space="preserve"> bestaat </w:t>
      </w:r>
      <w:r w:rsidR="004377DE">
        <w:t>al differentiatie in groepsgrootte. Op landelijke bestemmingen, waar jongeren met een bijzondere zorgbehoefte worden geplaatst, zijn er groepen van 5 of 6 jongeren. De personele bezetting is zodoende al afgestemd op de zorgbehoefte van de jongeren die daar geplaatst worden. Het verder verkleinen van de groepsgrootte zou het capaciteits- en personeelstekort nog verder opdrijven</w:t>
      </w:r>
      <w:r w:rsidR="00F57D9A">
        <w:t>,</w:t>
      </w:r>
      <w:r w:rsidRPr="009C6158" w:rsidR="009C6158">
        <w:t xml:space="preserve"> omdat dit meer personele inzet zou vergen</w:t>
      </w:r>
      <w:r w:rsidR="004377DE">
        <w:t xml:space="preserve">. Dit onderdeel van deze aanbeveling is in de huidige situatie daarom niet op te volgen. </w:t>
      </w:r>
    </w:p>
    <w:p w:rsidR="0017115A" w:rsidP="0040440B" w:rsidRDefault="0017115A" w14:paraId="77B6902A" w14:textId="77777777"/>
    <w:p w:rsidRPr="00AC6A9D" w:rsidR="003C15A9" w:rsidP="003C15A9" w:rsidRDefault="003C15A9" w14:paraId="33B22D61" w14:textId="77777777">
      <w:pPr>
        <w:rPr>
          <w:i/>
          <w:iCs/>
        </w:rPr>
      </w:pPr>
      <w:r w:rsidRPr="00AC6A9D">
        <w:rPr>
          <w:i/>
          <w:iCs/>
        </w:rPr>
        <w:t>Aanbeveling 6: Realiseer meer passende vervolgplekken voor jongeren met een hoge zorgbehoefte, waar ook voldoende forensische expertise aanwezig is.</w:t>
      </w:r>
    </w:p>
    <w:p w:rsidR="003C15A9" w:rsidP="003C15A9" w:rsidRDefault="003C15A9" w14:paraId="5583A958" w14:textId="77777777">
      <w:r>
        <w:t xml:space="preserve">Deze aanbeveling is tweeledig. De onderzoekers vragen aandacht voor zowel (1) de interne doorstroom uit landelijk specialistische voorzieningen naar reguliere groepen als (2) de uitstroom uit de JJI naar een passende vervolgplek. Ik deel de zorgen van de onderzoekers, in het bijzonder omdat de </w:t>
      </w:r>
      <w:proofErr w:type="spellStart"/>
      <w:r>
        <w:t>JJI’s</w:t>
      </w:r>
      <w:proofErr w:type="spellEnd"/>
      <w:r>
        <w:t xml:space="preserve"> de laatste jaren e</w:t>
      </w:r>
      <w:r w:rsidRPr="003F207C">
        <w:t xml:space="preserve">en toename </w:t>
      </w:r>
      <w:r>
        <w:t xml:space="preserve">ervaren </w:t>
      </w:r>
      <w:r w:rsidRPr="003F207C">
        <w:t xml:space="preserve">van </w:t>
      </w:r>
      <w:r>
        <w:t xml:space="preserve">jongeren met </w:t>
      </w:r>
      <w:r w:rsidRPr="003F207C">
        <w:t>zeer moeilijk te stabiliseren problematiek.</w:t>
      </w:r>
      <w:r>
        <w:t xml:space="preserve"> Dit bemoeilijkt de doorstroom binnen de </w:t>
      </w:r>
      <w:proofErr w:type="spellStart"/>
      <w:r>
        <w:t>JJI’s</w:t>
      </w:r>
      <w:proofErr w:type="spellEnd"/>
      <w:r>
        <w:t xml:space="preserve"> en maakt het vinden van passende vervolgplekken eveneens een complexe opgave. </w:t>
      </w:r>
    </w:p>
    <w:p w:rsidR="003C15A9" w:rsidP="003C15A9" w:rsidRDefault="003C15A9" w14:paraId="37047D45" w14:textId="10ADB648">
      <w:r>
        <w:t xml:space="preserve">Ik neem de inzichten uit dit onderzoek ten aanzien van de </w:t>
      </w:r>
      <w:r w:rsidRPr="00F57D9A">
        <w:t>interne doorstoom</w:t>
      </w:r>
      <w:r>
        <w:t xml:space="preserve"> mee in de herbezinning op de opgave van de </w:t>
      </w:r>
      <w:proofErr w:type="spellStart"/>
      <w:r>
        <w:t>JJI’s</w:t>
      </w:r>
      <w:proofErr w:type="spellEnd"/>
      <w:r>
        <w:t xml:space="preserve">. Ten aanzien van de </w:t>
      </w:r>
      <w:r w:rsidRPr="00F57D9A">
        <w:t xml:space="preserve">uitstroom uit de </w:t>
      </w:r>
      <w:proofErr w:type="spellStart"/>
      <w:r w:rsidRPr="00F57D9A">
        <w:t>JJI’s</w:t>
      </w:r>
      <w:proofErr w:type="spellEnd"/>
      <w:r w:rsidRPr="00F57D9A">
        <w:t xml:space="preserve"> naar een passende vervolgplek neem ik de inzichten uit dit on</w:t>
      </w:r>
      <w:r>
        <w:t xml:space="preserve">derzoek mee in </w:t>
      </w:r>
      <w:r w:rsidRPr="003F78B5">
        <w:t xml:space="preserve">de Werkagenda </w:t>
      </w:r>
      <w:r>
        <w:t>Aansluiting</w:t>
      </w:r>
      <w:r w:rsidRPr="003F78B5">
        <w:t xml:space="preserve"> forensische zorg en reguliere zorg</w:t>
      </w:r>
      <w:r>
        <w:t>. In deze Werkagenda</w:t>
      </w:r>
      <w:r w:rsidRPr="003F78B5">
        <w:t xml:space="preserve"> wordt gewerkt aan het verbeteren </w:t>
      </w:r>
      <w:r>
        <w:t xml:space="preserve">van de </w:t>
      </w:r>
      <w:r w:rsidRPr="003F78B5">
        <w:t xml:space="preserve">doorstroommogelijkheden na </w:t>
      </w:r>
      <w:r w:rsidRPr="00155517">
        <w:t xml:space="preserve">een </w:t>
      </w:r>
      <w:r w:rsidRPr="00DA0E48">
        <w:t>maatregel-Plaatsing in een Inrichting voor Jeugdigen</w:t>
      </w:r>
      <w:r w:rsidRPr="00155517">
        <w:t xml:space="preserve"> (PIJ-maatregel).</w:t>
      </w:r>
      <w:r w:rsidRPr="00155517">
        <w:rPr>
          <w:rStyle w:val="Voetnootmarkering"/>
        </w:rPr>
        <w:footnoteReference w:id="12"/>
      </w:r>
      <w:r w:rsidRPr="00155517">
        <w:t xml:space="preserve"> Recent heeft ook de Raad voor Strafrechtstoepassing en Jeugdbescherming</w:t>
      </w:r>
      <w:r>
        <w:t xml:space="preserve"> (RSJ) aandacht gevraagd voor het realiseren van voldoende passend hulpaanbod na uitstroom uit de JJI.</w:t>
      </w:r>
      <w:r>
        <w:rPr>
          <w:rStyle w:val="Voetnootmarkering"/>
        </w:rPr>
        <w:footnoteReference w:id="13"/>
      </w:r>
      <w:r>
        <w:t xml:space="preserve"> In de volgende paragraaf ga ik hier nader op in. </w:t>
      </w:r>
    </w:p>
    <w:p w:rsidR="0017115A" w:rsidP="0040440B" w:rsidRDefault="0017115A" w14:paraId="033AF660" w14:textId="77777777">
      <w:pPr>
        <w:rPr>
          <w:color w:val="000000" w:themeColor="text1"/>
        </w:rPr>
      </w:pPr>
    </w:p>
    <w:p w:rsidRPr="00F57D9A" w:rsidR="00F95FC7" w:rsidP="0040440B" w:rsidRDefault="00F95FC7" w14:paraId="33FEF650" w14:textId="7214DA98">
      <w:pPr>
        <w:rPr>
          <w:i/>
          <w:iCs/>
        </w:rPr>
      </w:pPr>
      <w:r w:rsidRPr="00F57D9A">
        <w:rPr>
          <w:i/>
          <w:iCs/>
        </w:rPr>
        <w:t>Onderzoek naar de populatie</w:t>
      </w:r>
      <w:r w:rsidR="003C15A9">
        <w:rPr>
          <w:i/>
          <w:iCs/>
        </w:rPr>
        <w:t xml:space="preserve"> in de PIJ-maatregel</w:t>
      </w:r>
    </w:p>
    <w:p w:rsidRPr="0017115A" w:rsidR="004377DE" w:rsidP="0040440B" w:rsidRDefault="004377DE" w14:paraId="0665EF2A" w14:textId="1C94C388">
      <w:pPr>
        <w:rPr>
          <w:rFonts w:cstheme="minorBidi"/>
          <w:color w:val="000000" w:themeColor="text1"/>
        </w:rPr>
      </w:pPr>
      <w:r w:rsidRPr="0017115A">
        <w:rPr>
          <w:color w:val="000000" w:themeColor="text1"/>
        </w:rPr>
        <w:t xml:space="preserve">Een beperking van het doelgroeponderzoek is de relatief kleine groep jongeren met een PIJ-maatregel die in het onderzoek is meegenomen (10,2%). </w:t>
      </w:r>
      <w:r w:rsidR="009C6158">
        <w:rPr>
          <w:color w:val="000000" w:themeColor="text1"/>
        </w:rPr>
        <w:t>Deze jeugdigen vormen</w:t>
      </w:r>
      <w:r w:rsidRPr="0017115A">
        <w:rPr>
          <w:color w:val="000000" w:themeColor="text1"/>
        </w:rPr>
        <w:t xml:space="preserve"> een groot deel (circa 50%) van de populatie in de </w:t>
      </w:r>
      <w:proofErr w:type="spellStart"/>
      <w:r w:rsidRPr="0017115A">
        <w:rPr>
          <w:color w:val="000000" w:themeColor="text1"/>
        </w:rPr>
        <w:t>JJI’s</w:t>
      </w:r>
      <w:proofErr w:type="spellEnd"/>
      <w:r w:rsidRPr="0017115A">
        <w:rPr>
          <w:color w:val="000000" w:themeColor="text1"/>
        </w:rPr>
        <w:t xml:space="preserve"> en </w:t>
      </w:r>
      <w:r w:rsidR="009C6158">
        <w:rPr>
          <w:color w:val="000000" w:themeColor="text1"/>
        </w:rPr>
        <w:t xml:space="preserve">hebben, </w:t>
      </w:r>
      <w:r w:rsidRPr="0017115A">
        <w:rPr>
          <w:color w:val="000000" w:themeColor="text1"/>
        </w:rPr>
        <w:t xml:space="preserve">door </w:t>
      </w:r>
      <w:r w:rsidR="00CA6BE7">
        <w:rPr>
          <w:color w:val="000000" w:themeColor="text1"/>
        </w:rPr>
        <w:t>het karakter van de PIJ-maatregel</w:t>
      </w:r>
      <w:r w:rsidR="009C6158">
        <w:rPr>
          <w:color w:val="000000" w:themeColor="text1"/>
        </w:rPr>
        <w:t>,</w:t>
      </w:r>
      <w:r w:rsidR="00CA6BE7">
        <w:rPr>
          <w:color w:val="000000" w:themeColor="text1"/>
        </w:rPr>
        <w:t xml:space="preserve"> in het bijzonder behandeling nodig. Bovendien verblijft deze doelgroep lang in een JJI </w:t>
      </w:r>
      <w:r w:rsidRPr="0017115A">
        <w:rPr>
          <w:color w:val="000000" w:themeColor="text1"/>
        </w:rPr>
        <w:t>(</w:t>
      </w:r>
      <w:r w:rsidR="00CA6BE7">
        <w:rPr>
          <w:color w:val="000000" w:themeColor="text1"/>
        </w:rPr>
        <w:t xml:space="preserve">gemiddeld </w:t>
      </w:r>
      <w:r w:rsidRPr="0017115A">
        <w:rPr>
          <w:color w:val="000000" w:themeColor="text1"/>
        </w:rPr>
        <w:t>ruim 4 jaar)</w:t>
      </w:r>
      <w:r w:rsidR="00CA6BE7">
        <w:rPr>
          <w:color w:val="000000" w:themeColor="text1"/>
        </w:rPr>
        <w:t xml:space="preserve"> waardoor ook veel mogelijkhed</w:t>
      </w:r>
      <w:r w:rsidR="00F57D9A">
        <w:rPr>
          <w:color w:val="000000" w:themeColor="text1"/>
        </w:rPr>
        <w:t>en</w:t>
      </w:r>
      <w:r w:rsidR="00CA6BE7">
        <w:rPr>
          <w:color w:val="000000" w:themeColor="text1"/>
        </w:rPr>
        <w:t xml:space="preserve"> bestaa</w:t>
      </w:r>
      <w:r w:rsidR="00F57D9A">
        <w:rPr>
          <w:color w:val="000000" w:themeColor="text1"/>
        </w:rPr>
        <w:t>n</w:t>
      </w:r>
      <w:r w:rsidR="00CA6BE7">
        <w:rPr>
          <w:color w:val="000000" w:themeColor="text1"/>
        </w:rPr>
        <w:t xml:space="preserve"> om te werken aan een succesvolle terugkeer in de maatschappij</w:t>
      </w:r>
      <w:r w:rsidRPr="0017115A">
        <w:rPr>
          <w:color w:val="000000" w:themeColor="text1"/>
        </w:rPr>
        <w:t>. Op dit moment voert</w:t>
      </w:r>
      <w:r w:rsidR="00F57D9A">
        <w:rPr>
          <w:color w:val="000000" w:themeColor="text1"/>
        </w:rPr>
        <w:t xml:space="preserve"> de</w:t>
      </w:r>
      <w:r w:rsidRPr="0017115A">
        <w:rPr>
          <w:color w:val="000000" w:themeColor="text1"/>
        </w:rPr>
        <w:t xml:space="preserve"> DJI een periodiek onderzoek uit naar de ontwikkeling van de kenmerken en achtergronden van de populatie jongeren met een PIJ-maatregel </w:t>
      </w:r>
      <w:r w:rsidR="00B93D67">
        <w:rPr>
          <w:color w:val="000000" w:themeColor="text1"/>
        </w:rPr>
        <w:t xml:space="preserve">in de </w:t>
      </w:r>
      <w:proofErr w:type="spellStart"/>
      <w:r w:rsidR="00B93D67">
        <w:rPr>
          <w:color w:val="000000" w:themeColor="text1"/>
        </w:rPr>
        <w:t>JJI’s</w:t>
      </w:r>
      <w:proofErr w:type="spellEnd"/>
      <w:r w:rsidR="00B93D67">
        <w:rPr>
          <w:color w:val="000000" w:themeColor="text1"/>
        </w:rPr>
        <w:t xml:space="preserve"> </w:t>
      </w:r>
      <w:r w:rsidRPr="0017115A">
        <w:rPr>
          <w:color w:val="000000" w:themeColor="text1"/>
        </w:rPr>
        <w:t xml:space="preserve">in de afgelopen 25 jaar. </w:t>
      </w:r>
      <w:r w:rsidR="00CA6BE7">
        <w:rPr>
          <w:color w:val="000000" w:themeColor="text1"/>
        </w:rPr>
        <w:t xml:space="preserve">Dit geeft aanvullend inzicht in deze doelgroep. </w:t>
      </w:r>
      <w:r w:rsidRPr="0017115A">
        <w:rPr>
          <w:color w:val="000000" w:themeColor="text1"/>
        </w:rPr>
        <w:t xml:space="preserve">Indien de resultaten </w:t>
      </w:r>
      <w:r w:rsidR="00CA6BE7">
        <w:rPr>
          <w:color w:val="000000" w:themeColor="text1"/>
        </w:rPr>
        <w:t>van dit onderzoek</w:t>
      </w:r>
      <w:r w:rsidRPr="0017115A">
        <w:rPr>
          <w:color w:val="000000" w:themeColor="text1"/>
        </w:rPr>
        <w:t xml:space="preserve"> tijdig beschikbaar komen</w:t>
      </w:r>
      <w:r w:rsidR="00CE125A">
        <w:rPr>
          <w:color w:val="000000" w:themeColor="text1"/>
        </w:rPr>
        <w:t>,</w:t>
      </w:r>
      <w:r w:rsidRPr="0017115A">
        <w:rPr>
          <w:color w:val="000000" w:themeColor="text1"/>
        </w:rPr>
        <w:t xml:space="preserve"> worden ook die betrokken </w:t>
      </w:r>
      <w:r w:rsidR="00F57D9A">
        <w:rPr>
          <w:color w:val="000000" w:themeColor="text1"/>
        </w:rPr>
        <w:t>bij</w:t>
      </w:r>
      <w:r w:rsidRPr="0017115A">
        <w:rPr>
          <w:color w:val="000000" w:themeColor="text1"/>
        </w:rPr>
        <w:t xml:space="preserve"> de herbezinning op de opgave van de </w:t>
      </w:r>
      <w:proofErr w:type="spellStart"/>
      <w:r w:rsidRPr="0017115A">
        <w:rPr>
          <w:color w:val="000000" w:themeColor="text1"/>
        </w:rPr>
        <w:t>JJI’s</w:t>
      </w:r>
      <w:proofErr w:type="spellEnd"/>
      <w:r w:rsidRPr="0017115A">
        <w:rPr>
          <w:color w:val="000000" w:themeColor="text1"/>
        </w:rPr>
        <w:t xml:space="preserve">. </w:t>
      </w:r>
    </w:p>
    <w:p w:rsidR="002B6707" w:rsidP="0040440B" w:rsidRDefault="002B6707" w14:paraId="3783374B" w14:textId="72959733"/>
    <w:p w:rsidR="00F95FC7" w:rsidP="0040440B" w:rsidRDefault="002A17C9" w14:paraId="1A1E9532" w14:textId="7ACBCF39">
      <w:pPr>
        <w:pStyle w:val="Lijstalinea"/>
        <w:numPr>
          <w:ilvl w:val="0"/>
          <w:numId w:val="9"/>
        </w:numPr>
        <w:rPr>
          <w:b/>
          <w:bCs/>
          <w:lang w:val="nl-BE"/>
        </w:rPr>
      </w:pPr>
      <w:r>
        <w:rPr>
          <w:b/>
          <w:bCs/>
          <w:lang w:val="nl-BE"/>
        </w:rPr>
        <w:t>Beleids</w:t>
      </w:r>
      <w:r w:rsidRPr="00F95FC7" w:rsidR="00F95FC7">
        <w:rPr>
          <w:b/>
          <w:bCs/>
          <w:lang w:val="nl-BE"/>
        </w:rPr>
        <w:t xml:space="preserve">reactie op het RSJ-advies ‘Problemen in de PIJ: Advies over de door- en uitstroom van jeugdigen met een PIJ-maatregel’ </w:t>
      </w:r>
    </w:p>
    <w:p w:rsidRPr="00CA22C8" w:rsidR="00CA22C8" w:rsidP="0040440B" w:rsidRDefault="00CA22C8" w14:paraId="61CC7957" w14:textId="1F8B57B9">
      <w:pPr>
        <w:rPr>
          <w:lang w:val="nl-BE"/>
        </w:rPr>
      </w:pPr>
      <w:r w:rsidRPr="00CA22C8">
        <w:rPr>
          <w:lang w:val="nl-BE"/>
        </w:rPr>
        <w:t xml:space="preserve">De RSJ heeft op 25 september 2025 een gevraagd advies uitgebracht over mogelijke oplossingen voor de knelpunten die bestaan bij de door- en uitstroom van jeugdigen met een PIJ-maatregel (plaatsing in een inrichting voor jeugdigen). De toenmalige staatsecretaris heeft toegezegd om in het voorjaar van 2026 te komen met een beleidsreactie. </w:t>
      </w:r>
      <w:r w:rsidR="00C623BF">
        <w:rPr>
          <w:lang w:val="nl-BE"/>
        </w:rPr>
        <w:t>In deze brief doe ik deze toezegging gestand.</w:t>
      </w:r>
    </w:p>
    <w:p w:rsidR="00C623BF" w:rsidP="0040440B" w:rsidRDefault="00C623BF" w14:paraId="458CC767" w14:textId="77777777">
      <w:pPr>
        <w:rPr>
          <w:lang w:val="nl-BE"/>
        </w:rPr>
      </w:pPr>
    </w:p>
    <w:p w:rsidR="00C623BF" w:rsidP="0040440B" w:rsidRDefault="00CA22C8" w14:paraId="58B1A8FF" w14:textId="77777777">
      <w:pPr>
        <w:rPr>
          <w:lang w:val="nl-BE"/>
        </w:rPr>
      </w:pPr>
      <w:r w:rsidRPr="00CA22C8">
        <w:rPr>
          <w:lang w:val="nl-BE"/>
        </w:rPr>
        <w:t xml:space="preserve">De aanbevelingen van de RSJ hebben betrekking op twee doelgroepen, namelijk </w:t>
      </w:r>
      <w:r w:rsidR="00C623BF">
        <w:rPr>
          <w:lang w:val="nl-BE"/>
        </w:rPr>
        <w:t xml:space="preserve">(a) </w:t>
      </w:r>
      <w:r w:rsidRPr="00CA22C8">
        <w:rPr>
          <w:lang w:val="nl-BE"/>
        </w:rPr>
        <w:t xml:space="preserve">de jongeren die een PIJ-maatregel opgelegd hebben gekregen en in een JJI verblijven of </w:t>
      </w:r>
      <w:r w:rsidR="00C623BF">
        <w:rPr>
          <w:lang w:val="nl-BE"/>
        </w:rPr>
        <w:t xml:space="preserve">op een </w:t>
      </w:r>
      <w:r w:rsidRPr="00CA22C8">
        <w:rPr>
          <w:lang w:val="nl-BE"/>
        </w:rPr>
        <w:t>andere plek waar de PIJ-maatregel wordt uitgevoerd</w:t>
      </w:r>
      <w:r w:rsidR="00C623BF">
        <w:rPr>
          <w:lang w:val="nl-BE"/>
        </w:rPr>
        <w:t>, en (b)</w:t>
      </w:r>
      <w:r w:rsidRPr="00CA22C8">
        <w:rPr>
          <w:lang w:val="nl-BE"/>
        </w:rPr>
        <w:t xml:space="preserve"> de jongeren die uitstromen uit de PIJ. </w:t>
      </w:r>
    </w:p>
    <w:p w:rsidRPr="00CA22C8" w:rsidR="00CA22C8" w:rsidP="0040440B" w:rsidRDefault="00CA22C8" w14:paraId="51483CE3" w14:textId="47906788">
      <w:pPr>
        <w:rPr>
          <w:lang w:val="nl-BE"/>
        </w:rPr>
      </w:pPr>
      <w:r w:rsidRPr="00CA22C8">
        <w:rPr>
          <w:lang w:val="nl-BE"/>
        </w:rPr>
        <w:t>De RSJ doet 13 aanbevelingen, die</w:t>
      </w:r>
      <w:r w:rsidR="00C623BF">
        <w:rPr>
          <w:lang w:val="nl-BE"/>
        </w:rPr>
        <w:t xml:space="preserve"> als volgt</w:t>
      </w:r>
      <w:r w:rsidRPr="00CA22C8">
        <w:rPr>
          <w:lang w:val="nl-BE"/>
        </w:rPr>
        <w:t xml:space="preserve"> kunnen worden samengevat</w:t>
      </w:r>
      <w:r w:rsidR="00C623BF">
        <w:rPr>
          <w:lang w:val="nl-BE"/>
        </w:rPr>
        <w:t>.</w:t>
      </w:r>
    </w:p>
    <w:p w:rsidRPr="00C623BF" w:rsidR="00CA22C8" w:rsidP="0040440B" w:rsidRDefault="00CA22C8" w14:paraId="5B54B099" w14:textId="5B8B61C9">
      <w:pPr>
        <w:pStyle w:val="Lijstalinea"/>
        <w:numPr>
          <w:ilvl w:val="0"/>
          <w:numId w:val="23"/>
        </w:numPr>
        <w:rPr>
          <w:lang w:val="nl-BE"/>
        </w:rPr>
      </w:pPr>
      <w:r w:rsidRPr="00C623BF">
        <w:rPr>
          <w:lang w:val="nl-BE"/>
        </w:rPr>
        <w:t>Landelijke toeleiding naar en financiering van zorg en begeleiding voor jeugdigen na uitstroom van een PIJ-maatrege</w:t>
      </w:r>
      <w:r w:rsidRPr="00C623BF" w:rsidR="00C623BF">
        <w:rPr>
          <w:lang w:val="nl-BE"/>
        </w:rPr>
        <w:t>l.</w:t>
      </w:r>
    </w:p>
    <w:p w:rsidRPr="00C623BF" w:rsidR="00CA22C8" w:rsidP="0040440B" w:rsidRDefault="00CA22C8" w14:paraId="5B07B925" w14:textId="542E746E">
      <w:pPr>
        <w:pStyle w:val="Lijstalinea"/>
        <w:numPr>
          <w:ilvl w:val="0"/>
          <w:numId w:val="23"/>
        </w:numPr>
        <w:rPr>
          <w:lang w:val="nl-BE"/>
        </w:rPr>
      </w:pPr>
      <w:r w:rsidRPr="00C623BF">
        <w:rPr>
          <w:lang w:val="nl-BE"/>
        </w:rPr>
        <w:t xml:space="preserve">Een passend en tijdig hulpaanbod voor </w:t>
      </w:r>
      <w:r w:rsidR="00E21777">
        <w:rPr>
          <w:lang w:val="nl-BE"/>
        </w:rPr>
        <w:t xml:space="preserve">zowel </w:t>
      </w:r>
      <w:r w:rsidRPr="00C623BF">
        <w:rPr>
          <w:lang w:val="nl-BE"/>
        </w:rPr>
        <w:t>jeugdigen met een PIJ-maatregel als de jeugdigen die uitstromen na een PIJ</w:t>
      </w:r>
      <w:r w:rsidRPr="00C623BF" w:rsidR="00C623BF">
        <w:rPr>
          <w:lang w:val="nl-BE"/>
        </w:rPr>
        <w:t>-maatregel.</w:t>
      </w:r>
    </w:p>
    <w:p w:rsidRPr="00C623BF" w:rsidR="00CA22C8" w:rsidP="0040440B" w:rsidRDefault="00CA22C8" w14:paraId="525698EE" w14:textId="609435A9">
      <w:pPr>
        <w:pStyle w:val="Lijstalinea"/>
        <w:numPr>
          <w:ilvl w:val="0"/>
          <w:numId w:val="23"/>
        </w:numPr>
        <w:rPr>
          <w:lang w:val="nl-BE"/>
        </w:rPr>
      </w:pPr>
      <w:r w:rsidRPr="00C623BF">
        <w:rPr>
          <w:lang w:val="nl-BE"/>
        </w:rPr>
        <w:t xml:space="preserve">De vergroting van kennis en expertise over deze doelgroep bij alle betrokken partijen. </w:t>
      </w:r>
    </w:p>
    <w:p w:rsidRPr="00CA22C8" w:rsidR="00CA22C8" w:rsidP="0040440B" w:rsidRDefault="00CA22C8" w14:paraId="2E7F6560" w14:textId="76BDC8FA">
      <w:pPr>
        <w:rPr>
          <w:lang w:val="nl-BE"/>
        </w:rPr>
      </w:pPr>
      <w:r w:rsidRPr="00CA22C8">
        <w:rPr>
          <w:lang w:val="nl-BE"/>
        </w:rPr>
        <w:t xml:space="preserve">De RSJ is kritisch </w:t>
      </w:r>
      <w:r w:rsidR="00C623BF">
        <w:rPr>
          <w:lang w:val="nl-BE"/>
        </w:rPr>
        <w:t>over</w:t>
      </w:r>
      <w:r w:rsidRPr="00CA22C8">
        <w:rPr>
          <w:lang w:val="nl-BE"/>
        </w:rPr>
        <w:t xml:space="preserve"> het huidige stelsel en een aantal aanbevelingen be</w:t>
      </w:r>
      <w:r w:rsidR="00C623BF">
        <w:rPr>
          <w:lang w:val="nl-BE"/>
        </w:rPr>
        <w:t xml:space="preserve">treft </w:t>
      </w:r>
      <w:r w:rsidRPr="00CA22C8">
        <w:rPr>
          <w:lang w:val="nl-BE"/>
        </w:rPr>
        <w:t xml:space="preserve">fundamentele wijzigingen in het stelsel. De aanbeveling over landelijke toeleiding en financiering door </w:t>
      </w:r>
      <w:r w:rsidR="00C623BF">
        <w:rPr>
          <w:lang w:val="nl-BE"/>
        </w:rPr>
        <w:t xml:space="preserve">mijn ministerie </w:t>
      </w:r>
      <w:r w:rsidRPr="00CA22C8">
        <w:rPr>
          <w:lang w:val="nl-BE"/>
        </w:rPr>
        <w:t xml:space="preserve">naar zorg en begeleiding betekent </w:t>
      </w:r>
      <w:r w:rsidR="00C623BF">
        <w:rPr>
          <w:lang w:val="nl-BE"/>
        </w:rPr>
        <w:t xml:space="preserve">bijvoorbeeld </w:t>
      </w:r>
      <w:r w:rsidRPr="00CA22C8">
        <w:rPr>
          <w:lang w:val="nl-BE"/>
        </w:rPr>
        <w:t xml:space="preserve">een breuk </w:t>
      </w:r>
      <w:r w:rsidR="00C623BF">
        <w:rPr>
          <w:lang w:val="nl-BE"/>
        </w:rPr>
        <w:t>met</w:t>
      </w:r>
      <w:r w:rsidRPr="00CA22C8">
        <w:rPr>
          <w:lang w:val="nl-BE"/>
        </w:rPr>
        <w:t xml:space="preserve"> het huidige systeem van bekostiging, maar sluit aan bij de wens vanuit de </w:t>
      </w:r>
      <w:r w:rsidR="00C623BF">
        <w:rPr>
          <w:lang w:val="nl-BE"/>
        </w:rPr>
        <w:t>(jeugd)</w:t>
      </w:r>
      <w:r w:rsidRPr="00CA22C8">
        <w:rPr>
          <w:lang w:val="nl-BE"/>
        </w:rPr>
        <w:t>strafrechtketenpartners.</w:t>
      </w:r>
    </w:p>
    <w:p w:rsidRPr="00CA22C8" w:rsidR="00CA22C8" w:rsidP="0040440B" w:rsidRDefault="00CA22C8" w14:paraId="6860DB5B" w14:textId="77777777">
      <w:pPr>
        <w:rPr>
          <w:lang w:val="nl-BE"/>
        </w:rPr>
      </w:pPr>
      <w:r w:rsidRPr="00CA22C8">
        <w:rPr>
          <w:lang w:val="nl-BE"/>
        </w:rPr>
        <w:t xml:space="preserve"> </w:t>
      </w:r>
    </w:p>
    <w:p w:rsidRPr="00CA22C8" w:rsidR="00CA22C8" w:rsidP="0040440B" w:rsidRDefault="00CA22C8" w14:paraId="7395167E" w14:textId="6D2B3A6F">
      <w:pPr>
        <w:rPr>
          <w:lang w:val="nl-BE"/>
        </w:rPr>
      </w:pPr>
      <w:r w:rsidRPr="00CA22C8">
        <w:rPr>
          <w:lang w:val="nl-BE"/>
        </w:rPr>
        <w:t xml:space="preserve">Gelet op de complexiteit </w:t>
      </w:r>
      <w:r w:rsidR="00C623BF">
        <w:rPr>
          <w:lang w:val="nl-BE"/>
        </w:rPr>
        <w:t xml:space="preserve">en de aard </w:t>
      </w:r>
      <w:r w:rsidRPr="00CA22C8">
        <w:rPr>
          <w:lang w:val="nl-BE"/>
        </w:rPr>
        <w:t xml:space="preserve">van de aanbevelingen onder 1 en 2 </w:t>
      </w:r>
      <w:r w:rsidR="00C623BF">
        <w:rPr>
          <w:lang w:val="nl-BE"/>
        </w:rPr>
        <w:t xml:space="preserve">worden deze integraal meegenomen in de hiervoor in paragraaf 2 benoemde herbezinning op de opgaven van de </w:t>
      </w:r>
      <w:proofErr w:type="spellStart"/>
      <w:r w:rsidR="00C623BF">
        <w:rPr>
          <w:lang w:val="nl-BE"/>
        </w:rPr>
        <w:t>JJI’s</w:t>
      </w:r>
      <w:proofErr w:type="spellEnd"/>
      <w:r w:rsidR="00C623BF">
        <w:rPr>
          <w:lang w:val="nl-BE"/>
        </w:rPr>
        <w:t xml:space="preserve">. </w:t>
      </w:r>
      <w:r w:rsidR="000A553E">
        <w:rPr>
          <w:lang w:val="nl-BE"/>
        </w:rPr>
        <w:t>Zoals gezegd is h</w:t>
      </w:r>
      <w:r w:rsidRPr="00CA22C8">
        <w:rPr>
          <w:lang w:val="nl-BE"/>
        </w:rPr>
        <w:t>et doel van de herbezinning het vinden van een nieuwe balans tussen de kwaliteit van het verblijf in de JJI en de benodigde randvoorwaarden voor de DJI</w:t>
      </w:r>
      <w:r w:rsidR="000A553E">
        <w:rPr>
          <w:lang w:val="nl-BE"/>
        </w:rPr>
        <w:t>, inclusief de instroom in, behandeling tijdens en uitstroom uit de PIJ-maatregel.</w:t>
      </w:r>
    </w:p>
    <w:p w:rsidRPr="00CA22C8" w:rsidR="00CA22C8" w:rsidP="0040440B" w:rsidRDefault="000A553E" w14:paraId="6D2E637E" w14:textId="5F30F9E4">
      <w:pPr>
        <w:rPr>
          <w:lang w:val="nl-BE"/>
        </w:rPr>
      </w:pPr>
      <w:r>
        <w:rPr>
          <w:lang w:val="nl-BE"/>
        </w:rPr>
        <w:t>W</w:t>
      </w:r>
      <w:r w:rsidRPr="00CA22C8" w:rsidR="00CA22C8">
        <w:rPr>
          <w:lang w:val="nl-BE"/>
        </w:rPr>
        <w:t xml:space="preserve">at betreft de aanbevelingen gericht op de uitstromende PIJ-jongeren </w:t>
      </w:r>
      <w:r>
        <w:rPr>
          <w:lang w:val="nl-BE"/>
        </w:rPr>
        <w:t xml:space="preserve">lopen </w:t>
      </w:r>
      <w:r w:rsidR="00147BF4">
        <w:rPr>
          <w:lang w:val="nl-BE"/>
        </w:rPr>
        <w:t xml:space="preserve">bovendien </w:t>
      </w:r>
      <w:r w:rsidRPr="00CA22C8" w:rsidR="00CA22C8">
        <w:rPr>
          <w:lang w:val="nl-BE"/>
        </w:rPr>
        <w:t>twee verdiepingsonderzoeken, om concreet landelijk en per regio in beeld te krijgen welke knelpunten en tekorten spelen</w:t>
      </w:r>
      <w:r w:rsidR="00CA22C8">
        <w:rPr>
          <w:lang w:val="nl-BE"/>
        </w:rPr>
        <w:t xml:space="preserve"> en wat de omvang van het probleem is</w:t>
      </w:r>
      <w:r w:rsidRPr="00CA22C8" w:rsidR="00CA22C8">
        <w:rPr>
          <w:lang w:val="nl-BE"/>
        </w:rPr>
        <w:t xml:space="preserve">. Van het bredere </w:t>
      </w:r>
      <w:r>
        <w:rPr>
          <w:lang w:val="nl-BE"/>
        </w:rPr>
        <w:t>onderzoek naar het tekort aan j</w:t>
      </w:r>
      <w:r w:rsidRPr="00CA22C8" w:rsidR="00CA22C8">
        <w:rPr>
          <w:lang w:val="nl-BE"/>
        </w:rPr>
        <w:t xml:space="preserve">eugdhulp in </w:t>
      </w:r>
      <w:r>
        <w:rPr>
          <w:lang w:val="nl-BE"/>
        </w:rPr>
        <w:t>s</w:t>
      </w:r>
      <w:r w:rsidRPr="00CA22C8" w:rsidR="00CA22C8">
        <w:rPr>
          <w:lang w:val="nl-BE"/>
        </w:rPr>
        <w:t xml:space="preserve">trafrechtelijke </w:t>
      </w:r>
      <w:r>
        <w:rPr>
          <w:lang w:val="nl-BE"/>
        </w:rPr>
        <w:t>k</w:t>
      </w:r>
      <w:r w:rsidRPr="00CA22C8" w:rsidR="00CA22C8">
        <w:rPr>
          <w:lang w:val="nl-BE"/>
        </w:rPr>
        <w:t xml:space="preserve">ader tekort wordt </w:t>
      </w:r>
      <w:r>
        <w:rPr>
          <w:lang w:val="nl-BE"/>
        </w:rPr>
        <w:t>voor de zomer van 2026</w:t>
      </w:r>
      <w:r w:rsidRPr="00CA22C8" w:rsidR="00CA22C8">
        <w:rPr>
          <w:lang w:val="nl-BE"/>
        </w:rPr>
        <w:t xml:space="preserve"> de eindrapportage verwacht. Het tweede onderzoek is gericht op de behoefte en knelpunten in </w:t>
      </w:r>
      <w:r>
        <w:rPr>
          <w:lang w:val="nl-BE"/>
        </w:rPr>
        <w:t>de jeugdhulp in strafrechtelijk kader</w:t>
      </w:r>
      <w:r w:rsidRPr="00CA22C8" w:rsidR="00CA22C8">
        <w:rPr>
          <w:lang w:val="nl-BE"/>
        </w:rPr>
        <w:t xml:space="preserve"> </w:t>
      </w:r>
      <w:r>
        <w:rPr>
          <w:lang w:val="nl-BE"/>
        </w:rPr>
        <w:t>voor</w:t>
      </w:r>
      <w:r w:rsidRPr="00CA22C8" w:rsidR="00CA22C8">
        <w:rPr>
          <w:lang w:val="nl-BE"/>
        </w:rPr>
        <w:t xml:space="preserve"> jongvolwassenen</w:t>
      </w:r>
      <w:r>
        <w:rPr>
          <w:lang w:val="nl-BE"/>
        </w:rPr>
        <w:t xml:space="preserve"> </w:t>
      </w:r>
      <w:r w:rsidRPr="00CA22C8" w:rsidR="00CA22C8">
        <w:rPr>
          <w:lang w:val="nl-BE"/>
        </w:rPr>
        <w:t>die onder het jeugdstrafrecht vallen</w:t>
      </w:r>
      <w:r w:rsidR="00B93D67">
        <w:rPr>
          <w:rStyle w:val="Voetnootmarkering"/>
          <w:lang w:val="nl-BE"/>
        </w:rPr>
        <w:footnoteReference w:id="14"/>
      </w:r>
      <w:r>
        <w:rPr>
          <w:lang w:val="nl-BE"/>
        </w:rPr>
        <w:t xml:space="preserve">. </w:t>
      </w:r>
      <w:r w:rsidRPr="00CA22C8" w:rsidR="00CA22C8">
        <w:rPr>
          <w:lang w:val="nl-BE"/>
        </w:rPr>
        <w:t>Dit rapport zal naar verwachting medio september</w:t>
      </w:r>
      <w:r>
        <w:rPr>
          <w:lang w:val="nl-BE"/>
        </w:rPr>
        <w:t xml:space="preserve"> 2026</w:t>
      </w:r>
      <w:r w:rsidRPr="00CA22C8" w:rsidR="00CA22C8">
        <w:rPr>
          <w:lang w:val="nl-BE"/>
        </w:rPr>
        <w:t xml:space="preserve"> gereed zijn. De bevindingen van deze rapporten gaan helpen om het gesprek verder te voeren binnen het nazorgoverleg als onderdeel van de werkagenda</w:t>
      </w:r>
      <w:r w:rsidR="00A028E6">
        <w:rPr>
          <w:rStyle w:val="Voetnootmarkering"/>
          <w:lang w:val="nl-BE"/>
        </w:rPr>
        <w:footnoteReference w:id="15"/>
      </w:r>
      <w:r w:rsidRPr="00CA22C8" w:rsidR="00CA22C8">
        <w:rPr>
          <w:lang w:val="nl-BE"/>
        </w:rPr>
        <w:t xml:space="preserve">, met </w:t>
      </w:r>
      <w:r>
        <w:rPr>
          <w:lang w:val="nl-BE"/>
        </w:rPr>
        <w:t xml:space="preserve">de </w:t>
      </w:r>
      <w:r w:rsidRPr="00CA22C8" w:rsidR="00CA22C8">
        <w:rPr>
          <w:lang w:val="nl-BE"/>
        </w:rPr>
        <w:t>V</w:t>
      </w:r>
      <w:r w:rsidR="00137E7D">
        <w:rPr>
          <w:lang w:val="nl-BE"/>
        </w:rPr>
        <w:t>ereniging van Nederlandse Gemeenten (V</w:t>
      </w:r>
      <w:r w:rsidRPr="00CA22C8" w:rsidR="00CA22C8">
        <w:rPr>
          <w:lang w:val="nl-BE"/>
        </w:rPr>
        <w:t>NG</w:t>
      </w:r>
      <w:r w:rsidR="00137E7D">
        <w:rPr>
          <w:lang w:val="nl-BE"/>
        </w:rPr>
        <w:t>)</w:t>
      </w:r>
      <w:r w:rsidRPr="00CA22C8" w:rsidR="00CA22C8">
        <w:rPr>
          <w:lang w:val="nl-BE"/>
        </w:rPr>
        <w:t>,</w:t>
      </w:r>
      <w:r>
        <w:rPr>
          <w:lang w:val="nl-BE"/>
        </w:rPr>
        <w:t xml:space="preserve"> het ministerie van</w:t>
      </w:r>
      <w:r w:rsidRPr="00CA22C8" w:rsidR="00CA22C8">
        <w:rPr>
          <w:lang w:val="nl-BE"/>
        </w:rPr>
        <w:t xml:space="preserve"> V</w:t>
      </w:r>
      <w:r w:rsidR="00137E7D">
        <w:rPr>
          <w:lang w:val="nl-BE"/>
        </w:rPr>
        <w:t>olksgezondheid, Welzijn en Sport (V</w:t>
      </w:r>
      <w:r w:rsidRPr="00CA22C8" w:rsidR="00CA22C8">
        <w:rPr>
          <w:lang w:val="nl-BE"/>
        </w:rPr>
        <w:t>WS</w:t>
      </w:r>
      <w:r w:rsidR="00137E7D">
        <w:rPr>
          <w:lang w:val="nl-BE"/>
        </w:rPr>
        <w:t>)</w:t>
      </w:r>
      <w:r w:rsidRPr="00CA22C8" w:rsidR="00CA22C8">
        <w:rPr>
          <w:lang w:val="nl-BE"/>
        </w:rPr>
        <w:t xml:space="preserve"> en</w:t>
      </w:r>
      <w:r w:rsidR="00137E7D">
        <w:rPr>
          <w:lang w:val="nl-BE"/>
        </w:rPr>
        <w:t xml:space="preserve"> de </w:t>
      </w:r>
      <w:r w:rsidRPr="00CA22C8" w:rsidR="00CA22C8">
        <w:rPr>
          <w:lang w:val="nl-BE"/>
        </w:rPr>
        <w:t xml:space="preserve">ketenpartners om gezamenlijk tot oplossingen </w:t>
      </w:r>
      <w:r w:rsidR="00224E0E">
        <w:rPr>
          <w:lang w:val="nl-BE"/>
        </w:rPr>
        <w:t>te komen</w:t>
      </w:r>
      <w:r w:rsidRPr="00CA22C8" w:rsidR="00CA22C8">
        <w:rPr>
          <w:lang w:val="nl-BE"/>
        </w:rPr>
        <w:t xml:space="preserve">. </w:t>
      </w:r>
    </w:p>
    <w:p w:rsidRPr="00CA22C8" w:rsidR="00CA22C8" w:rsidP="0040440B" w:rsidRDefault="00CA22C8" w14:paraId="27ABC905" w14:textId="77777777">
      <w:pPr>
        <w:rPr>
          <w:lang w:val="nl-BE"/>
        </w:rPr>
      </w:pPr>
      <w:r w:rsidRPr="00CA22C8">
        <w:rPr>
          <w:lang w:val="nl-BE"/>
        </w:rPr>
        <w:t xml:space="preserve"> </w:t>
      </w:r>
    </w:p>
    <w:p w:rsidRPr="00CA22C8" w:rsidR="00CA22C8" w:rsidP="0040440B" w:rsidRDefault="000A553E" w14:paraId="044B7C31" w14:textId="7235FDE5">
      <w:pPr>
        <w:rPr>
          <w:lang w:val="nl-BE"/>
        </w:rPr>
      </w:pPr>
      <w:r>
        <w:rPr>
          <w:lang w:val="nl-BE"/>
        </w:rPr>
        <w:t>W</w:t>
      </w:r>
      <w:r w:rsidRPr="00CA22C8" w:rsidR="00CA22C8">
        <w:rPr>
          <w:lang w:val="nl-BE"/>
        </w:rPr>
        <w:t xml:space="preserve">at betreft de aanbevelingen onder 3 is vergroting van kennis en expertise over de doelgroep een punt van voortdurende aandacht, </w:t>
      </w:r>
      <w:r>
        <w:rPr>
          <w:lang w:val="nl-BE"/>
        </w:rPr>
        <w:t xml:space="preserve">vooral </w:t>
      </w:r>
      <w:r w:rsidRPr="00CA22C8" w:rsidR="00CA22C8">
        <w:rPr>
          <w:lang w:val="nl-BE"/>
        </w:rPr>
        <w:t>ook in het nazorgoverleg met de betrokken ketenpartners zoals de R</w:t>
      </w:r>
      <w:r>
        <w:rPr>
          <w:lang w:val="nl-BE"/>
        </w:rPr>
        <w:t xml:space="preserve">aad voor de </w:t>
      </w:r>
      <w:r w:rsidRPr="00137E7D">
        <w:rPr>
          <w:lang w:val="nl-BE"/>
        </w:rPr>
        <w:t>Kinderbescherming</w:t>
      </w:r>
      <w:r w:rsidRPr="00137E7D" w:rsidR="00137E7D">
        <w:rPr>
          <w:lang w:val="nl-BE"/>
        </w:rPr>
        <w:t xml:space="preserve"> (</w:t>
      </w:r>
      <w:proofErr w:type="spellStart"/>
      <w:r w:rsidRPr="00137E7D" w:rsidR="00137E7D">
        <w:rPr>
          <w:lang w:val="nl-BE"/>
        </w:rPr>
        <w:t>RvdK</w:t>
      </w:r>
      <w:proofErr w:type="spellEnd"/>
      <w:r w:rsidRPr="00137E7D" w:rsidR="00137E7D">
        <w:rPr>
          <w:lang w:val="nl-BE"/>
        </w:rPr>
        <w:t>)</w:t>
      </w:r>
      <w:r w:rsidRPr="00137E7D">
        <w:rPr>
          <w:lang w:val="nl-BE"/>
        </w:rPr>
        <w:t>, de gecertificeerde instellingen (</w:t>
      </w:r>
      <w:proofErr w:type="spellStart"/>
      <w:r w:rsidRPr="00137E7D" w:rsidR="00CA22C8">
        <w:rPr>
          <w:lang w:val="nl-BE"/>
        </w:rPr>
        <w:t>GI’s</w:t>
      </w:r>
      <w:proofErr w:type="spellEnd"/>
      <w:r w:rsidRPr="00137E7D">
        <w:rPr>
          <w:lang w:val="nl-BE"/>
        </w:rPr>
        <w:t>)</w:t>
      </w:r>
      <w:r w:rsidRPr="00137E7D" w:rsidR="00CA22C8">
        <w:rPr>
          <w:lang w:val="nl-BE"/>
        </w:rPr>
        <w:t xml:space="preserve">, </w:t>
      </w:r>
      <w:r w:rsidRPr="00137E7D">
        <w:rPr>
          <w:lang w:val="nl-BE"/>
        </w:rPr>
        <w:t>de</w:t>
      </w:r>
      <w:r w:rsidRPr="00137E7D" w:rsidR="00137E7D">
        <w:rPr>
          <w:lang w:val="nl-BE"/>
        </w:rPr>
        <w:t xml:space="preserve"> </w:t>
      </w:r>
      <w:r w:rsidRPr="00137E7D" w:rsidR="00137E7D">
        <w:t>drie Reclasseringsorganisaties</w:t>
      </w:r>
      <w:r w:rsidRPr="00137E7D">
        <w:rPr>
          <w:lang w:val="nl-BE"/>
        </w:rPr>
        <w:t xml:space="preserve"> </w:t>
      </w:r>
      <w:r w:rsidRPr="00137E7D" w:rsidR="00137E7D">
        <w:rPr>
          <w:lang w:val="nl-BE"/>
        </w:rPr>
        <w:t>(</w:t>
      </w:r>
      <w:r w:rsidRPr="00137E7D" w:rsidR="00CA22C8">
        <w:rPr>
          <w:lang w:val="nl-BE"/>
        </w:rPr>
        <w:t>3RO</w:t>
      </w:r>
      <w:r w:rsidRPr="00137E7D" w:rsidR="00137E7D">
        <w:rPr>
          <w:lang w:val="nl-BE"/>
        </w:rPr>
        <w:t>)</w:t>
      </w:r>
      <w:r w:rsidRPr="00137E7D" w:rsidR="00CA22C8">
        <w:rPr>
          <w:lang w:val="nl-BE"/>
        </w:rPr>
        <w:t>,</w:t>
      </w:r>
      <w:r w:rsidRPr="00137E7D">
        <w:rPr>
          <w:lang w:val="nl-BE"/>
        </w:rPr>
        <w:t xml:space="preserve"> de</w:t>
      </w:r>
      <w:r w:rsidRPr="00137E7D" w:rsidR="00CA22C8">
        <w:rPr>
          <w:lang w:val="nl-BE"/>
        </w:rPr>
        <w:t xml:space="preserve"> DJI en </w:t>
      </w:r>
      <w:r w:rsidRPr="00137E7D">
        <w:rPr>
          <w:lang w:val="nl-BE"/>
        </w:rPr>
        <w:t xml:space="preserve">de </w:t>
      </w:r>
      <w:r w:rsidRPr="00137E7D" w:rsidR="00CA22C8">
        <w:rPr>
          <w:lang w:val="nl-BE"/>
        </w:rPr>
        <w:t>VNG. De update van de Handreiking nazorg</w:t>
      </w:r>
      <w:r w:rsidRPr="00CA22C8" w:rsidR="00CA22C8">
        <w:rPr>
          <w:lang w:val="nl-BE"/>
        </w:rPr>
        <w:t>, die momenteel wordt gemaakt</w:t>
      </w:r>
      <w:r>
        <w:rPr>
          <w:lang w:val="nl-BE"/>
        </w:rPr>
        <w:t>,</w:t>
      </w:r>
      <w:r w:rsidRPr="00CA22C8" w:rsidR="00CA22C8">
        <w:rPr>
          <w:lang w:val="nl-BE"/>
        </w:rPr>
        <w:t xml:space="preserve"> gaat daar een goede bijdrage aan leveren met relevante informatie, </w:t>
      </w:r>
      <w:proofErr w:type="spellStart"/>
      <w:r w:rsidRPr="00CA22C8" w:rsidR="00CA22C8">
        <w:rPr>
          <w:lang w:val="nl-BE"/>
        </w:rPr>
        <w:t>factsheets</w:t>
      </w:r>
      <w:proofErr w:type="spellEnd"/>
      <w:r w:rsidRPr="00CA22C8" w:rsidR="00CA22C8">
        <w:rPr>
          <w:lang w:val="nl-BE"/>
        </w:rPr>
        <w:t xml:space="preserve"> en stroomschema’s. Elke organisatie dient vervolgens zijn eigen verantwoordelijkheid te nemen voor het borgen en/of vergroten van </w:t>
      </w:r>
      <w:r>
        <w:rPr>
          <w:lang w:val="nl-BE"/>
        </w:rPr>
        <w:t xml:space="preserve">de eigen kennis en </w:t>
      </w:r>
      <w:r w:rsidRPr="00CA22C8" w:rsidR="00CA22C8">
        <w:rPr>
          <w:lang w:val="nl-BE"/>
        </w:rPr>
        <w:t>expertise.</w:t>
      </w:r>
    </w:p>
    <w:p w:rsidRPr="00CA22C8" w:rsidR="00F27EA1" w:rsidP="0040440B" w:rsidRDefault="00CA22C8" w14:paraId="64852DEA" w14:textId="6DF20DB8">
      <w:pPr>
        <w:rPr>
          <w:lang w:val="nl-BE"/>
        </w:rPr>
      </w:pPr>
      <w:r w:rsidRPr="00CA22C8">
        <w:rPr>
          <w:lang w:val="nl-BE"/>
        </w:rPr>
        <w:t xml:space="preserve"> </w:t>
      </w:r>
    </w:p>
    <w:p w:rsidRPr="0045534A" w:rsidR="00F95FC7" w:rsidP="0040440B" w:rsidRDefault="00F95FC7" w14:paraId="090725C5" w14:textId="6F124EB8">
      <w:pPr>
        <w:pStyle w:val="Lijstalinea"/>
        <w:numPr>
          <w:ilvl w:val="0"/>
          <w:numId w:val="9"/>
        </w:numPr>
        <w:rPr>
          <w:b/>
          <w:bCs/>
        </w:rPr>
      </w:pPr>
      <w:r w:rsidRPr="0045534A">
        <w:rPr>
          <w:b/>
          <w:bCs/>
        </w:rPr>
        <w:t xml:space="preserve">Strafmaat </w:t>
      </w:r>
      <w:r w:rsidRPr="0045534A" w:rsidR="0045534A">
        <w:rPr>
          <w:b/>
          <w:bCs/>
        </w:rPr>
        <w:t xml:space="preserve">van zowel 12- tot 18-jarigen als 18- tot 23-jarigen </w:t>
      </w:r>
    </w:p>
    <w:p w:rsidR="00347BAD" w:rsidP="0040440B" w:rsidRDefault="00F34A21" w14:paraId="04CFED39" w14:textId="77777777">
      <w:r>
        <w:t>In het regeerprogramma van het vorige kabinet was de ambitie opgenomen om het jeugdstrafrecht aan te scherpen, onder andere door het verhogen van de maximale straffen voor 14- en 15-jarigen. Hierover heeft voormalig staatssecretaris Rechtsbescherming Rutte in zijn brief van 16 januari 2026 geconcludeerd dat uitwerking van deze opgave vraagt om een brede bezi</w:t>
      </w:r>
      <w:r w:rsidR="00347BAD">
        <w:t>n</w:t>
      </w:r>
      <w:r>
        <w:t xml:space="preserve">ning </w:t>
      </w:r>
      <w:r w:rsidR="00347BAD">
        <w:t>op</w:t>
      </w:r>
      <w:r>
        <w:t xml:space="preserve"> de maximale straffen in het jeugdstrafrecht in zijn geheel.</w:t>
      </w:r>
      <w:r>
        <w:rPr>
          <w:rStyle w:val="Voetnootmarkering"/>
        </w:rPr>
        <w:footnoteReference w:id="16"/>
      </w:r>
      <w:r>
        <w:t xml:space="preserve"> Daarbij </w:t>
      </w:r>
      <w:r w:rsidR="00347BAD">
        <w:t xml:space="preserve">kondigde hij een </w:t>
      </w:r>
      <w:r>
        <w:t>impactanalyse aan</w:t>
      </w:r>
      <w:r w:rsidR="00347BAD">
        <w:t>, waarvan d</w:t>
      </w:r>
      <w:r>
        <w:t>e</w:t>
      </w:r>
      <w:r w:rsidRPr="00F34A21">
        <w:rPr>
          <w:lang w:val="nl-BE"/>
        </w:rPr>
        <w:t xml:space="preserve"> resultaten </w:t>
      </w:r>
      <w:r w:rsidR="00347BAD">
        <w:rPr>
          <w:lang w:val="nl-BE"/>
        </w:rPr>
        <w:t>voor</w:t>
      </w:r>
      <w:r w:rsidRPr="00F34A21">
        <w:rPr>
          <w:lang w:val="nl-BE"/>
        </w:rPr>
        <w:t xml:space="preserve"> de zomer van 2026 met uw Kamer </w:t>
      </w:r>
      <w:r w:rsidR="00347BAD">
        <w:rPr>
          <w:lang w:val="nl-BE"/>
        </w:rPr>
        <w:t>zouden worden gedeeld</w:t>
      </w:r>
      <w:r w:rsidRPr="00F34A21">
        <w:rPr>
          <w:lang w:val="nl-BE"/>
        </w:rPr>
        <w:t>. In deze impactanalyse worden diverse scenario</w:t>
      </w:r>
      <w:r w:rsidR="00347BAD">
        <w:rPr>
          <w:lang w:val="nl-BE"/>
        </w:rPr>
        <w:t>’</w:t>
      </w:r>
      <w:r w:rsidRPr="00F34A21">
        <w:rPr>
          <w:lang w:val="nl-BE"/>
        </w:rPr>
        <w:t>s uitgewerkt</w:t>
      </w:r>
      <w:r w:rsidR="00347BAD">
        <w:rPr>
          <w:lang w:val="nl-BE"/>
        </w:rPr>
        <w:t>,</w:t>
      </w:r>
      <w:r w:rsidRPr="00F34A21">
        <w:rPr>
          <w:lang w:val="nl-BE"/>
        </w:rPr>
        <w:t xml:space="preserve"> waarbij </w:t>
      </w:r>
      <w:r w:rsidR="00347BAD">
        <w:rPr>
          <w:lang w:val="nl-BE"/>
        </w:rPr>
        <w:t xml:space="preserve">niet alleen </w:t>
      </w:r>
      <w:r w:rsidRPr="00F34A21">
        <w:rPr>
          <w:lang w:val="nl-BE"/>
        </w:rPr>
        <w:t>aandacht wordt besteed aan de benodigde middelen die met een strafverzwaring gemoeid zijn</w:t>
      </w:r>
      <w:r w:rsidR="00347BAD">
        <w:rPr>
          <w:lang w:val="nl-BE"/>
        </w:rPr>
        <w:t xml:space="preserve"> en de </w:t>
      </w:r>
      <w:proofErr w:type="spellStart"/>
      <w:r w:rsidR="00347BAD">
        <w:rPr>
          <w:lang w:val="nl-BE"/>
        </w:rPr>
        <w:t>wetgevingstechnische</w:t>
      </w:r>
      <w:proofErr w:type="spellEnd"/>
      <w:r w:rsidR="00347BAD">
        <w:rPr>
          <w:lang w:val="nl-BE"/>
        </w:rPr>
        <w:t xml:space="preserve"> consequenties,</w:t>
      </w:r>
      <w:r w:rsidRPr="00F34A21">
        <w:rPr>
          <w:lang w:val="nl-BE"/>
        </w:rPr>
        <w:t xml:space="preserve"> maar ook aan de verhouding van een beoogde verhoging in relatie tot (internationale) regelgeving, de kinderrechten en de strafdoelen uit het jeugdstrafrecht, waar</w:t>
      </w:r>
      <w:r w:rsidR="00347BAD">
        <w:rPr>
          <w:lang w:val="nl-BE"/>
        </w:rPr>
        <w:t>in</w:t>
      </w:r>
      <w:r w:rsidRPr="00F34A21">
        <w:rPr>
          <w:lang w:val="nl-BE"/>
        </w:rPr>
        <w:t xml:space="preserve"> de pedagogische benadering centraal staat. </w:t>
      </w:r>
      <w:r>
        <w:t xml:space="preserve">Aan deze impactanalyse wordt momenteel </w:t>
      </w:r>
      <w:r w:rsidR="00347BAD">
        <w:t xml:space="preserve">nog </w:t>
      </w:r>
      <w:r>
        <w:t>gewerkt.</w:t>
      </w:r>
    </w:p>
    <w:p w:rsidR="00347BAD" w:rsidP="0040440B" w:rsidRDefault="00347BAD" w14:paraId="1E2D77E5" w14:textId="0921F61B">
      <w:r>
        <w:t>Hiernaast is o</w:t>
      </w:r>
      <w:r w:rsidRPr="00C207D9" w:rsidR="00F34A21">
        <w:t>p 1 juli 2022 het WODC-onderzoek “Strafmaat en strafdoelen in ernstige jeugd</w:t>
      </w:r>
      <w:r>
        <w:t>-</w:t>
      </w:r>
      <w:r w:rsidRPr="00C207D9" w:rsidR="00F34A21">
        <w:t xml:space="preserve"> en</w:t>
      </w:r>
      <w:r>
        <w:t xml:space="preserve"> </w:t>
      </w:r>
      <w:r w:rsidRPr="00C207D9" w:rsidR="00F34A21">
        <w:t xml:space="preserve">adolescentenstrafzaken” </w:t>
      </w:r>
      <w:r>
        <w:t>gepubliceerd</w:t>
      </w:r>
      <w:r w:rsidRPr="00C207D9" w:rsidR="00F34A21">
        <w:t xml:space="preserve">, waarop voormalig </w:t>
      </w:r>
      <w:r>
        <w:t xml:space="preserve">minister </w:t>
      </w:r>
      <w:r w:rsidRPr="00C207D9" w:rsidR="00F34A21">
        <w:t>Weerwind op 27 maart 2023 heeft gereageerd.</w:t>
      </w:r>
      <w:r w:rsidR="00F34A21">
        <w:rPr>
          <w:rStyle w:val="Voetnootmarkering"/>
        </w:rPr>
        <w:footnoteReference w:id="17"/>
      </w:r>
      <w:r w:rsidR="00F34A21">
        <w:t xml:space="preserve"> </w:t>
      </w:r>
      <w:r>
        <w:t>Ten aanzien van</w:t>
      </w:r>
      <w:r w:rsidRPr="003845F9" w:rsidR="00F34A21">
        <w:t xml:space="preserve"> jongvolwassenen die ernstige misdrijven plegen</w:t>
      </w:r>
      <w:r>
        <w:t>,</w:t>
      </w:r>
      <w:r w:rsidRPr="003845F9" w:rsidR="00F34A21">
        <w:t xml:space="preserve"> gaf hij aan onvoldoende zicht te hebben op de uitwerking die toepassing van het adolescentenstrafrecht op deze doelgroep heeft, en dit daarom beter inzichtelijk te willen maken alvorens te besluiten of het ophogen van de strafmaat voor deze doelgroep noodzakelijk is. Hij wilde dit doen aan de hand van de uitkomsten van </w:t>
      </w:r>
      <w:r w:rsidR="00576942">
        <w:t>twee</w:t>
      </w:r>
      <w:r w:rsidRPr="003845F9" w:rsidR="00F34A21">
        <w:t xml:space="preserve"> onderzoeken, namelijk een onderzoek naar de toepassing van het adolescentenstrafrecht</w:t>
      </w:r>
      <w:r w:rsidR="00A028E6">
        <w:rPr>
          <w:rStyle w:val="Voetnootmarkering"/>
        </w:rPr>
        <w:footnoteReference w:id="18"/>
      </w:r>
      <w:r w:rsidRPr="003845F9" w:rsidR="00F34A21">
        <w:t xml:space="preserve"> en een doelgroeponderzoek naar de kenmerken van jongeren en jongvolwassenen die in de </w:t>
      </w:r>
      <w:proofErr w:type="spellStart"/>
      <w:r w:rsidRPr="003845F9" w:rsidR="00F34A21">
        <w:t>JJI’s</w:t>
      </w:r>
      <w:proofErr w:type="spellEnd"/>
      <w:r w:rsidRPr="003845F9" w:rsidR="00F34A21">
        <w:t xml:space="preserve"> verblijven. Deze onderzoeken zijn inmiddels gereed</w:t>
      </w:r>
      <w:r>
        <w:t xml:space="preserve">; zie ook </w:t>
      </w:r>
      <w:r w:rsidR="00F34A21">
        <w:t xml:space="preserve">paragraaf 3 van </w:t>
      </w:r>
      <w:r>
        <w:t>deze</w:t>
      </w:r>
      <w:r w:rsidR="00F34A21">
        <w:t xml:space="preserve"> brief</w:t>
      </w:r>
      <w:r w:rsidRPr="003845F9" w:rsidR="00F34A21">
        <w:t>.</w:t>
      </w:r>
      <w:r w:rsidR="00576942">
        <w:rPr>
          <w:rStyle w:val="Voetnootmarkering"/>
        </w:rPr>
        <w:footnoteReference w:id="19"/>
      </w:r>
      <w:r w:rsidR="00F34A21">
        <w:t xml:space="preserve"> </w:t>
      </w:r>
    </w:p>
    <w:p w:rsidR="00F34A21" w:rsidP="0040440B" w:rsidRDefault="00F34A21" w14:paraId="206D505D" w14:textId="4394F8F3">
      <w:r>
        <w:t xml:space="preserve">Gezien de samenhang tussen </w:t>
      </w:r>
      <w:r w:rsidR="00203E68">
        <w:t xml:space="preserve">de </w:t>
      </w:r>
      <w:r>
        <w:t>mogelijk</w:t>
      </w:r>
      <w:r w:rsidR="00203E68">
        <w:t>e</w:t>
      </w:r>
      <w:r>
        <w:t xml:space="preserve"> aanpassing van de strafmaat voor minderjarigen enerzijds en jongvolwassenen onder het adolescentenstrafrecht anderzijds betrek ik </w:t>
      </w:r>
      <w:r w:rsidR="00347BAD">
        <w:t>ook deze tweede optie</w:t>
      </w:r>
      <w:r>
        <w:t xml:space="preserve"> in de bovengenoemde impactanalyse en zal ik u tegelijkertijd berichten over de conclusies die ik hieruit trek over de noodzaak tot het aanpassen van de strafmaat binnen het jeugdstrafrecht. </w:t>
      </w:r>
      <w:r w:rsidR="00137E7D">
        <w:t>Ik streef ernaar u hierover v</w:t>
      </w:r>
      <w:r>
        <w:t>óór het zomerreces</w:t>
      </w:r>
      <w:r w:rsidR="00137E7D">
        <w:t xml:space="preserve"> van 2026 te informeren</w:t>
      </w:r>
      <w:r>
        <w:t>.</w:t>
      </w:r>
    </w:p>
    <w:p w:rsidRPr="00FD0684" w:rsidR="00FD0684" w:rsidP="0040440B" w:rsidRDefault="00FD0684" w14:paraId="659C1154" w14:textId="77777777">
      <w:pPr>
        <w:rPr>
          <w:b/>
          <w:bCs/>
          <w:lang w:val="nl-BE"/>
        </w:rPr>
      </w:pPr>
    </w:p>
    <w:p w:rsidRPr="00F95FC7" w:rsidR="00F95FC7" w:rsidP="0040440B" w:rsidRDefault="00327399" w14:paraId="3FDE0854" w14:textId="2F8DA998">
      <w:pPr>
        <w:pStyle w:val="Lijstalinea"/>
        <w:numPr>
          <w:ilvl w:val="0"/>
          <w:numId w:val="9"/>
        </w:numPr>
        <w:rPr>
          <w:b/>
          <w:bCs/>
          <w:lang w:val="nl-BE"/>
        </w:rPr>
      </w:pPr>
      <w:bookmarkStart w:name="_Hlk225341631" w:id="4"/>
      <w:r>
        <w:rPr>
          <w:b/>
          <w:bCs/>
        </w:rPr>
        <w:t>V</w:t>
      </w:r>
      <w:r w:rsidRPr="00F95FC7" w:rsidR="00F95FC7">
        <w:rPr>
          <w:b/>
          <w:bCs/>
        </w:rPr>
        <w:t>erbetertraject adolescentenstrafrecht</w:t>
      </w:r>
    </w:p>
    <w:p w:rsidR="0070563E" w:rsidP="0040440B" w:rsidRDefault="00D0418D" w14:paraId="6AF684A7" w14:textId="25F2CD60">
      <w:pPr>
        <w:rPr>
          <w:lang w:val="nl-BE"/>
        </w:rPr>
      </w:pPr>
      <w:r>
        <w:rPr>
          <w:lang w:val="nl-BE"/>
        </w:rPr>
        <w:t>In 2014 is het adolescentenstra</w:t>
      </w:r>
      <w:r w:rsidR="00D148DA">
        <w:rPr>
          <w:lang w:val="nl-BE"/>
        </w:rPr>
        <w:t>f</w:t>
      </w:r>
      <w:r>
        <w:rPr>
          <w:lang w:val="nl-BE"/>
        </w:rPr>
        <w:t>recht</w:t>
      </w:r>
      <w:r w:rsidR="00FB1A87">
        <w:rPr>
          <w:lang w:val="nl-BE"/>
        </w:rPr>
        <w:t xml:space="preserve"> (ASR)</w:t>
      </w:r>
      <w:r>
        <w:rPr>
          <w:lang w:val="nl-BE"/>
        </w:rPr>
        <w:t xml:space="preserve"> ingevoerd</w:t>
      </w:r>
      <w:r w:rsidR="00137E7D">
        <w:rPr>
          <w:lang w:val="nl-BE"/>
        </w:rPr>
        <w:t>,</w:t>
      </w:r>
      <w:r>
        <w:rPr>
          <w:lang w:val="nl-BE"/>
        </w:rPr>
        <w:t xml:space="preserve"> </w:t>
      </w:r>
      <w:r w:rsidR="00D148DA">
        <w:rPr>
          <w:lang w:val="nl-BE"/>
        </w:rPr>
        <w:t>wat</w:t>
      </w:r>
      <w:r>
        <w:rPr>
          <w:lang w:val="nl-BE"/>
        </w:rPr>
        <w:t xml:space="preserve"> flexibele toepassing van het jeugdstrafrecht en het volwassenstrafrecht mogelijk maakt bij adolescenten (16- tot 2</w:t>
      </w:r>
      <w:r w:rsidR="00AF101A">
        <w:rPr>
          <w:lang w:val="nl-BE"/>
        </w:rPr>
        <w:t>3</w:t>
      </w:r>
      <w:r>
        <w:rPr>
          <w:lang w:val="nl-BE"/>
        </w:rPr>
        <w:t>-jarigen). Het W</w:t>
      </w:r>
      <w:r w:rsidR="00137E7D">
        <w:rPr>
          <w:lang w:val="nl-BE"/>
        </w:rPr>
        <w:t>ODC</w:t>
      </w:r>
      <w:r>
        <w:rPr>
          <w:lang w:val="nl-BE"/>
        </w:rPr>
        <w:t xml:space="preserve"> heeft het </w:t>
      </w:r>
      <w:r w:rsidR="00FB1A87">
        <w:rPr>
          <w:lang w:val="nl-BE"/>
        </w:rPr>
        <w:t>ASR</w:t>
      </w:r>
      <w:r>
        <w:rPr>
          <w:lang w:val="nl-BE"/>
        </w:rPr>
        <w:t xml:space="preserve"> </w:t>
      </w:r>
      <w:r w:rsidR="00D148DA">
        <w:rPr>
          <w:lang w:val="nl-BE"/>
        </w:rPr>
        <w:t>geëvalueerd</w:t>
      </w:r>
      <w:r>
        <w:rPr>
          <w:lang w:val="nl-BE"/>
        </w:rPr>
        <w:t xml:space="preserve"> en een aantal knelpunten in de toepassing </w:t>
      </w:r>
      <w:r w:rsidR="00D148DA">
        <w:rPr>
          <w:lang w:val="nl-BE"/>
        </w:rPr>
        <w:t>geconstateerd</w:t>
      </w:r>
      <w:r>
        <w:rPr>
          <w:lang w:val="nl-BE"/>
        </w:rPr>
        <w:t xml:space="preserve">, uiteenlopend van </w:t>
      </w:r>
      <w:r>
        <w:t>p</w:t>
      </w:r>
      <w:r w:rsidRPr="00D0418D">
        <w:t xml:space="preserve">roblemen met de toeleiding naar het </w:t>
      </w:r>
      <w:r w:rsidR="00FB1A87">
        <w:rPr>
          <w:lang w:val="nl-BE"/>
        </w:rPr>
        <w:t xml:space="preserve">ASR </w:t>
      </w:r>
      <w:r w:rsidRPr="00D0418D">
        <w:t xml:space="preserve">en </w:t>
      </w:r>
      <w:r>
        <w:t xml:space="preserve">de kennis van </w:t>
      </w:r>
      <w:r w:rsidR="00D148DA">
        <w:t>professionals</w:t>
      </w:r>
      <w:r>
        <w:t xml:space="preserve"> </w:t>
      </w:r>
      <w:r w:rsidR="00D148DA">
        <w:t xml:space="preserve">daarover </w:t>
      </w:r>
      <w:r>
        <w:t xml:space="preserve">tot </w:t>
      </w:r>
      <w:r w:rsidRPr="00D0418D">
        <w:t>de beschikbaarheid en financiering van forensische jeugdhulp.</w:t>
      </w:r>
      <w:r w:rsidR="00FD0684">
        <w:rPr>
          <w:rStyle w:val="Voetnootmarkering"/>
        </w:rPr>
        <w:footnoteReference w:id="20"/>
      </w:r>
      <w:r w:rsidRPr="00D0418D">
        <w:rPr>
          <w:lang w:val="nl-BE"/>
        </w:rPr>
        <w:t xml:space="preserve"> </w:t>
      </w:r>
      <w:r>
        <w:rPr>
          <w:lang w:val="nl-BE"/>
        </w:rPr>
        <w:t>In reactie op de aanbevelingen uit het onderzoek is i</w:t>
      </w:r>
      <w:r w:rsidRPr="00D0418D">
        <w:rPr>
          <w:lang w:val="nl-BE"/>
        </w:rPr>
        <w:t xml:space="preserve">n 2022 het </w:t>
      </w:r>
      <w:r w:rsidR="00D148DA">
        <w:rPr>
          <w:lang w:val="nl-BE"/>
        </w:rPr>
        <w:t>V</w:t>
      </w:r>
      <w:r w:rsidRPr="00D0418D">
        <w:rPr>
          <w:lang w:val="nl-BE"/>
        </w:rPr>
        <w:t xml:space="preserve">erbetertraject </w:t>
      </w:r>
      <w:r w:rsidR="00FB1A87">
        <w:rPr>
          <w:lang w:val="nl-BE"/>
        </w:rPr>
        <w:t xml:space="preserve">ASR </w:t>
      </w:r>
      <w:r w:rsidR="00D148DA">
        <w:rPr>
          <w:lang w:val="nl-BE"/>
        </w:rPr>
        <w:t>van start gegaan</w:t>
      </w:r>
      <w:r w:rsidRPr="00D0418D">
        <w:rPr>
          <w:lang w:val="nl-BE"/>
        </w:rPr>
        <w:t xml:space="preserve">. In dit verbetertraject </w:t>
      </w:r>
      <w:r>
        <w:rPr>
          <w:lang w:val="nl-BE"/>
        </w:rPr>
        <w:t>is door d</w:t>
      </w:r>
      <w:r w:rsidRPr="00D0418D">
        <w:rPr>
          <w:lang w:val="nl-BE"/>
        </w:rPr>
        <w:t>e betrokken ketenpartners</w:t>
      </w:r>
      <w:r w:rsidR="00137E7D">
        <w:rPr>
          <w:lang w:val="nl-BE"/>
        </w:rPr>
        <w:t xml:space="preserve"> </w:t>
      </w:r>
      <w:r>
        <w:rPr>
          <w:lang w:val="nl-BE"/>
        </w:rPr>
        <w:t>onder begeleiding van mijn ministerie de afgelopen jaren gewerkt aan het</w:t>
      </w:r>
      <w:r w:rsidRPr="00D0418D">
        <w:rPr>
          <w:lang w:val="nl-BE"/>
        </w:rPr>
        <w:t xml:space="preserve"> oplossen van knelpunten i</w:t>
      </w:r>
      <w:r>
        <w:rPr>
          <w:lang w:val="nl-BE"/>
        </w:rPr>
        <w:t>n</w:t>
      </w:r>
      <w:r w:rsidRPr="00D0418D">
        <w:rPr>
          <w:lang w:val="nl-BE"/>
        </w:rPr>
        <w:t xml:space="preserve"> de uitvoeringspraktijk</w:t>
      </w:r>
      <w:r>
        <w:rPr>
          <w:lang w:val="nl-BE"/>
        </w:rPr>
        <w:t>.</w:t>
      </w:r>
      <w:r w:rsidR="00137E7D">
        <w:rPr>
          <w:rStyle w:val="Voetnootmarkering"/>
          <w:lang w:val="nl-BE"/>
        </w:rPr>
        <w:footnoteReference w:id="21"/>
      </w:r>
      <w:r w:rsidRPr="00D0418D" w:rsidR="00137E7D">
        <w:rPr>
          <w:lang w:val="nl-BE"/>
        </w:rPr>
        <w:t xml:space="preserve"> </w:t>
      </w:r>
      <w:r w:rsidR="00FD0684">
        <w:rPr>
          <w:lang w:val="nl-BE"/>
        </w:rPr>
        <w:t>Uw Kamer is op de hoogte gehouden van de voortgang</w:t>
      </w:r>
      <w:r w:rsidR="00F33BE4">
        <w:rPr>
          <w:lang w:val="nl-BE"/>
        </w:rPr>
        <w:t xml:space="preserve"> </w:t>
      </w:r>
      <w:r w:rsidR="00137E7D">
        <w:rPr>
          <w:lang w:val="nl-BE"/>
        </w:rPr>
        <w:t>hiervan</w:t>
      </w:r>
      <w:r w:rsidR="00FD0684">
        <w:rPr>
          <w:lang w:val="nl-BE"/>
        </w:rPr>
        <w:t>.</w:t>
      </w:r>
      <w:r w:rsidR="00FD0684">
        <w:rPr>
          <w:rStyle w:val="Voetnootmarkering"/>
          <w:lang w:val="nl-BE"/>
        </w:rPr>
        <w:footnoteReference w:id="22"/>
      </w:r>
      <w:r w:rsidR="00FD0684">
        <w:rPr>
          <w:lang w:val="nl-BE"/>
        </w:rPr>
        <w:t xml:space="preserve"> </w:t>
      </w:r>
    </w:p>
    <w:p w:rsidR="0070563E" w:rsidP="0040440B" w:rsidRDefault="0070563E" w14:paraId="118E29A9" w14:textId="77777777">
      <w:pPr>
        <w:rPr>
          <w:lang w:val="nl-BE"/>
        </w:rPr>
      </w:pPr>
    </w:p>
    <w:p w:rsidR="0070563E" w:rsidP="0040440B" w:rsidRDefault="0070563E" w14:paraId="2A3941F8" w14:textId="0B34D7CF">
      <w:pPr>
        <w:rPr>
          <w:lang w:val="nl-BE"/>
        </w:rPr>
      </w:pPr>
      <w:r>
        <w:rPr>
          <w:lang w:val="nl-BE"/>
        </w:rPr>
        <w:t xml:space="preserve">Een van de meest recente opbrengsten van </w:t>
      </w:r>
      <w:r w:rsidR="0084260A">
        <w:rPr>
          <w:lang w:val="nl-BE"/>
        </w:rPr>
        <w:t>het</w:t>
      </w:r>
      <w:r>
        <w:rPr>
          <w:lang w:val="nl-BE"/>
        </w:rPr>
        <w:t xml:space="preserve"> </w:t>
      </w:r>
      <w:r w:rsidR="00FB1A87">
        <w:rPr>
          <w:lang w:val="nl-BE"/>
        </w:rPr>
        <w:t>V</w:t>
      </w:r>
      <w:r>
        <w:rPr>
          <w:lang w:val="nl-BE"/>
        </w:rPr>
        <w:t xml:space="preserve">erbetertraject is het gereedkomen van een Herziend </w:t>
      </w:r>
      <w:proofErr w:type="spellStart"/>
      <w:r>
        <w:rPr>
          <w:lang w:val="nl-BE"/>
        </w:rPr>
        <w:t>Wegingsinstumentarium</w:t>
      </w:r>
      <w:proofErr w:type="spellEnd"/>
      <w:r>
        <w:rPr>
          <w:lang w:val="nl-BE"/>
        </w:rPr>
        <w:t xml:space="preserve"> </w:t>
      </w:r>
      <w:r w:rsidR="00FB1A87">
        <w:rPr>
          <w:lang w:val="nl-BE"/>
        </w:rPr>
        <w:t>ASR</w:t>
      </w:r>
      <w:r>
        <w:rPr>
          <w:lang w:val="nl-BE"/>
        </w:rPr>
        <w:t>.</w:t>
      </w:r>
      <w:r w:rsidR="0084260A">
        <w:rPr>
          <w:rStyle w:val="Voetnootmarkering"/>
          <w:lang w:val="nl-BE"/>
        </w:rPr>
        <w:footnoteReference w:id="23"/>
      </w:r>
      <w:r>
        <w:rPr>
          <w:lang w:val="nl-BE"/>
        </w:rPr>
        <w:t xml:space="preserve"> </w:t>
      </w:r>
      <w:r w:rsidR="0084260A">
        <w:rPr>
          <w:lang w:val="nl-BE"/>
        </w:rPr>
        <w:t>Op dit moment bestaan verschillende instrumenten voor de selectie van de doelgroep</w:t>
      </w:r>
      <w:r w:rsidR="00FB1A87">
        <w:rPr>
          <w:lang w:val="nl-BE"/>
        </w:rPr>
        <w:t xml:space="preserve"> voor de toepassing van het ASR</w:t>
      </w:r>
      <w:r w:rsidR="0084260A">
        <w:rPr>
          <w:lang w:val="nl-BE"/>
        </w:rPr>
        <w:t xml:space="preserve">. Die instrumenten hanteren </w:t>
      </w:r>
      <w:r w:rsidR="00FB1A87">
        <w:rPr>
          <w:lang w:val="nl-BE"/>
        </w:rPr>
        <w:t xml:space="preserve">op onderdelen </w:t>
      </w:r>
      <w:r w:rsidR="0084260A">
        <w:rPr>
          <w:lang w:val="nl-BE"/>
        </w:rPr>
        <w:t xml:space="preserve">verschillende items en definities. Daarnaast </w:t>
      </w:r>
      <w:r w:rsidRPr="0084260A" w:rsidR="0084260A">
        <w:t xml:space="preserve">bevatten </w:t>
      </w:r>
      <w:r w:rsidR="00FB1A87">
        <w:t>ze</w:t>
      </w:r>
      <w:r w:rsidRPr="0084260A" w:rsidR="0084260A">
        <w:t xml:space="preserve"> </w:t>
      </w:r>
      <w:r w:rsidR="00137E7D">
        <w:t>verschillende</w:t>
      </w:r>
      <w:r w:rsidRPr="0084260A" w:rsidR="0084260A">
        <w:t xml:space="preserve"> </w:t>
      </w:r>
      <w:r w:rsidR="00F33BE4">
        <w:t>onderdelen</w:t>
      </w:r>
      <w:r w:rsidRPr="0084260A" w:rsidR="0084260A">
        <w:t xml:space="preserve"> die in tegenspraak zijn met (de bedoeling van) </w:t>
      </w:r>
      <w:r w:rsidR="0084260A">
        <w:t xml:space="preserve">het </w:t>
      </w:r>
      <w:r w:rsidR="00137E7D">
        <w:t>ASR</w:t>
      </w:r>
      <w:r w:rsidRPr="0084260A" w:rsidR="0084260A">
        <w:t xml:space="preserve"> </w:t>
      </w:r>
      <w:r w:rsidR="00F33BE4">
        <w:t>of</w:t>
      </w:r>
      <w:r w:rsidR="0084260A">
        <w:t xml:space="preserve"> </w:t>
      </w:r>
      <w:r w:rsidR="00FB1A87">
        <w:t>die</w:t>
      </w:r>
      <w:r w:rsidRPr="0084260A" w:rsidR="0084260A">
        <w:t xml:space="preserve"> </w:t>
      </w:r>
      <w:r w:rsidR="00FB1A87">
        <w:t>niet bijdrage</w:t>
      </w:r>
      <w:r w:rsidR="00137E7D">
        <w:t>n</w:t>
      </w:r>
      <w:r w:rsidR="00FB1A87">
        <w:t xml:space="preserve"> aan de selectie van de doelgroep</w:t>
      </w:r>
      <w:r w:rsidRPr="0084260A" w:rsidR="0084260A">
        <w:t>.</w:t>
      </w:r>
      <w:r w:rsidR="0084260A">
        <w:t xml:space="preserve"> </w:t>
      </w:r>
      <w:r>
        <w:t>O</w:t>
      </w:r>
      <w:r w:rsidRPr="0070563E">
        <w:t xml:space="preserve">p basis van wetenschappelijke literatuur </w:t>
      </w:r>
      <w:r>
        <w:t xml:space="preserve">is een </w:t>
      </w:r>
      <w:r w:rsidRPr="0070563E">
        <w:t>herziend instrument ontwikkel</w:t>
      </w:r>
      <w:r>
        <w:t>d</w:t>
      </w:r>
      <w:r w:rsidR="00137E7D">
        <w:t>,</w:t>
      </w:r>
      <w:r w:rsidRPr="0070563E">
        <w:t xml:space="preserve"> </w:t>
      </w:r>
      <w:r w:rsidR="00FB1A87">
        <w:t>dat</w:t>
      </w:r>
      <w:r w:rsidRPr="0070563E">
        <w:t xml:space="preserve"> </w:t>
      </w:r>
      <w:r>
        <w:t>kan worden gebruikt</w:t>
      </w:r>
      <w:r w:rsidRPr="0070563E">
        <w:t xml:space="preserve"> bij de advisering of besluitvorming over de toepassing van het </w:t>
      </w:r>
      <w:r w:rsidR="00FB1A87">
        <w:rPr>
          <w:lang w:val="nl-BE"/>
        </w:rPr>
        <w:t xml:space="preserve">ASR </w:t>
      </w:r>
      <w:r w:rsidR="00FB1A87">
        <w:t xml:space="preserve">op jongvolwassenen. Dit moet leiden tot een meer uniforme selectie van de beoogde doelgroep. Op dit moment wordt onderzocht wat voor de ketenpartners nodig is om het herziene instrument te gaan gebruiken (aan opleiding, ICT-aanpassingen, gegevensdeling en dergelijke). </w:t>
      </w:r>
    </w:p>
    <w:p w:rsidR="0070563E" w:rsidP="0040440B" w:rsidRDefault="0070563E" w14:paraId="536E461E" w14:textId="77777777">
      <w:pPr>
        <w:rPr>
          <w:lang w:val="nl-BE"/>
        </w:rPr>
      </w:pPr>
    </w:p>
    <w:p w:rsidR="00FB1A87" w:rsidP="0040440B" w:rsidRDefault="00FB1A87" w14:paraId="13F877EC" w14:textId="755369A3">
      <w:r>
        <w:t>Daarnaast heeft de</w:t>
      </w:r>
      <w:r w:rsidRPr="00FB1A87">
        <w:t xml:space="preserve"> volwassenreclassering, samen met de andere ketenpartners, de succesfactoren en uitdagingen van de ASR-teams in kaart</w:t>
      </w:r>
      <w:r>
        <w:t xml:space="preserve"> gebracht</w:t>
      </w:r>
      <w:r w:rsidRPr="00FB1A87">
        <w:t xml:space="preserve">. </w:t>
      </w:r>
      <w:r>
        <w:t>Deze ASR-team</w:t>
      </w:r>
      <w:r w:rsidR="00CD0F67">
        <w:t>s</w:t>
      </w:r>
      <w:r>
        <w:t xml:space="preserve"> </w:t>
      </w:r>
      <w:r w:rsidR="00F33BE4">
        <w:t>betreffen</w:t>
      </w:r>
      <w:r>
        <w:t xml:space="preserve"> een samenwerking van ketenpartners waarin ASR-zaken worden besproken om zo maatwerk te kunnen bieden. Op dit moment</w:t>
      </w:r>
      <w:r w:rsidRPr="00FB1A87">
        <w:t xml:space="preserve"> wordt </w:t>
      </w:r>
      <w:r>
        <w:t>bezien</w:t>
      </w:r>
      <w:r w:rsidRPr="00FB1A87">
        <w:t xml:space="preserve"> </w:t>
      </w:r>
      <w:r w:rsidR="00CD0F67">
        <w:t xml:space="preserve">of en </w:t>
      </w:r>
      <w:r w:rsidRPr="00FB1A87">
        <w:t xml:space="preserve">hoe </w:t>
      </w:r>
      <w:r w:rsidR="00F33BE4">
        <w:t xml:space="preserve">de </w:t>
      </w:r>
      <w:r w:rsidR="00D916D7">
        <w:t>geïnventariseerde</w:t>
      </w:r>
      <w:r w:rsidRPr="00FB1A87">
        <w:t xml:space="preserve"> succesfactoren (meer) kunnen worden benut. </w:t>
      </w:r>
      <w:r w:rsidRPr="00CD0F67" w:rsidR="00CD0F67">
        <w:t>Daar</w:t>
      </w:r>
      <w:r w:rsidR="00CD0F67">
        <w:t>naast</w:t>
      </w:r>
      <w:r w:rsidRPr="00CD0F67" w:rsidR="00CD0F67">
        <w:t xml:space="preserve"> is de samenwerking tussen de volwassenreclassering en de </w:t>
      </w:r>
      <w:proofErr w:type="spellStart"/>
      <w:r w:rsidR="00CD0F67">
        <w:t>R</w:t>
      </w:r>
      <w:r w:rsidR="00137E7D">
        <w:t>vdK</w:t>
      </w:r>
      <w:proofErr w:type="spellEnd"/>
      <w:r w:rsidRPr="00CD0F67" w:rsidR="00CD0F67">
        <w:t xml:space="preserve"> versterkt </w:t>
      </w:r>
      <w:r w:rsidR="00CD0F67">
        <w:t>door</w:t>
      </w:r>
      <w:r w:rsidRPr="00CD0F67" w:rsidR="00CD0F67">
        <w:t xml:space="preserve"> het actualiseren van de samenwerkingsafspraken, zodat kennis over het jeugdstrafrecht meer uitgewisseld kan worden.</w:t>
      </w:r>
    </w:p>
    <w:p w:rsidR="00CD0F67" w:rsidP="0040440B" w:rsidRDefault="00CD0F67" w14:paraId="56F32306" w14:textId="77777777"/>
    <w:p w:rsidR="00FB1A87" w:rsidP="0040440B" w:rsidRDefault="00CD0F67" w14:paraId="067FD418" w14:textId="7C5E75DA">
      <w:r>
        <w:t>In h</w:t>
      </w:r>
      <w:r w:rsidRPr="00CD0F67">
        <w:t xml:space="preserve">et nieuwe Wetboek van Strafvordering worden </w:t>
      </w:r>
      <w:r>
        <w:t xml:space="preserve">daarnaast </w:t>
      </w:r>
      <w:r w:rsidRPr="00CD0F67">
        <w:t>stap</w:t>
      </w:r>
      <w:r>
        <w:t>pen</w:t>
      </w:r>
      <w:r w:rsidRPr="00CD0F67">
        <w:t xml:space="preserve"> gezet in het verbinden van de volwassenstrafrechtketen en de jeugdstrafrechtketen. </w:t>
      </w:r>
      <w:r>
        <w:t>Zo wordt het mogelijk om</w:t>
      </w:r>
      <w:r w:rsidRPr="00CD0F67">
        <w:t xml:space="preserve"> de Raad voor de Kinderbescherming een adviesrol </w:t>
      </w:r>
      <w:r>
        <w:t>te laten</w:t>
      </w:r>
      <w:r w:rsidRPr="00CD0F67">
        <w:t xml:space="preserve"> vervullen </w:t>
      </w:r>
      <w:r>
        <w:t>voor</w:t>
      </w:r>
      <w:r w:rsidRPr="00CD0F67">
        <w:t xml:space="preserve"> jongvolwassen verdachten (artikel 6.1.29</w:t>
      </w:r>
      <w:r w:rsidR="00137E7D">
        <w:t>,</w:t>
      </w:r>
      <w:r w:rsidRPr="00CD0F67">
        <w:t xml:space="preserve"> </w:t>
      </w:r>
      <w:r w:rsidR="00B32E45">
        <w:t xml:space="preserve">tweede </w:t>
      </w:r>
      <w:r w:rsidRPr="00CD0F67">
        <w:t xml:space="preserve">lid). </w:t>
      </w:r>
      <w:r>
        <w:t>Ook wordt het mogelijk voor de rechter om</w:t>
      </w:r>
      <w:r w:rsidRPr="00F70A15" w:rsidR="00F70A15">
        <w:t xml:space="preserve"> ambtshalve</w:t>
      </w:r>
      <w:r>
        <w:t>, zonder vordering daartoe van de officier van justitie,</w:t>
      </w:r>
      <w:r w:rsidR="00F70A15">
        <w:t xml:space="preserve"> te </w:t>
      </w:r>
      <w:r w:rsidRPr="00F70A15" w:rsidR="00F70A15">
        <w:t>besluiten dat de jongvolwassene in aanmerking moet komen voor een behandeling als jeugdige</w:t>
      </w:r>
      <w:r w:rsidR="00F70A15">
        <w:t xml:space="preserve"> in de berechtingsfase (artikel 6.1.28)</w:t>
      </w:r>
      <w:r w:rsidRPr="00F70A15" w:rsidR="00F70A15">
        <w:t>.</w:t>
      </w:r>
    </w:p>
    <w:p w:rsidR="00CD0F67" w:rsidP="0040440B" w:rsidRDefault="00CD0F67" w14:paraId="5F9126B9" w14:textId="77777777"/>
    <w:p w:rsidRPr="00D0418D" w:rsidR="0070563E" w:rsidP="0040440B" w:rsidRDefault="0070563E" w14:paraId="102CB69B" w14:textId="40DF50B6">
      <w:r w:rsidRPr="00D0418D">
        <w:t xml:space="preserve">Met de projectgroep is verkend welke </w:t>
      </w:r>
      <w:r>
        <w:t>onderdelen van het verbetertraject</w:t>
      </w:r>
      <w:r w:rsidRPr="00D0418D">
        <w:t xml:space="preserve"> </w:t>
      </w:r>
      <w:r w:rsidR="00D916D7">
        <w:t xml:space="preserve">inmiddels voldoende aandacht krijgen en welke </w:t>
      </w:r>
      <w:r w:rsidRPr="00D0418D">
        <w:t xml:space="preserve">nog </w:t>
      </w:r>
      <w:r w:rsidR="00D916D7">
        <w:t xml:space="preserve">verdere </w:t>
      </w:r>
      <w:r w:rsidRPr="00D0418D">
        <w:t>aandacht behoeven. De</w:t>
      </w:r>
      <w:r>
        <w:t xml:space="preserve">ze </w:t>
      </w:r>
      <w:r w:rsidR="00D916D7">
        <w:t xml:space="preserve">laatste onderdelen </w:t>
      </w:r>
      <w:r w:rsidRPr="00D0418D">
        <w:t xml:space="preserve">worden </w:t>
      </w:r>
      <w:r w:rsidR="00A10059">
        <w:t xml:space="preserve">waar mogelijk </w:t>
      </w:r>
      <w:r w:rsidR="00D916D7">
        <w:t xml:space="preserve">verder gebracht door de betrokken ketenpartners. De projectstructuur van </w:t>
      </w:r>
      <w:r w:rsidRPr="00D0418D" w:rsidR="00D916D7">
        <w:t xml:space="preserve">het verbetertraject </w:t>
      </w:r>
      <w:r w:rsidR="00D916D7">
        <w:t xml:space="preserve">onder </w:t>
      </w:r>
      <w:r w:rsidR="00D916D7">
        <w:rPr>
          <w:lang w:val="nl-BE"/>
        </w:rPr>
        <w:t>begeleiding van mijn ministerie</w:t>
      </w:r>
      <w:r w:rsidR="00D916D7">
        <w:t xml:space="preserve"> houdt op te bestaan. </w:t>
      </w:r>
      <w:r w:rsidRPr="00D0418D">
        <w:t>Deze keuze is mede ingegeven door de taakstelling.</w:t>
      </w:r>
      <w:r w:rsidR="00D916D7">
        <w:t xml:space="preserve"> Daarmee komt een einde aan het verbetertraject. Wel blijft mijn ministerie </w:t>
      </w:r>
      <w:r w:rsidR="00F33BE4">
        <w:t xml:space="preserve">de kennisuitwisseling en </w:t>
      </w:r>
      <w:r w:rsidR="00D916D7">
        <w:t xml:space="preserve">de netwerkfunctie </w:t>
      </w:r>
      <w:r w:rsidR="00F33BE4">
        <w:t>die het verbetertraject had</w:t>
      </w:r>
      <w:r w:rsidR="00137E7D">
        <w:t>,</w:t>
      </w:r>
      <w:r w:rsidR="00D916D7">
        <w:t xml:space="preserve"> ondersteunen. </w:t>
      </w:r>
    </w:p>
    <w:bookmarkEnd w:id="4"/>
    <w:p w:rsidRPr="00CA6BE7" w:rsidR="00D0418D" w:rsidP="0040440B" w:rsidRDefault="00D0418D" w14:paraId="6E3378A8" w14:textId="77777777">
      <w:pPr>
        <w:rPr>
          <w:b/>
          <w:bCs/>
          <w:lang w:val="nl-BE"/>
        </w:rPr>
      </w:pPr>
    </w:p>
    <w:p w:rsidRPr="009C4FFD" w:rsidR="00955893" w:rsidP="0040440B" w:rsidRDefault="002A17C9" w14:paraId="383A8F69" w14:textId="0FF71136">
      <w:pPr>
        <w:pStyle w:val="Lijstalinea"/>
        <w:numPr>
          <w:ilvl w:val="0"/>
          <w:numId w:val="9"/>
        </w:numPr>
        <w:rPr>
          <w:b/>
          <w:bCs/>
          <w:lang w:val="nl-BE"/>
        </w:rPr>
      </w:pPr>
      <w:r>
        <w:rPr>
          <w:b/>
          <w:bCs/>
        </w:rPr>
        <w:t>Beleids</w:t>
      </w:r>
      <w:r w:rsidRPr="00F95FC7" w:rsidR="00F95FC7">
        <w:rPr>
          <w:b/>
          <w:bCs/>
        </w:rPr>
        <w:t>reactie op het RSJ-advies ‘Een nieuw perspectief op buitenstrafrechtelijke afdoeningen voor jeugdigen’</w:t>
      </w:r>
    </w:p>
    <w:p w:rsidRPr="009C4FFD" w:rsidR="009C4FFD" w:rsidP="0040440B" w:rsidRDefault="009C4FFD" w14:paraId="26D8CD70" w14:textId="01C6396A">
      <w:r w:rsidRPr="009C4FFD">
        <w:t>Op 8 september 2025 is het RSJ</w:t>
      </w:r>
      <w:r w:rsidR="00137E7D">
        <w:t>-</w:t>
      </w:r>
      <w:r w:rsidRPr="009C4FFD">
        <w:t>advies “</w:t>
      </w:r>
      <w:r w:rsidR="00137E7D">
        <w:t>E</w:t>
      </w:r>
      <w:r w:rsidRPr="009C4FFD">
        <w:t>en nieuw perspectief op buitenstrafrechtelijke afdoeningen” </w:t>
      </w:r>
      <w:r w:rsidR="00137E7D">
        <w:t>gepubliceerd.</w:t>
      </w:r>
      <w:r w:rsidRPr="009C4FFD">
        <w:t xml:space="preserve"> In dit advies zijn door de RSJ aanbevelingen geformuleerd</w:t>
      </w:r>
      <w:r w:rsidR="00137E7D">
        <w:t>,</w:t>
      </w:r>
      <w:r w:rsidRPr="009C4FFD">
        <w:t xml:space="preserve"> die zien op optimalisatie van het huidige systeem van buitenstrafrechtelijke afdoeningen, denk hierbij aan een betere informatievoorziening aan slachtoffers en advocaten of een gelijke toegang tot buitenstrafrechtelijke afdoeningen. Daarnaast doet de RSJ ook aanbevelingen die meer fundamenteel van aard zijn</w:t>
      </w:r>
      <w:r w:rsidR="00137E7D">
        <w:t>,</w:t>
      </w:r>
      <w:r w:rsidRPr="009C4FFD">
        <w:t xml:space="preserve"> zoals het voorstel om te voorzien in een breder en meer gevarieerd aanbod, ook voor zwaardere strafbare feiten. </w:t>
      </w:r>
    </w:p>
    <w:p w:rsidR="009C4FFD" w:rsidP="0040440B" w:rsidRDefault="009C4FFD" w14:paraId="3729AF5A" w14:textId="77777777"/>
    <w:p w:rsidRPr="009C4FFD" w:rsidR="009C4FFD" w:rsidP="0040440B" w:rsidRDefault="009C4FFD" w14:paraId="664E0B91" w14:textId="42851E5E">
      <w:r w:rsidRPr="009C4FFD">
        <w:t>Op dit moment wordt met de jeugdstrafrechtketenpartners de noodzaak en de wenselijkheid tot verbetering van het stelsel van buitenstrafrechtelijke afdoeningen verkend, waarbij de individuele aanbevelingen in samenhang worden bezien en besproken. Een belangrijk uitgangspunt hierbij is het belang van het kind, dat als eerste overweging geldt bij het maken van beleid dat kinderen raakt</w:t>
      </w:r>
      <w:r w:rsidR="00137E7D">
        <w:t>,</w:t>
      </w:r>
      <w:r w:rsidRPr="009C4FFD">
        <w:t xml:space="preserve"> conform artikel 3 uit het Internationaal Verdrag inzake de Rechten voor het Kind</w:t>
      </w:r>
      <w:r w:rsidR="00137E7D">
        <w:t xml:space="preserve"> (</w:t>
      </w:r>
      <w:r w:rsidRPr="009C4FFD">
        <w:t>IVRK). Overige belangen in het jeugdstrafrecht worden ook meegewogen</w:t>
      </w:r>
      <w:r w:rsidR="00137E7D">
        <w:t>,</w:t>
      </w:r>
      <w:r w:rsidRPr="009C4FFD">
        <w:t xml:space="preserve"> zoals maatschappelijke veiligheid, vergelding en genoegdoening voor het slachtoffer. Daarnaast worden ook</w:t>
      </w:r>
      <w:r w:rsidR="00753075">
        <w:t xml:space="preserve"> meer</w:t>
      </w:r>
      <w:r w:rsidRPr="009C4FFD">
        <w:t xml:space="preserve"> praktische overwegingen, zoals de haalbaarheid en financiering, meegenomen.</w:t>
      </w:r>
    </w:p>
    <w:p w:rsidR="00203E68" w:rsidP="0040440B" w:rsidRDefault="00753075" w14:paraId="5D886ECE" w14:textId="0547D6AD">
      <w:r>
        <w:t>Zodra deze verkenning gereed is, zal ik mijn standpunt daarover bepalen en dit met uw Kamer delen. Naar verwachting zal dit in het najaar van 2026 zijn.</w:t>
      </w:r>
    </w:p>
    <w:p w:rsidR="00203E68" w:rsidP="0040440B" w:rsidRDefault="00203E68" w14:paraId="33734B99" w14:textId="77777777"/>
    <w:p w:rsidRPr="00090DCE" w:rsidR="00090DCE" w:rsidP="0040440B" w:rsidRDefault="00090DCE" w14:paraId="582A4070" w14:textId="1E1AE033">
      <w:pPr>
        <w:pStyle w:val="Lijstalinea"/>
        <w:numPr>
          <w:ilvl w:val="0"/>
          <w:numId w:val="9"/>
        </w:numPr>
        <w:rPr>
          <w:b/>
          <w:bCs/>
        </w:rPr>
      </w:pPr>
      <w:r w:rsidRPr="00090DCE">
        <w:rPr>
          <w:b/>
          <w:bCs/>
        </w:rPr>
        <w:t>Jeugdreclassering in Verbinding</w:t>
      </w:r>
    </w:p>
    <w:p w:rsidR="00CE72A0" w:rsidP="00CE72A0" w:rsidRDefault="00CE72A0" w14:paraId="49E0BB59" w14:textId="5EAEB270">
      <w:r>
        <w:t>In de Verzamelbrief Justitiële Jeugd van 20 mei 2025</w:t>
      </w:r>
      <w:r>
        <w:rPr>
          <w:rStyle w:val="Voetnootmarkering"/>
        </w:rPr>
        <w:footnoteReference w:id="24"/>
      </w:r>
      <w:r>
        <w:t xml:space="preserve"> is uw Kamer gemeld dat de gezamenlijke </w:t>
      </w:r>
      <w:proofErr w:type="spellStart"/>
      <w:r>
        <w:t>GI’s</w:t>
      </w:r>
      <w:proofErr w:type="spellEnd"/>
      <w:r>
        <w:t xml:space="preserve"> de landelijke uniforme methodiek ‘Jeugdreclassering in</w:t>
      </w:r>
    </w:p>
    <w:p w:rsidR="00CE72A0" w:rsidP="00CE72A0" w:rsidRDefault="00CE72A0" w14:paraId="4D801AE6" w14:textId="77777777">
      <w:r>
        <w:t>Verbinding’ hebben opgeleverd en dat de implementatie daarvan in 2025 zal</w:t>
      </w:r>
    </w:p>
    <w:p w:rsidR="00CE72A0" w:rsidP="00CE72A0" w:rsidRDefault="00CE72A0" w14:paraId="4694D407" w14:textId="43EFD036">
      <w:r>
        <w:t>plaatsvinden. De nieuwe methodiek sluit (vergeleken met de huidige methodiek uit 2006) goed aan bij de huidige doelgroep en het type delicten wat zij plegen. Daarnaast borgt een landelijk uniforme methodiek een eenduidige</w:t>
      </w:r>
      <w:r w:rsidR="00BA77BB">
        <w:t xml:space="preserve"> </w:t>
      </w:r>
      <w:r>
        <w:t>begeleidingsmethode, wat rechtsgelijkheid voor jongeren in Nederland ten goede komt.</w:t>
      </w:r>
    </w:p>
    <w:p w:rsidR="00CE72A0" w:rsidP="00CE72A0" w:rsidRDefault="00CE72A0" w14:paraId="5696EEA7" w14:textId="77777777">
      <w:r>
        <w:t>Inmiddels is gebleken (op grond van het opgestelde kwaliteitskader en</w:t>
      </w:r>
    </w:p>
    <w:p w:rsidR="00CE72A0" w:rsidP="00CE72A0" w:rsidRDefault="00CE72A0" w14:paraId="71003B38" w14:textId="1D28F5C7">
      <w:r>
        <w:t>prestatiebeschrijving en urencalculatie jeugdreclassering) dat voor de</w:t>
      </w:r>
      <w:r w:rsidR="008923A7">
        <w:t xml:space="preserve"> </w:t>
      </w:r>
      <w:r>
        <w:t>uitvoering van Jeugdreclassering in Verbinding de huidige urennorm van de</w:t>
      </w:r>
      <w:r w:rsidR="008923A7">
        <w:t xml:space="preserve"> </w:t>
      </w:r>
      <w:r>
        <w:t>jeugdreclassering zou moeten worden verhoogd. Daar is een budget van ongeveer</w:t>
      </w:r>
    </w:p>
    <w:p w:rsidR="00CE72A0" w:rsidP="00CE72A0" w:rsidRDefault="00CE72A0" w14:paraId="30ECCA7B" w14:textId="77777777">
      <w:r>
        <w:t>30 miljoen euro per jaar voor nodig. Binnen het huidige systeem van bekostiging in het decentrale stelsel van de jeugdzorg waar de jeugdreclassering onder valt,</w:t>
      </w:r>
    </w:p>
    <w:p w:rsidR="00CE72A0" w:rsidP="00CE72A0" w:rsidRDefault="00CE72A0" w14:paraId="0720A355" w14:textId="77777777">
      <w:r>
        <w:t>zijn hier echter geen middelen voor beschikbaar. Dit betekent dat implementatie</w:t>
      </w:r>
    </w:p>
    <w:p w:rsidR="00CE72A0" w:rsidP="00CE72A0" w:rsidRDefault="00CE72A0" w14:paraId="09F1A896" w14:textId="7941A506">
      <w:r>
        <w:t>van de uniforme methodiek is uitgesteld. Momenteel</w:t>
      </w:r>
      <w:r w:rsidR="00BA77BB">
        <w:t xml:space="preserve"> </w:t>
      </w:r>
      <w:r>
        <w:t xml:space="preserve">wordt met alle betrokkenen onderzocht wat er wel mogelijk is. </w:t>
      </w:r>
    </w:p>
    <w:p w:rsidR="00E50BD3" w:rsidP="00CE72A0" w:rsidRDefault="00E50BD3" w14:paraId="00681418" w14:textId="77777777"/>
    <w:p w:rsidR="00E50BD3" w:rsidP="00CE72A0" w:rsidRDefault="00837B2B" w14:paraId="4F27C989" w14:textId="2631A803">
      <w:r>
        <w:t xml:space="preserve">Ik neem de zorgen die leven rondom de justitiële jeugd uiterst serieus. Met de voorgestelde maatregelen zet ik stappen om samen met alle betrokken partijen knelpunten aan te pakken. Alleen door gezamenlijke inspanning kunnen wij jongeren op het juiste pad krijgen en daarmee de samenleving veiliger maken. Ik reken daarbij op een constructieve samenwerking met uw Kamer. </w:t>
      </w:r>
    </w:p>
    <w:p w:rsidR="00924C4B" w:rsidP="0040440B" w:rsidRDefault="00924C4B" w14:paraId="7D93D348" w14:textId="30B21B2B"/>
    <w:p w:rsidR="00F778BE" w:rsidP="0040440B" w:rsidRDefault="00F778BE" w14:paraId="24B970B2" w14:textId="77777777"/>
    <w:p w:rsidR="00A028E6" w:rsidP="0040440B" w:rsidRDefault="00A028E6" w14:paraId="1828864F" w14:textId="0ED94E9E">
      <w:r w:rsidRPr="00A028E6">
        <w:t>De Staatssecretaris van Justitie en Veiligheid</w:t>
      </w:r>
      <w:r>
        <w:t>,</w:t>
      </w:r>
    </w:p>
    <w:p w:rsidR="00A028E6" w:rsidP="0040440B" w:rsidRDefault="00A028E6" w14:paraId="298B6203" w14:textId="77777777"/>
    <w:p w:rsidR="00A028E6" w:rsidP="0040440B" w:rsidRDefault="00A028E6" w14:paraId="0787FEA5" w14:textId="339F2B50"/>
    <w:p w:rsidR="00A028E6" w:rsidP="0040440B" w:rsidRDefault="00A028E6" w14:paraId="40BFA6F7" w14:textId="77777777"/>
    <w:p w:rsidR="00554943" w:rsidP="0040440B" w:rsidRDefault="00554943" w14:paraId="0D8173BC" w14:textId="77777777"/>
    <w:p w:rsidRPr="00914400" w:rsidR="00A028E6" w:rsidP="0040440B" w:rsidRDefault="00A028E6" w14:paraId="0EA2ADE8" w14:textId="2B7DA075">
      <w:r>
        <w:t>Claudia van Bruggen</w:t>
      </w:r>
    </w:p>
    <w:sectPr w:rsidRPr="00914400" w:rsidR="00A028E6">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C3D23" w14:textId="77777777" w:rsidR="001A78DE" w:rsidRDefault="001A78DE">
      <w:pPr>
        <w:spacing w:line="240" w:lineRule="auto"/>
      </w:pPr>
      <w:r>
        <w:separator/>
      </w:r>
    </w:p>
  </w:endnote>
  <w:endnote w:type="continuationSeparator" w:id="0">
    <w:p w14:paraId="33782C51" w14:textId="77777777" w:rsidR="001A78DE" w:rsidRDefault="001A7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BOBIO L+ Univer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A803" w14:textId="77777777" w:rsidR="008237B1" w:rsidRDefault="00823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1B54" w14:textId="77777777" w:rsidR="00924C4B" w:rsidRDefault="00924C4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4574" w14:textId="77777777" w:rsidR="008237B1" w:rsidRDefault="00823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F611" w14:textId="77777777" w:rsidR="001A78DE" w:rsidRDefault="001A78DE">
      <w:pPr>
        <w:spacing w:line="240" w:lineRule="auto"/>
      </w:pPr>
      <w:r>
        <w:separator/>
      </w:r>
    </w:p>
  </w:footnote>
  <w:footnote w:type="continuationSeparator" w:id="0">
    <w:p w14:paraId="6697BF32" w14:textId="77777777" w:rsidR="001A78DE" w:rsidRDefault="001A78DE">
      <w:pPr>
        <w:spacing w:line="240" w:lineRule="auto"/>
      </w:pPr>
      <w:r>
        <w:continuationSeparator/>
      </w:r>
    </w:p>
  </w:footnote>
  <w:footnote w:id="1">
    <w:p w14:paraId="44B779F6" w14:textId="6FAC9D74" w:rsidR="00EC74E9" w:rsidRPr="009C4FFD" w:rsidRDefault="00EC74E9">
      <w:pPr>
        <w:pStyle w:val="Voetnoottekst"/>
        <w:rPr>
          <w:sz w:val="16"/>
          <w:szCs w:val="16"/>
        </w:rPr>
      </w:pPr>
      <w:r w:rsidRPr="00FD0684">
        <w:rPr>
          <w:rStyle w:val="Voetnootmarkering"/>
          <w:sz w:val="16"/>
          <w:szCs w:val="16"/>
        </w:rPr>
        <w:footnoteRef/>
      </w:r>
      <w:r w:rsidRPr="00FD0684">
        <w:rPr>
          <w:sz w:val="16"/>
          <w:szCs w:val="16"/>
        </w:rPr>
        <w:t xml:space="preserve"> Kamerstukken II 2024/25, 24 587, nr. 994 en nr. 1047, 2025/26, 28741, nr. 131.</w:t>
      </w:r>
    </w:p>
  </w:footnote>
  <w:footnote w:id="2">
    <w:p w14:paraId="3784D323" w14:textId="4D165E90" w:rsidR="00EC74E9" w:rsidRPr="009C4FFD" w:rsidRDefault="00EC74E9">
      <w:pPr>
        <w:pStyle w:val="Voetnoottekst"/>
        <w:rPr>
          <w:sz w:val="16"/>
          <w:szCs w:val="16"/>
        </w:rPr>
      </w:pPr>
      <w:r w:rsidRPr="00FD0684">
        <w:rPr>
          <w:rStyle w:val="Voetnootmarkering"/>
          <w:sz w:val="16"/>
          <w:szCs w:val="16"/>
        </w:rPr>
        <w:footnoteRef/>
      </w:r>
      <w:r w:rsidRPr="00FD0684">
        <w:rPr>
          <w:sz w:val="16"/>
          <w:szCs w:val="16"/>
        </w:rPr>
        <w:t xml:space="preserve"> Kamerstukken II 2022/23, 24 587, nr. 881.</w:t>
      </w:r>
    </w:p>
  </w:footnote>
  <w:footnote w:id="3">
    <w:p w14:paraId="6E287E29" w14:textId="77777777" w:rsidR="00383C2B" w:rsidRPr="009C4FFD" w:rsidRDefault="00383C2B" w:rsidP="00383C2B">
      <w:pPr>
        <w:pStyle w:val="Voetnoottekst"/>
        <w:rPr>
          <w:sz w:val="16"/>
          <w:szCs w:val="16"/>
        </w:rPr>
      </w:pPr>
      <w:r w:rsidRPr="00FD0684">
        <w:rPr>
          <w:rStyle w:val="Voetnootmarkering"/>
          <w:sz w:val="16"/>
          <w:szCs w:val="16"/>
        </w:rPr>
        <w:footnoteRef/>
      </w:r>
      <w:r w:rsidRPr="00FD0684">
        <w:rPr>
          <w:sz w:val="16"/>
          <w:szCs w:val="16"/>
        </w:rPr>
        <w:t xml:space="preserve"> Kamerstukken II 2025/26, 28741, nr. 131.</w:t>
      </w:r>
    </w:p>
  </w:footnote>
  <w:footnote w:id="4">
    <w:p w14:paraId="3CCEB276" w14:textId="77777777" w:rsidR="004E4063" w:rsidRPr="009C4FFD" w:rsidRDefault="004E4063" w:rsidP="004E4063">
      <w:pPr>
        <w:pStyle w:val="Voetnoottekst"/>
        <w:rPr>
          <w:sz w:val="16"/>
          <w:szCs w:val="16"/>
        </w:rPr>
      </w:pPr>
      <w:r w:rsidRPr="00FD0684">
        <w:rPr>
          <w:rStyle w:val="Voetnootmarkering"/>
          <w:sz w:val="16"/>
          <w:szCs w:val="16"/>
        </w:rPr>
        <w:footnoteRef/>
      </w:r>
      <w:r w:rsidRPr="00FD0684">
        <w:rPr>
          <w:sz w:val="16"/>
          <w:szCs w:val="16"/>
        </w:rPr>
        <w:t xml:space="preserve"> </w:t>
      </w:r>
      <w:r w:rsidRPr="009C4FFD">
        <w:rPr>
          <w:sz w:val="16"/>
          <w:szCs w:val="16"/>
        </w:rPr>
        <w:t xml:space="preserve">Op dit moment zijn er nog verschillende groepen (nog) niet in gebruik als gevolg van het personeelstekort. </w:t>
      </w:r>
    </w:p>
  </w:footnote>
  <w:footnote w:id="5">
    <w:p w14:paraId="5C9E571F" w14:textId="77777777" w:rsidR="00E37D50" w:rsidRPr="009C4FFD" w:rsidRDefault="00E37D50" w:rsidP="00E37D50">
      <w:pPr>
        <w:pStyle w:val="Voetnoottekst"/>
        <w:rPr>
          <w:sz w:val="16"/>
          <w:szCs w:val="16"/>
        </w:rPr>
      </w:pPr>
      <w:r w:rsidRPr="00FD0684">
        <w:rPr>
          <w:rStyle w:val="Voetnootmarkering"/>
          <w:sz w:val="16"/>
          <w:szCs w:val="16"/>
        </w:rPr>
        <w:footnoteRef/>
      </w:r>
      <w:r w:rsidRPr="00FD0684">
        <w:rPr>
          <w:sz w:val="16"/>
          <w:szCs w:val="16"/>
        </w:rPr>
        <w:t xml:space="preserve"> Artikel 22 van de Beginselenwet justitiële jeugdinrichtingen.</w:t>
      </w:r>
    </w:p>
  </w:footnote>
  <w:footnote w:id="6">
    <w:p w14:paraId="4181305B" w14:textId="09957F3F" w:rsidR="00E37D50" w:rsidRPr="009C4FFD" w:rsidRDefault="00E37D50" w:rsidP="00E37D50">
      <w:pPr>
        <w:pStyle w:val="Voetnoottekst"/>
        <w:rPr>
          <w:sz w:val="16"/>
          <w:szCs w:val="16"/>
        </w:rPr>
      </w:pPr>
      <w:r w:rsidRPr="00FD0684">
        <w:rPr>
          <w:rStyle w:val="Voetnootmarkering"/>
          <w:sz w:val="16"/>
          <w:szCs w:val="16"/>
        </w:rPr>
        <w:footnoteRef/>
      </w:r>
      <w:r w:rsidRPr="00FD0684">
        <w:rPr>
          <w:sz w:val="16"/>
          <w:szCs w:val="16"/>
        </w:rPr>
        <w:t xml:space="preserve"> </w:t>
      </w:r>
      <w:r w:rsidR="004E4063" w:rsidRPr="004E4063">
        <w:rPr>
          <w:sz w:val="16"/>
          <w:szCs w:val="16"/>
        </w:rPr>
        <w:t>Waar het wettelijke dagprogramma bestaat</w:t>
      </w:r>
      <w:r w:rsidR="004E4063">
        <w:rPr>
          <w:sz w:val="16"/>
          <w:szCs w:val="16"/>
        </w:rPr>
        <w:t xml:space="preserve"> </w:t>
      </w:r>
      <w:r w:rsidR="004E4063" w:rsidRPr="004E4063">
        <w:rPr>
          <w:sz w:val="16"/>
          <w:szCs w:val="16"/>
        </w:rPr>
        <w:t>uit 77 uur activiteiten in groepsverband per week, bestaat het alternatieve dagprogramma</w:t>
      </w:r>
      <w:r w:rsidR="004E4063">
        <w:rPr>
          <w:sz w:val="16"/>
          <w:szCs w:val="16"/>
        </w:rPr>
        <w:t xml:space="preserve"> </w:t>
      </w:r>
      <w:r w:rsidR="004E4063" w:rsidRPr="004E4063">
        <w:rPr>
          <w:sz w:val="16"/>
          <w:szCs w:val="16"/>
        </w:rPr>
        <w:t>uit minder groepsactiviteiten, waardoor dit programma met minder medewerkers gedraaid</w:t>
      </w:r>
      <w:r w:rsidR="004E4063">
        <w:rPr>
          <w:sz w:val="16"/>
          <w:szCs w:val="16"/>
        </w:rPr>
        <w:t xml:space="preserve"> </w:t>
      </w:r>
      <w:r w:rsidR="004E4063" w:rsidRPr="004E4063">
        <w:rPr>
          <w:sz w:val="16"/>
          <w:szCs w:val="16"/>
        </w:rPr>
        <w:t>kan worden. Jongeren nemen in het alternatieve dagprogramma wekelijks 77 uur aan activiteiten</w:t>
      </w:r>
      <w:r w:rsidR="004E4063">
        <w:rPr>
          <w:sz w:val="16"/>
          <w:szCs w:val="16"/>
        </w:rPr>
        <w:t xml:space="preserve"> </w:t>
      </w:r>
      <w:r w:rsidR="004E4063" w:rsidRPr="004E4063">
        <w:rPr>
          <w:sz w:val="16"/>
          <w:szCs w:val="16"/>
        </w:rPr>
        <w:t>deel, waarvan ten minste 62 uur in groepsverband. Het overige deel van de activiteiten</w:t>
      </w:r>
      <w:r w:rsidR="004E4063">
        <w:rPr>
          <w:sz w:val="16"/>
          <w:szCs w:val="16"/>
        </w:rPr>
        <w:t xml:space="preserve"> </w:t>
      </w:r>
      <w:r w:rsidR="004E4063" w:rsidRPr="004E4063">
        <w:rPr>
          <w:sz w:val="16"/>
          <w:szCs w:val="16"/>
        </w:rPr>
        <w:t>wordt individueel aangeboden, passend bij het pedagogisch leefklimaat, zoals activiteiten</w:t>
      </w:r>
      <w:r w:rsidR="004E4063">
        <w:rPr>
          <w:sz w:val="16"/>
          <w:szCs w:val="16"/>
        </w:rPr>
        <w:t xml:space="preserve"> </w:t>
      </w:r>
      <w:r w:rsidR="004E4063" w:rsidRPr="004E4063">
        <w:rPr>
          <w:sz w:val="16"/>
          <w:szCs w:val="16"/>
        </w:rPr>
        <w:t>op de kamer met een educatief karakter. Binnen het individuele dagprogramma wordt</w:t>
      </w:r>
      <w:r w:rsidR="004E4063">
        <w:rPr>
          <w:sz w:val="16"/>
          <w:szCs w:val="16"/>
        </w:rPr>
        <w:t xml:space="preserve"> </w:t>
      </w:r>
      <w:r w:rsidR="004E4063" w:rsidRPr="004E4063">
        <w:rPr>
          <w:sz w:val="16"/>
          <w:szCs w:val="16"/>
        </w:rPr>
        <w:t>maatwerk aangeboden aan jongeren.</w:t>
      </w:r>
      <w:r w:rsidR="004E4063">
        <w:rPr>
          <w:sz w:val="16"/>
          <w:szCs w:val="16"/>
        </w:rPr>
        <w:t xml:space="preserve"> </w:t>
      </w:r>
      <w:r w:rsidRPr="00FD0684">
        <w:rPr>
          <w:sz w:val="16"/>
          <w:szCs w:val="16"/>
        </w:rPr>
        <w:t>Kamerstukken II 2022/23, 24 587, nr. 914.</w:t>
      </w:r>
    </w:p>
  </w:footnote>
  <w:footnote w:id="7">
    <w:p w14:paraId="4DA8A207" w14:textId="7AE5A8E0" w:rsidR="00057E46" w:rsidRPr="00FD0684" w:rsidRDefault="00057E46" w:rsidP="00057E46">
      <w:pPr>
        <w:pStyle w:val="Voetnoottekst"/>
        <w:rPr>
          <w:sz w:val="16"/>
          <w:szCs w:val="16"/>
        </w:rPr>
      </w:pPr>
      <w:r w:rsidRPr="00FD0684">
        <w:rPr>
          <w:rStyle w:val="Voetnootmarkering"/>
          <w:sz w:val="16"/>
          <w:szCs w:val="16"/>
        </w:rPr>
        <w:footnoteRef/>
      </w:r>
      <w:r w:rsidRPr="00FD0684">
        <w:rPr>
          <w:sz w:val="16"/>
          <w:szCs w:val="16"/>
        </w:rPr>
        <w:t xml:space="preserve"> </w:t>
      </w:r>
      <w:r w:rsidR="00554943" w:rsidRPr="00554943">
        <w:rPr>
          <w:sz w:val="16"/>
          <w:szCs w:val="16"/>
        </w:rPr>
        <w:t>Kamerstukken II 2022/23, 24587, nr. 881.</w:t>
      </w:r>
    </w:p>
  </w:footnote>
  <w:footnote w:id="8">
    <w:p w14:paraId="379ED759" w14:textId="70F228AA" w:rsidR="004C4AFD" w:rsidRPr="00FD0684" w:rsidRDefault="004C4AFD" w:rsidP="004C4AFD">
      <w:pPr>
        <w:pStyle w:val="Voetnoottekst"/>
        <w:rPr>
          <w:sz w:val="16"/>
          <w:szCs w:val="16"/>
        </w:rPr>
      </w:pPr>
      <w:r w:rsidRPr="00FD0684">
        <w:rPr>
          <w:rStyle w:val="Voetnootmarkering"/>
          <w:sz w:val="16"/>
          <w:szCs w:val="16"/>
        </w:rPr>
        <w:footnoteRef/>
      </w:r>
      <w:r w:rsidRPr="00FD0684">
        <w:rPr>
          <w:sz w:val="16"/>
          <w:szCs w:val="16"/>
        </w:rPr>
        <w:t xml:space="preserve"> </w:t>
      </w:r>
      <w:r w:rsidR="00554943" w:rsidRPr="00554943">
        <w:rPr>
          <w:sz w:val="16"/>
          <w:szCs w:val="16"/>
        </w:rPr>
        <w:t>https://www.onderwijsraad.nl/documenten/2025/02/11/onderwijs-in-justitiele-jeugdinrichtingen</w:t>
      </w:r>
    </w:p>
  </w:footnote>
  <w:footnote w:id="9">
    <w:p w14:paraId="3D09379E" w14:textId="55254758" w:rsidR="00914400" w:rsidRPr="00FD0684" w:rsidRDefault="00914400" w:rsidP="00914400">
      <w:pPr>
        <w:pStyle w:val="Voetnoottekst"/>
        <w:rPr>
          <w:sz w:val="16"/>
          <w:szCs w:val="16"/>
        </w:rPr>
      </w:pPr>
      <w:r w:rsidRPr="00FD0684">
        <w:rPr>
          <w:rStyle w:val="Voetnootmarkering"/>
          <w:sz w:val="16"/>
          <w:szCs w:val="16"/>
        </w:rPr>
        <w:footnoteRef/>
      </w:r>
      <w:r w:rsidRPr="00FD0684">
        <w:rPr>
          <w:sz w:val="16"/>
          <w:szCs w:val="16"/>
        </w:rPr>
        <w:t xml:space="preserve"> Kamerstukken II, 2025/26,</w:t>
      </w:r>
      <w:r w:rsidR="00CD0F67">
        <w:rPr>
          <w:sz w:val="16"/>
          <w:szCs w:val="16"/>
        </w:rPr>
        <w:t xml:space="preserve"> 24587, nr. 1093.</w:t>
      </w:r>
    </w:p>
  </w:footnote>
  <w:footnote w:id="10">
    <w:p w14:paraId="078441DE" w14:textId="109399C7" w:rsidR="001318A7" w:rsidRPr="001318A7" w:rsidRDefault="001318A7">
      <w:pPr>
        <w:pStyle w:val="Voetnoottekst"/>
        <w:rPr>
          <w:sz w:val="16"/>
          <w:szCs w:val="16"/>
        </w:rPr>
      </w:pPr>
      <w:r w:rsidRPr="001318A7">
        <w:rPr>
          <w:rStyle w:val="Voetnootmarkering"/>
          <w:sz w:val="16"/>
          <w:szCs w:val="16"/>
        </w:rPr>
        <w:footnoteRef/>
      </w:r>
      <w:r w:rsidRPr="001318A7">
        <w:rPr>
          <w:sz w:val="16"/>
          <w:szCs w:val="16"/>
        </w:rPr>
        <w:t xml:space="preserve"> 24587-1093/2026D15891</w:t>
      </w:r>
    </w:p>
  </w:footnote>
  <w:footnote w:id="11">
    <w:p w14:paraId="59567F7F" w14:textId="0FE7EB91" w:rsidR="0017115A" w:rsidRPr="00FD0684" w:rsidRDefault="0017115A" w:rsidP="0017115A">
      <w:pPr>
        <w:pStyle w:val="Voetnoottekst"/>
        <w:rPr>
          <w:sz w:val="16"/>
          <w:szCs w:val="16"/>
        </w:rPr>
      </w:pPr>
      <w:r w:rsidRPr="00FD0684">
        <w:rPr>
          <w:rStyle w:val="Voetnootmarkering"/>
          <w:sz w:val="16"/>
          <w:szCs w:val="16"/>
        </w:rPr>
        <w:footnoteRef/>
      </w:r>
      <w:r w:rsidRPr="00FD0684">
        <w:rPr>
          <w:sz w:val="16"/>
          <w:szCs w:val="16"/>
        </w:rPr>
        <w:t xml:space="preserve"> </w:t>
      </w:r>
      <w:r w:rsidR="00203BC7">
        <w:rPr>
          <w:sz w:val="16"/>
          <w:szCs w:val="16"/>
        </w:rPr>
        <w:t>Kamerstukken II 2025/26, 28741, nr. 131.</w:t>
      </w:r>
    </w:p>
  </w:footnote>
  <w:footnote w:id="12">
    <w:p w14:paraId="424693E9" w14:textId="77777777" w:rsidR="003C15A9" w:rsidRPr="009C4FFD" w:rsidRDefault="003C15A9" w:rsidP="003C15A9">
      <w:pPr>
        <w:pStyle w:val="Voetnoottekst"/>
        <w:rPr>
          <w:sz w:val="16"/>
          <w:szCs w:val="16"/>
        </w:rPr>
      </w:pPr>
      <w:r w:rsidRPr="00FD0684">
        <w:rPr>
          <w:rStyle w:val="Voetnootmarkering"/>
          <w:sz w:val="16"/>
          <w:szCs w:val="16"/>
        </w:rPr>
        <w:footnoteRef/>
      </w:r>
      <w:r w:rsidRPr="00FD0684">
        <w:rPr>
          <w:sz w:val="16"/>
          <w:szCs w:val="16"/>
        </w:rPr>
        <w:t xml:space="preserve"> Kamerstukken II 2025/26, 33628, nr. 112.</w:t>
      </w:r>
    </w:p>
  </w:footnote>
  <w:footnote w:id="13">
    <w:p w14:paraId="28A5354D" w14:textId="77777777" w:rsidR="003C15A9" w:rsidRPr="00A219D5" w:rsidRDefault="003C15A9" w:rsidP="003C15A9">
      <w:pPr>
        <w:pStyle w:val="Voetnoottekst"/>
        <w:rPr>
          <w:sz w:val="16"/>
          <w:szCs w:val="16"/>
        </w:rPr>
      </w:pPr>
      <w:r w:rsidRPr="00A219D5">
        <w:rPr>
          <w:rStyle w:val="Voetnootmarkering"/>
          <w:sz w:val="16"/>
          <w:szCs w:val="16"/>
        </w:rPr>
        <w:footnoteRef/>
      </w:r>
      <w:r w:rsidRPr="00A219D5">
        <w:rPr>
          <w:sz w:val="16"/>
          <w:szCs w:val="16"/>
        </w:rPr>
        <w:t xml:space="preserve"> RSJ, Problemen met de PIJ, 4 september 2025</w:t>
      </w:r>
      <w:r>
        <w:rPr>
          <w:sz w:val="16"/>
          <w:szCs w:val="16"/>
        </w:rPr>
        <w:t>.</w:t>
      </w:r>
    </w:p>
  </w:footnote>
  <w:footnote w:id="14">
    <w:p w14:paraId="2BA7928B" w14:textId="0F2F62F4" w:rsidR="00B93D67" w:rsidRPr="005F5072" w:rsidRDefault="00B93D67">
      <w:pPr>
        <w:pStyle w:val="Voetnoottekst"/>
        <w:rPr>
          <w:sz w:val="16"/>
          <w:szCs w:val="16"/>
        </w:rPr>
      </w:pPr>
      <w:r w:rsidRPr="005F5072">
        <w:rPr>
          <w:rStyle w:val="Voetnootmarkering"/>
          <w:sz w:val="16"/>
          <w:szCs w:val="16"/>
        </w:rPr>
        <w:footnoteRef/>
      </w:r>
      <w:r w:rsidRPr="005F5072">
        <w:rPr>
          <w:sz w:val="16"/>
          <w:szCs w:val="16"/>
        </w:rPr>
        <w:t xml:space="preserve"> In tegenstelling tot het onderzoek van DJI (pagina 5) richten deze onderzoeken zich o.a. op de jeugdigen met een PIJ-maatregel tijdens de extramurale fase. </w:t>
      </w:r>
    </w:p>
  </w:footnote>
  <w:footnote w:id="15">
    <w:p w14:paraId="3309DBD2" w14:textId="4F66C373" w:rsidR="00A028E6" w:rsidRPr="00A028E6" w:rsidRDefault="00A028E6">
      <w:pPr>
        <w:pStyle w:val="Voetnoottekst"/>
        <w:rPr>
          <w:sz w:val="16"/>
          <w:szCs w:val="16"/>
        </w:rPr>
      </w:pPr>
      <w:r w:rsidRPr="00A028E6">
        <w:rPr>
          <w:rStyle w:val="Voetnootmarkering"/>
          <w:sz w:val="16"/>
          <w:szCs w:val="16"/>
        </w:rPr>
        <w:footnoteRef/>
      </w:r>
      <w:r w:rsidRPr="00A028E6">
        <w:rPr>
          <w:sz w:val="16"/>
          <w:szCs w:val="16"/>
        </w:rPr>
        <w:t xml:space="preserve"> Zie een toelichting over de werkagenda in Kamerstukken II, 2024-2025, 2874, nr. 126</w:t>
      </w:r>
      <w:r w:rsidR="009F490A">
        <w:rPr>
          <w:sz w:val="16"/>
          <w:szCs w:val="16"/>
        </w:rPr>
        <w:t>.</w:t>
      </w:r>
    </w:p>
  </w:footnote>
  <w:footnote w:id="16">
    <w:p w14:paraId="1CB0C971" w14:textId="3464E32D" w:rsidR="00F34A21" w:rsidRPr="00A219D5" w:rsidRDefault="00F34A21" w:rsidP="00F34A21">
      <w:pPr>
        <w:pStyle w:val="Voetnoottekst"/>
        <w:rPr>
          <w:sz w:val="16"/>
          <w:szCs w:val="16"/>
        </w:rPr>
      </w:pPr>
      <w:r w:rsidRPr="00A219D5">
        <w:rPr>
          <w:rStyle w:val="Voetnootmarkering"/>
          <w:sz w:val="16"/>
          <w:szCs w:val="16"/>
        </w:rPr>
        <w:footnoteRef/>
      </w:r>
      <w:r w:rsidRPr="00A219D5">
        <w:rPr>
          <w:sz w:val="16"/>
          <w:szCs w:val="16"/>
        </w:rPr>
        <w:t xml:space="preserve"> Kamerstukken II, 2025-2026, 28741, nr. 133</w:t>
      </w:r>
      <w:r w:rsidR="009F490A">
        <w:rPr>
          <w:sz w:val="16"/>
          <w:szCs w:val="16"/>
        </w:rPr>
        <w:t>.</w:t>
      </w:r>
    </w:p>
  </w:footnote>
  <w:footnote w:id="17">
    <w:p w14:paraId="452CBCBB" w14:textId="1D6C0B5E" w:rsidR="00F34A21" w:rsidRPr="00A219D5" w:rsidRDefault="00F34A21" w:rsidP="00F34A21">
      <w:pPr>
        <w:pStyle w:val="Voetnoottekst"/>
        <w:rPr>
          <w:sz w:val="16"/>
          <w:szCs w:val="16"/>
        </w:rPr>
      </w:pPr>
      <w:r w:rsidRPr="00A219D5">
        <w:rPr>
          <w:rStyle w:val="Voetnootmarkering"/>
          <w:sz w:val="16"/>
          <w:szCs w:val="16"/>
        </w:rPr>
        <w:footnoteRef/>
      </w:r>
      <w:r w:rsidRPr="00A219D5">
        <w:rPr>
          <w:sz w:val="16"/>
          <w:szCs w:val="16"/>
        </w:rPr>
        <w:t xml:space="preserve"> Kamerstukken II, 2022-2023, 28741, nr. 94</w:t>
      </w:r>
      <w:r w:rsidR="009F490A">
        <w:rPr>
          <w:sz w:val="16"/>
          <w:szCs w:val="16"/>
        </w:rPr>
        <w:t>.</w:t>
      </w:r>
    </w:p>
  </w:footnote>
  <w:footnote w:id="18">
    <w:p w14:paraId="636D1999" w14:textId="4128CFB3" w:rsidR="00A028E6" w:rsidRPr="00A028E6" w:rsidRDefault="00A028E6">
      <w:pPr>
        <w:pStyle w:val="Voetnoottekst"/>
        <w:rPr>
          <w:sz w:val="16"/>
          <w:szCs w:val="16"/>
        </w:rPr>
      </w:pPr>
      <w:r w:rsidRPr="00A028E6">
        <w:rPr>
          <w:rStyle w:val="Voetnootmarkering"/>
          <w:sz w:val="16"/>
          <w:szCs w:val="16"/>
        </w:rPr>
        <w:footnoteRef/>
      </w:r>
      <w:r w:rsidRPr="00A028E6">
        <w:rPr>
          <w:sz w:val="16"/>
          <w:szCs w:val="16"/>
        </w:rPr>
        <w:t xml:space="preserve"> </w:t>
      </w:r>
      <w:hyperlink r:id="rId1" w:history="1">
        <w:r w:rsidRPr="00A028E6">
          <w:rPr>
            <w:rStyle w:val="Hyperlink"/>
            <w:sz w:val="16"/>
            <w:szCs w:val="16"/>
          </w:rPr>
          <w:t>https://repository.wodc.nl/handle/20.500.12832/3356</w:t>
        </w:r>
      </w:hyperlink>
    </w:p>
  </w:footnote>
  <w:footnote w:id="19">
    <w:p w14:paraId="485DC079" w14:textId="2AC70958" w:rsidR="00576942" w:rsidRPr="00E37D50" w:rsidRDefault="00576942" w:rsidP="00E37D50">
      <w:pPr>
        <w:rPr>
          <w:sz w:val="16"/>
          <w:szCs w:val="16"/>
        </w:rPr>
      </w:pPr>
      <w:r>
        <w:rPr>
          <w:rStyle w:val="Voetnootmarkering"/>
        </w:rPr>
        <w:footnoteRef/>
      </w:r>
      <w:r>
        <w:t xml:space="preserve"> </w:t>
      </w:r>
      <w:r>
        <w:rPr>
          <w:sz w:val="16"/>
          <w:szCs w:val="16"/>
        </w:rPr>
        <w:t>T</w:t>
      </w:r>
      <w:r w:rsidRPr="0053700F">
        <w:rPr>
          <w:sz w:val="16"/>
          <w:szCs w:val="16"/>
        </w:rPr>
        <w:t>oepassing van het adolescentenstrafrecht</w:t>
      </w:r>
      <w:r>
        <w:rPr>
          <w:sz w:val="16"/>
          <w:szCs w:val="16"/>
        </w:rPr>
        <w:t>, WODC, 22 april 2024</w:t>
      </w:r>
    </w:p>
  </w:footnote>
  <w:footnote w:id="20">
    <w:p w14:paraId="5D3F5C8D" w14:textId="122B8AEF" w:rsidR="00FD0684" w:rsidRPr="00FD0684" w:rsidRDefault="00FD0684">
      <w:pPr>
        <w:pStyle w:val="Voetnoottekst"/>
        <w:rPr>
          <w:sz w:val="16"/>
          <w:szCs w:val="16"/>
        </w:rPr>
      </w:pPr>
      <w:r w:rsidRPr="00FD0684">
        <w:rPr>
          <w:rStyle w:val="Voetnootmarkering"/>
          <w:sz w:val="16"/>
          <w:szCs w:val="16"/>
        </w:rPr>
        <w:footnoteRef/>
      </w:r>
      <w:r w:rsidRPr="00FD0684">
        <w:rPr>
          <w:sz w:val="16"/>
          <w:szCs w:val="16"/>
        </w:rPr>
        <w:t xml:space="preserve"> WODC,</w:t>
      </w:r>
      <w:r w:rsidR="00554943">
        <w:rPr>
          <w:sz w:val="16"/>
          <w:szCs w:val="16"/>
        </w:rPr>
        <w:t xml:space="preserve"> Evaluatie van het adolescentenstrafrecht – een </w:t>
      </w:r>
      <w:proofErr w:type="spellStart"/>
      <w:r w:rsidR="00554943">
        <w:rPr>
          <w:sz w:val="16"/>
          <w:szCs w:val="16"/>
        </w:rPr>
        <w:t>multicriteria</w:t>
      </w:r>
      <w:proofErr w:type="spellEnd"/>
      <w:r w:rsidR="00554943">
        <w:rPr>
          <w:sz w:val="16"/>
          <w:szCs w:val="16"/>
        </w:rPr>
        <w:t xml:space="preserve"> evaluatie,</w:t>
      </w:r>
      <w:r w:rsidRPr="00FD0684">
        <w:rPr>
          <w:sz w:val="16"/>
          <w:szCs w:val="16"/>
        </w:rPr>
        <w:t xml:space="preserve"> 2021.</w:t>
      </w:r>
    </w:p>
  </w:footnote>
  <w:footnote w:id="21">
    <w:p w14:paraId="13EFF584" w14:textId="77777777" w:rsidR="00137E7D" w:rsidRPr="009C4FFD" w:rsidRDefault="00137E7D" w:rsidP="00137E7D">
      <w:pPr>
        <w:pStyle w:val="Voetnoottekst"/>
        <w:rPr>
          <w:sz w:val="16"/>
          <w:szCs w:val="16"/>
        </w:rPr>
      </w:pPr>
      <w:r w:rsidRPr="00FD0684">
        <w:rPr>
          <w:rStyle w:val="Voetnootmarkering"/>
          <w:sz w:val="16"/>
          <w:szCs w:val="16"/>
        </w:rPr>
        <w:footnoteRef/>
      </w:r>
      <w:r w:rsidRPr="00FD0684">
        <w:rPr>
          <w:sz w:val="16"/>
          <w:szCs w:val="16"/>
        </w:rPr>
        <w:t xml:space="preserve"> Raad voor de Kinderbescherming, de </w:t>
      </w:r>
      <w:bookmarkStart w:id="5" w:name="_Hlk226118677"/>
      <w:r w:rsidRPr="00FD0684">
        <w:rPr>
          <w:sz w:val="16"/>
          <w:szCs w:val="16"/>
        </w:rPr>
        <w:t>drie Reclasseringsorganisaties</w:t>
      </w:r>
      <w:bookmarkEnd w:id="5"/>
      <w:r w:rsidRPr="00FD0684">
        <w:rPr>
          <w:sz w:val="16"/>
          <w:szCs w:val="16"/>
        </w:rPr>
        <w:t>, Jeugdzorg Nederland, Vereniging van Nederlandse Gemeenten, Dienst Justitiële Inrichtingen, Nederlands Instituut voor Forensische Psychiatrie en Psychologie, openbaar ministerie, Rechtspraak, advocatuur.</w:t>
      </w:r>
    </w:p>
  </w:footnote>
  <w:footnote w:id="22">
    <w:p w14:paraId="390B1DD4" w14:textId="7C84811F" w:rsidR="00FD0684" w:rsidRPr="00FD0684" w:rsidRDefault="00FD0684">
      <w:pPr>
        <w:pStyle w:val="Voetnoottekst"/>
        <w:rPr>
          <w:sz w:val="16"/>
          <w:szCs w:val="16"/>
        </w:rPr>
      </w:pPr>
      <w:r w:rsidRPr="00FD0684">
        <w:rPr>
          <w:rStyle w:val="Voetnootmarkering"/>
          <w:sz w:val="16"/>
          <w:szCs w:val="16"/>
        </w:rPr>
        <w:footnoteRef/>
      </w:r>
      <w:r w:rsidRPr="00FD0684">
        <w:rPr>
          <w:sz w:val="16"/>
          <w:szCs w:val="16"/>
        </w:rPr>
        <w:t xml:space="preserve"> Kamerstukken II 201/22, 28741, nr. 84, 2022/23, 24587, nr. 914, 2023/24, 28741, nr. 119.</w:t>
      </w:r>
    </w:p>
  </w:footnote>
  <w:footnote w:id="23">
    <w:p w14:paraId="430BBD22" w14:textId="0B972150" w:rsidR="0084260A" w:rsidRPr="0084260A" w:rsidRDefault="0084260A">
      <w:pPr>
        <w:pStyle w:val="Voetnoottekst"/>
        <w:rPr>
          <w:sz w:val="16"/>
          <w:szCs w:val="16"/>
        </w:rPr>
      </w:pPr>
      <w:r w:rsidRPr="0084260A">
        <w:rPr>
          <w:rStyle w:val="Voetnootmarkering"/>
          <w:sz w:val="16"/>
          <w:szCs w:val="16"/>
        </w:rPr>
        <w:footnoteRef/>
      </w:r>
      <w:r w:rsidRPr="0084260A">
        <w:rPr>
          <w:sz w:val="16"/>
          <w:szCs w:val="16"/>
        </w:rPr>
        <w:t xml:space="preserve"> https://www.nifp.nl/documenten/2025/12/04/herziend-wegingsinstrumentarium-asr</w:t>
      </w:r>
    </w:p>
  </w:footnote>
  <w:footnote w:id="24">
    <w:p w14:paraId="6F0049AD" w14:textId="3437CECB" w:rsidR="00CE72A0" w:rsidRPr="00CE72A0" w:rsidRDefault="00CE72A0">
      <w:pPr>
        <w:pStyle w:val="Voetnoottekst"/>
        <w:rPr>
          <w:sz w:val="16"/>
          <w:szCs w:val="16"/>
        </w:rPr>
      </w:pPr>
      <w:r w:rsidRPr="00CE72A0">
        <w:rPr>
          <w:rStyle w:val="Voetnootmarkering"/>
          <w:sz w:val="16"/>
          <w:szCs w:val="16"/>
        </w:rPr>
        <w:footnoteRef/>
      </w:r>
      <w:r w:rsidRPr="00CE72A0">
        <w:rPr>
          <w:sz w:val="16"/>
          <w:szCs w:val="16"/>
        </w:rPr>
        <w:t xml:space="preserve"> </w:t>
      </w:r>
      <w:r w:rsidRPr="00A028E6">
        <w:rPr>
          <w:sz w:val="16"/>
          <w:szCs w:val="16"/>
        </w:rPr>
        <w:t>Kamerstukken II, 2024-2025, 2874, nr. 126</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78E94" w14:textId="77777777" w:rsidR="008237B1" w:rsidRDefault="00823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EC50" w14:textId="77777777" w:rsidR="00924C4B" w:rsidRDefault="007A0389">
    <w:r>
      <w:rPr>
        <w:noProof/>
      </w:rPr>
      <mc:AlternateContent>
        <mc:Choice Requires="wps">
          <w:drawing>
            <wp:anchor distT="0" distB="0" distL="0" distR="0" simplePos="0" relativeHeight="251652608" behindDoc="0" locked="1" layoutInCell="1" allowOverlap="1" wp14:anchorId="1AC71C8C" wp14:editId="639EDE7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BFCA62" w14:textId="77777777" w:rsidR="00924C4B" w:rsidRDefault="007A0389">
                          <w:pPr>
                            <w:pStyle w:val="Referentiegegevensbold"/>
                          </w:pPr>
                          <w:r>
                            <w:t>Directoraat-Generaal Straffen en Beschermen</w:t>
                          </w:r>
                        </w:p>
                        <w:p w14:paraId="4DC3FE8C" w14:textId="77777777" w:rsidR="00924C4B" w:rsidRDefault="007A0389">
                          <w:pPr>
                            <w:pStyle w:val="Referentiegegevens"/>
                          </w:pPr>
                          <w:r>
                            <w:t>Directie Jeugd, Familie en aanpak Criminaliteitsfenomenen</w:t>
                          </w:r>
                        </w:p>
                        <w:p w14:paraId="73091EE4" w14:textId="77777777" w:rsidR="00924C4B" w:rsidRDefault="007A0389">
                          <w:pPr>
                            <w:pStyle w:val="Referentiegegevens"/>
                          </w:pPr>
                          <w:r>
                            <w:t>Jeugdcriminaliteit</w:t>
                          </w:r>
                        </w:p>
                        <w:p w14:paraId="3FF30F75" w14:textId="77777777" w:rsidR="00924C4B" w:rsidRDefault="00924C4B">
                          <w:pPr>
                            <w:pStyle w:val="WitregelW2"/>
                          </w:pPr>
                        </w:p>
                        <w:p w14:paraId="6AA4D471" w14:textId="77777777" w:rsidR="00924C4B" w:rsidRDefault="007A0389">
                          <w:pPr>
                            <w:pStyle w:val="Referentiegegevensbold"/>
                          </w:pPr>
                          <w:r>
                            <w:t>Datum</w:t>
                          </w:r>
                        </w:p>
                        <w:p w14:paraId="5076E431" w14:textId="6842FF79" w:rsidR="00924C4B" w:rsidRDefault="001A78DE">
                          <w:pPr>
                            <w:pStyle w:val="Referentiegegevens"/>
                          </w:pPr>
                          <w:sdt>
                            <w:sdtPr>
                              <w:id w:val="-780033996"/>
                              <w:date w:fullDate="2026-04-17T00:00:00Z">
                                <w:dateFormat w:val="d MMMM yyyy"/>
                                <w:lid w:val="nl"/>
                                <w:storeMappedDataAs w:val="dateTime"/>
                                <w:calendar w:val="gregorian"/>
                              </w:date>
                            </w:sdtPr>
                            <w:sdtEndPr/>
                            <w:sdtContent>
                              <w:r w:rsidR="00F778BE">
                                <w:rPr>
                                  <w:lang w:val="nl"/>
                                </w:rPr>
                                <w:t>17 april 2026</w:t>
                              </w:r>
                            </w:sdtContent>
                          </w:sdt>
                        </w:p>
                        <w:p w14:paraId="7C1D1047" w14:textId="77777777" w:rsidR="00924C4B" w:rsidRDefault="00924C4B">
                          <w:pPr>
                            <w:pStyle w:val="WitregelW1"/>
                          </w:pPr>
                        </w:p>
                        <w:p w14:paraId="020663E4" w14:textId="77777777" w:rsidR="00924C4B" w:rsidRDefault="007A0389">
                          <w:pPr>
                            <w:pStyle w:val="Referentiegegevensbold"/>
                          </w:pPr>
                          <w:r>
                            <w:t>Onze referentie</w:t>
                          </w:r>
                        </w:p>
                        <w:p w14:paraId="4A32CB1D" w14:textId="77777777" w:rsidR="00924C4B" w:rsidRDefault="007A0389">
                          <w:pPr>
                            <w:pStyle w:val="Referentiegegevens"/>
                          </w:pPr>
                          <w:r>
                            <w:t>7250778</w:t>
                          </w:r>
                        </w:p>
                      </w:txbxContent>
                    </wps:txbx>
                    <wps:bodyPr vert="horz" wrap="square" lIns="0" tIns="0" rIns="0" bIns="0" anchor="t" anchorCtr="0"/>
                  </wps:wsp>
                </a:graphicData>
              </a:graphic>
            </wp:anchor>
          </w:drawing>
        </mc:Choice>
        <mc:Fallback>
          <w:pict>
            <v:shapetype w14:anchorId="1AC71C8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9BFCA62" w14:textId="77777777" w:rsidR="00924C4B" w:rsidRDefault="007A0389">
                    <w:pPr>
                      <w:pStyle w:val="Referentiegegevensbold"/>
                    </w:pPr>
                    <w:r>
                      <w:t>Directoraat-Generaal Straffen en Beschermen</w:t>
                    </w:r>
                  </w:p>
                  <w:p w14:paraId="4DC3FE8C" w14:textId="77777777" w:rsidR="00924C4B" w:rsidRDefault="007A0389">
                    <w:pPr>
                      <w:pStyle w:val="Referentiegegevens"/>
                    </w:pPr>
                    <w:r>
                      <w:t>Directie Jeugd, Familie en aanpak Criminaliteitsfenomenen</w:t>
                    </w:r>
                  </w:p>
                  <w:p w14:paraId="73091EE4" w14:textId="77777777" w:rsidR="00924C4B" w:rsidRDefault="007A0389">
                    <w:pPr>
                      <w:pStyle w:val="Referentiegegevens"/>
                    </w:pPr>
                    <w:r>
                      <w:t>Jeugdcriminaliteit</w:t>
                    </w:r>
                  </w:p>
                  <w:p w14:paraId="3FF30F75" w14:textId="77777777" w:rsidR="00924C4B" w:rsidRDefault="00924C4B">
                    <w:pPr>
                      <w:pStyle w:val="WitregelW2"/>
                    </w:pPr>
                  </w:p>
                  <w:p w14:paraId="6AA4D471" w14:textId="77777777" w:rsidR="00924C4B" w:rsidRDefault="007A0389">
                    <w:pPr>
                      <w:pStyle w:val="Referentiegegevensbold"/>
                    </w:pPr>
                    <w:r>
                      <w:t>Datum</w:t>
                    </w:r>
                  </w:p>
                  <w:p w14:paraId="5076E431" w14:textId="6842FF79" w:rsidR="00924C4B" w:rsidRDefault="001A78DE">
                    <w:pPr>
                      <w:pStyle w:val="Referentiegegevens"/>
                    </w:pPr>
                    <w:sdt>
                      <w:sdtPr>
                        <w:id w:val="-780033996"/>
                        <w:date w:fullDate="2026-04-17T00:00:00Z">
                          <w:dateFormat w:val="d MMMM yyyy"/>
                          <w:lid w:val="nl"/>
                          <w:storeMappedDataAs w:val="dateTime"/>
                          <w:calendar w:val="gregorian"/>
                        </w:date>
                      </w:sdtPr>
                      <w:sdtEndPr/>
                      <w:sdtContent>
                        <w:r w:rsidR="00F778BE">
                          <w:rPr>
                            <w:lang w:val="nl"/>
                          </w:rPr>
                          <w:t>17 april 2026</w:t>
                        </w:r>
                      </w:sdtContent>
                    </w:sdt>
                  </w:p>
                  <w:p w14:paraId="7C1D1047" w14:textId="77777777" w:rsidR="00924C4B" w:rsidRDefault="00924C4B">
                    <w:pPr>
                      <w:pStyle w:val="WitregelW1"/>
                    </w:pPr>
                  </w:p>
                  <w:p w14:paraId="020663E4" w14:textId="77777777" w:rsidR="00924C4B" w:rsidRDefault="007A0389">
                    <w:pPr>
                      <w:pStyle w:val="Referentiegegevensbold"/>
                    </w:pPr>
                    <w:r>
                      <w:t>Onze referentie</w:t>
                    </w:r>
                  </w:p>
                  <w:p w14:paraId="4A32CB1D" w14:textId="77777777" w:rsidR="00924C4B" w:rsidRDefault="007A0389">
                    <w:pPr>
                      <w:pStyle w:val="Referentiegegevens"/>
                    </w:pPr>
                    <w:r>
                      <w:t>7250778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0C8FFCD" wp14:editId="1A0A386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0272FD" w14:textId="77777777" w:rsidR="006671F6" w:rsidRDefault="006671F6"/>
                      </w:txbxContent>
                    </wps:txbx>
                    <wps:bodyPr vert="horz" wrap="square" lIns="0" tIns="0" rIns="0" bIns="0" anchor="t" anchorCtr="0"/>
                  </wps:wsp>
                </a:graphicData>
              </a:graphic>
            </wp:anchor>
          </w:drawing>
        </mc:Choice>
        <mc:Fallback>
          <w:pict>
            <v:shape w14:anchorId="60C8FFC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50272FD" w14:textId="77777777" w:rsidR="006671F6" w:rsidRDefault="006671F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21EA6F" wp14:editId="512B6E3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16567A2" w14:textId="302AA624" w:rsidR="00924C4B" w:rsidRDefault="007A0389">
                          <w:pPr>
                            <w:pStyle w:val="Referentiegegevens"/>
                          </w:pPr>
                          <w:r>
                            <w:t xml:space="preserve">Pagina </w:t>
                          </w:r>
                          <w:r>
                            <w:fldChar w:fldCharType="begin"/>
                          </w:r>
                          <w:r>
                            <w:instrText>PAGE</w:instrText>
                          </w:r>
                          <w:r>
                            <w:fldChar w:fldCharType="separate"/>
                          </w:r>
                          <w:r w:rsidR="00914400">
                            <w:rPr>
                              <w:noProof/>
                            </w:rPr>
                            <w:t>2</w:t>
                          </w:r>
                          <w:r>
                            <w:fldChar w:fldCharType="end"/>
                          </w:r>
                          <w:r>
                            <w:t xml:space="preserve"> van </w:t>
                          </w:r>
                          <w:r>
                            <w:fldChar w:fldCharType="begin"/>
                          </w:r>
                          <w:r>
                            <w:instrText>NUMPAGES</w:instrText>
                          </w:r>
                          <w:r>
                            <w:fldChar w:fldCharType="separate"/>
                          </w:r>
                          <w:r w:rsidR="00914400">
                            <w:rPr>
                              <w:noProof/>
                            </w:rPr>
                            <w:t>2</w:t>
                          </w:r>
                          <w:r>
                            <w:fldChar w:fldCharType="end"/>
                          </w:r>
                        </w:p>
                      </w:txbxContent>
                    </wps:txbx>
                    <wps:bodyPr vert="horz" wrap="square" lIns="0" tIns="0" rIns="0" bIns="0" anchor="t" anchorCtr="0"/>
                  </wps:wsp>
                </a:graphicData>
              </a:graphic>
            </wp:anchor>
          </w:drawing>
        </mc:Choice>
        <mc:Fallback>
          <w:pict>
            <v:shape w14:anchorId="1521EA6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16567A2" w14:textId="302AA624" w:rsidR="00924C4B" w:rsidRDefault="007A0389">
                    <w:pPr>
                      <w:pStyle w:val="Referentiegegevens"/>
                    </w:pPr>
                    <w:r>
                      <w:t xml:space="preserve">Pagina </w:t>
                    </w:r>
                    <w:r>
                      <w:fldChar w:fldCharType="begin"/>
                    </w:r>
                    <w:r>
                      <w:instrText>PAGE</w:instrText>
                    </w:r>
                    <w:r>
                      <w:fldChar w:fldCharType="separate"/>
                    </w:r>
                    <w:r w:rsidR="00914400">
                      <w:rPr>
                        <w:noProof/>
                      </w:rPr>
                      <w:t>2</w:t>
                    </w:r>
                    <w:r>
                      <w:fldChar w:fldCharType="end"/>
                    </w:r>
                    <w:r>
                      <w:t xml:space="preserve"> van </w:t>
                    </w:r>
                    <w:r>
                      <w:fldChar w:fldCharType="begin"/>
                    </w:r>
                    <w:r>
                      <w:instrText>NUMPAGES</w:instrText>
                    </w:r>
                    <w:r>
                      <w:fldChar w:fldCharType="separate"/>
                    </w:r>
                    <w:r w:rsidR="0091440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E18F" w14:textId="77777777" w:rsidR="00924C4B" w:rsidRDefault="007A0389">
    <w:pPr>
      <w:spacing w:after="6377" w:line="14" w:lineRule="exact"/>
    </w:pPr>
    <w:r>
      <w:rPr>
        <w:noProof/>
      </w:rPr>
      <mc:AlternateContent>
        <mc:Choice Requires="wps">
          <w:drawing>
            <wp:anchor distT="0" distB="0" distL="0" distR="0" simplePos="0" relativeHeight="251655680" behindDoc="0" locked="1" layoutInCell="1" allowOverlap="1" wp14:anchorId="0A2F9E7B" wp14:editId="5FDF8323">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0136CF" w14:textId="77777777" w:rsidR="00F778BE" w:rsidRDefault="007A0389">
                          <w:r>
                            <w:t xml:space="preserve">Aan de Voorzitter van de Tweede Kamer </w:t>
                          </w:r>
                        </w:p>
                        <w:p w14:paraId="5ED92D33" w14:textId="6EC447BE" w:rsidR="00924C4B" w:rsidRDefault="007A0389">
                          <w:r>
                            <w:t>der Staten-Generaal</w:t>
                          </w:r>
                        </w:p>
                        <w:p w14:paraId="4CA7DF29" w14:textId="77777777" w:rsidR="00924C4B" w:rsidRDefault="007A0389">
                          <w:r>
                            <w:t xml:space="preserve">Postbus 20018 </w:t>
                          </w:r>
                        </w:p>
                        <w:p w14:paraId="5F28F55E" w14:textId="77777777" w:rsidR="00924C4B" w:rsidRDefault="007A0389">
                          <w:r>
                            <w:t>2500 EA  DEN HAAG</w:t>
                          </w:r>
                        </w:p>
                      </w:txbxContent>
                    </wps:txbx>
                    <wps:bodyPr vert="horz" wrap="square" lIns="0" tIns="0" rIns="0" bIns="0" anchor="t" anchorCtr="0"/>
                  </wps:wsp>
                </a:graphicData>
              </a:graphic>
            </wp:anchor>
          </w:drawing>
        </mc:Choice>
        <mc:Fallback>
          <w:pict>
            <v:shapetype w14:anchorId="0A2F9E7B"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B0136CF" w14:textId="77777777" w:rsidR="00F778BE" w:rsidRDefault="007A0389">
                    <w:r>
                      <w:t xml:space="preserve">Aan de Voorzitter van de Tweede Kamer </w:t>
                    </w:r>
                  </w:p>
                  <w:p w14:paraId="5ED92D33" w14:textId="6EC447BE" w:rsidR="00924C4B" w:rsidRDefault="007A0389">
                    <w:r>
                      <w:t>der Staten-Generaal</w:t>
                    </w:r>
                  </w:p>
                  <w:p w14:paraId="4CA7DF29" w14:textId="77777777" w:rsidR="00924C4B" w:rsidRDefault="007A0389">
                    <w:r>
                      <w:t xml:space="preserve">Postbus 20018 </w:t>
                    </w:r>
                  </w:p>
                  <w:p w14:paraId="5F28F55E" w14:textId="77777777" w:rsidR="00924C4B" w:rsidRDefault="007A0389">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CB6C73C" wp14:editId="2B060364">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24C4B" w14:paraId="40568D4C" w14:textId="77777777">
                            <w:trPr>
                              <w:trHeight w:val="240"/>
                            </w:trPr>
                            <w:tc>
                              <w:tcPr>
                                <w:tcW w:w="1140" w:type="dxa"/>
                              </w:tcPr>
                              <w:p w14:paraId="37307586" w14:textId="77777777" w:rsidR="00924C4B" w:rsidRDefault="007A0389">
                                <w:r>
                                  <w:t>Datum</w:t>
                                </w:r>
                              </w:p>
                            </w:tc>
                            <w:tc>
                              <w:tcPr>
                                <w:tcW w:w="5918" w:type="dxa"/>
                              </w:tcPr>
                              <w:p w14:paraId="591972D0" w14:textId="06A6913D" w:rsidR="00924C4B" w:rsidRDefault="001A78DE">
                                <w:sdt>
                                  <w:sdtPr>
                                    <w:id w:val="1214930247"/>
                                    <w:date w:fullDate="2026-04-17T00:00:00Z">
                                      <w:dateFormat w:val="d MMMM yyyy"/>
                                      <w:lid w:val="nl"/>
                                      <w:storeMappedDataAs w:val="dateTime"/>
                                      <w:calendar w:val="gregorian"/>
                                    </w:date>
                                  </w:sdtPr>
                                  <w:sdtEndPr/>
                                  <w:sdtContent>
                                    <w:r w:rsidR="00F778BE">
                                      <w:rPr>
                                        <w:lang w:val="nl"/>
                                      </w:rPr>
                                      <w:t>17 april 2026</w:t>
                                    </w:r>
                                  </w:sdtContent>
                                </w:sdt>
                              </w:p>
                            </w:tc>
                          </w:tr>
                          <w:tr w:rsidR="00924C4B" w14:paraId="68BBE183" w14:textId="77777777">
                            <w:trPr>
                              <w:trHeight w:val="240"/>
                            </w:trPr>
                            <w:tc>
                              <w:tcPr>
                                <w:tcW w:w="1140" w:type="dxa"/>
                              </w:tcPr>
                              <w:p w14:paraId="5377807D" w14:textId="77777777" w:rsidR="00924C4B" w:rsidRDefault="007A0389">
                                <w:r>
                                  <w:t>Betreft</w:t>
                                </w:r>
                              </w:p>
                            </w:tc>
                            <w:tc>
                              <w:tcPr>
                                <w:tcW w:w="5918" w:type="dxa"/>
                              </w:tcPr>
                              <w:p w14:paraId="2A891A1F" w14:textId="6AD1FBA2" w:rsidR="00924C4B" w:rsidRDefault="00D25BB6">
                                <w:r>
                                  <w:t>Voortgangsbrief</w:t>
                                </w:r>
                                <w:r w:rsidR="007A0389">
                                  <w:t xml:space="preserve"> Justitiële Jeugd </w:t>
                                </w:r>
                                <w:r>
                                  <w:t>april</w:t>
                                </w:r>
                                <w:r w:rsidR="007A0389">
                                  <w:t xml:space="preserve"> 2026</w:t>
                                </w:r>
                              </w:p>
                            </w:tc>
                          </w:tr>
                        </w:tbl>
                        <w:p w14:paraId="0AC75F05" w14:textId="77777777" w:rsidR="006671F6" w:rsidRDefault="006671F6"/>
                      </w:txbxContent>
                    </wps:txbx>
                    <wps:bodyPr vert="horz" wrap="square" lIns="0" tIns="0" rIns="0" bIns="0" anchor="t" anchorCtr="0"/>
                  </wps:wsp>
                </a:graphicData>
              </a:graphic>
            </wp:anchor>
          </w:drawing>
        </mc:Choice>
        <mc:Fallback>
          <w:pict>
            <v:shape w14:anchorId="1CB6C73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24C4B" w14:paraId="40568D4C" w14:textId="77777777">
                      <w:trPr>
                        <w:trHeight w:val="240"/>
                      </w:trPr>
                      <w:tc>
                        <w:tcPr>
                          <w:tcW w:w="1140" w:type="dxa"/>
                        </w:tcPr>
                        <w:p w14:paraId="37307586" w14:textId="77777777" w:rsidR="00924C4B" w:rsidRDefault="007A0389">
                          <w:r>
                            <w:t>Datum</w:t>
                          </w:r>
                        </w:p>
                      </w:tc>
                      <w:tc>
                        <w:tcPr>
                          <w:tcW w:w="5918" w:type="dxa"/>
                        </w:tcPr>
                        <w:p w14:paraId="591972D0" w14:textId="06A6913D" w:rsidR="00924C4B" w:rsidRDefault="001A78DE">
                          <w:sdt>
                            <w:sdtPr>
                              <w:id w:val="1214930247"/>
                              <w:date w:fullDate="2026-04-17T00:00:00Z">
                                <w:dateFormat w:val="d MMMM yyyy"/>
                                <w:lid w:val="nl"/>
                                <w:storeMappedDataAs w:val="dateTime"/>
                                <w:calendar w:val="gregorian"/>
                              </w:date>
                            </w:sdtPr>
                            <w:sdtEndPr/>
                            <w:sdtContent>
                              <w:r w:rsidR="00F778BE">
                                <w:rPr>
                                  <w:lang w:val="nl"/>
                                </w:rPr>
                                <w:t>17 april 2026</w:t>
                              </w:r>
                            </w:sdtContent>
                          </w:sdt>
                        </w:p>
                      </w:tc>
                    </w:tr>
                    <w:tr w:rsidR="00924C4B" w14:paraId="68BBE183" w14:textId="77777777">
                      <w:trPr>
                        <w:trHeight w:val="240"/>
                      </w:trPr>
                      <w:tc>
                        <w:tcPr>
                          <w:tcW w:w="1140" w:type="dxa"/>
                        </w:tcPr>
                        <w:p w14:paraId="5377807D" w14:textId="77777777" w:rsidR="00924C4B" w:rsidRDefault="007A0389">
                          <w:r>
                            <w:t>Betreft</w:t>
                          </w:r>
                        </w:p>
                      </w:tc>
                      <w:tc>
                        <w:tcPr>
                          <w:tcW w:w="5918" w:type="dxa"/>
                        </w:tcPr>
                        <w:p w14:paraId="2A891A1F" w14:textId="6AD1FBA2" w:rsidR="00924C4B" w:rsidRDefault="00D25BB6">
                          <w:r>
                            <w:t>Voortgangsbrief</w:t>
                          </w:r>
                          <w:r w:rsidR="007A0389">
                            <w:t xml:space="preserve"> Justitiële Jeugd </w:t>
                          </w:r>
                          <w:r>
                            <w:t>april</w:t>
                          </w:r>
                          <w:r w:rsidR="007A0389">
                            <w:t xml:space="preserve"> 2026</w:t>
                          </w:r>
                        </w:p>
                      </w:tc>
                    </w:tr>
                  </w:tbl>
                  <w:p w14:paraId="0AC75F05" w14:textId="77777777" w:rsidR="006671F6" w:rsidRDefault="006671F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0BCEED1" wp14:editId="0B22997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A216EE" w14:textId="77777777" w:rsidR="00924C4B" w:rsidRDefault="007A0389">
                          <w:pPr>
                            <w:pStyle w:val="Referentiegegevensbold"/>
                          </w:pPr>
                          <w:r>
                            <w:t>Directoraat-Generaal Straffen en Beschermen</w:t>
                          </w:r>
                        </w:p>
                        <w:p w14:paraId="7D569E2B" w14:textId="77777777" w:rsidR="00924C4B" w:rsidRDefault="007A0389">
                          <w:pPr>
                            <w:pStyle w:val="Referentiegegevens"/>
                          </w:pPr>
                          <w:r>
                            <w:t>Directie Jeugd, Familie en aanpak Criminaliteitsfenomenen</w:t>
                          </w:r>
                        </w:p>
                        <w:p w14:paraId="7EFEE59B" w14:textId="77777777" w:rsidR="00924C4B" w:rsidRDefault="007A0389">
                          <w:pPr>
                            <w:pStyle w:val="Referentiegegevens"/>
                          </w:pPr>
                          <w:r>
                            <w:t>Jeugdcriminaliteit</w:t>
                          </w:r>
                        </w:p>
                        <w:p w14:paraId="13BB739B" w14:textId="77777777" w:rsidR="00924C4B" w:rsidRDefault="00924C4B">
                          <w:pPr>
                            <w:pStyle w:val="WitregelW1"/>
                          </w:pPr>
                        </w:p>
                        <w:p w14:paraId="194EC45F" w14:textId="77777777" w:rsidR="00924C4B" w:rsidRDefault="007A0389">
                          <w:pPr>
                            <w:pStyle w:val="Referentiegegevens"/>
                          </w:pPr>
                          <w:r>
                            <w:t>Turfmarkt 147</w:t>
                          </w:r>
                        </w:p>
                        <w:p w14:paraId="7DD039CA" w14:textId="77777777" w:rsidR="00924C4B" w:rsidRDefault="007A0389">
                          <w:pPr>
                            <w:pStyle w:val="Referentiegegevens"/>
                          </w:pPr>
                          <w:r>
                            <w:t>2511 DP  Den Haag</w:t>
                          </w:r>
                        </w:p>
                        <w:p w14:paraId="3845ECF3" w14:textId="77777777" w:rsidR="00924C4B" w:rsidRDefault="007A0389">
                          <w:pPr>
                            <w:pStyle w:val="Referentiegegevens"/>
                          </w:pPr>
                          <w:r>
                            <w:t>Postbus 20301</w:t>
                          </w:r>
                        </w:p>
                        <w:p w14:paraId="6D9FF5C6" w14:textId="77777777" w:rsidR="00924C4B" w:rsidRPr="00626913" w:rsidRDefault="007A0389">
                          <w:pPr>
                            <w:pStyle w:val="Referentiegegevens"/>
                            <w:rPr>
                              <w:lang w:val="de-DE"/>
                            </w:rPr>
                          </w:pPr>
                          <w:r w:rsidRPr="00626913">
                            <w:rPr>
                              <w:lang w:val="de-DE"/>
                            </w:rPr>
                            <w:t>2500 EH  Den Haag</w:t>
                          </w:r>
                        </w:p>
                        <w:p w14:paraId="2CA4A26B" w14:textId="77777777" w:rsidR="00924C4B" w:rsidRPr="00626913" w:rsidRDefault="007A0389">
                          <w:pPr>
                            <w:pStyle w:val="Referentiegegevens"/>
                            <w:rPr>
                              <w:lang w:val="de-DE"/>
                            </w:rPr>
                          </w:pPr>
                          <w:r w:rsidRPr="00626913">
                            <w:rPr>
                              <w:lang w:val="de-DE"/>
                            </w:rPr>
                            <w:t>www.rijksoverheid.nl/jenv</w:t>
                          </w:r>
                        </w:p>
                        <w:p w14:paraId="42F7B584" w14:textId="77777777" w:rsidR="00924C4B" w:rsidRPr="00626913" w:rsidRDefault="00924C4B">
                          <w:pPr>
                            <w:pStyle w:val="WitregelW2"/>
                            <w:rPr>
                              <w:lang w:val="de-DE"/>
                            </w:rPr>
                          </w:pPr>
                        </w:p>
                        <w:p w14:paraId="33FB7035" w14:textId="77777777" w:rsidR="00924C4B" w:rsidRDefault="007A0389">
                          <w:pPr>
                            <w:pStyle w:val="Referentiegegevensbold"/>
                          </w:pPr>
                          <w:r>
                            <w:t>Onze referentie</w:t>
                          </w:r>
                        </w:p>
                        <w:p w14:paraId="500C6045" w14:textId="77777777" w:rsidR="00924C4B" w:rsidRDefault="007A0389">
                          <w:pPr>
                            <w:pStyle w:val="Referentiegegevens"/>
                          </w:pPr>
                          <w:r>
                            <w:t>7250778</w:t>
                          </w:r>
                        </w:p>
                      </w:txbxContent>
                    </wps:txbx>
                    <wps:bodyPr vert="horz" wrap="square" lIns="0" tIns="0" rIns="0" bIns="0" anchor="t" anchorCtr="0"/>
                  </wps:wsp>
                </a:graphicData>
              </a:graphic>
            </wp:anchor>
          </w:drawing>
        </mc:Choice>
        <mc:Fallback>
          <w:pict>
            <v:shape w14:anchorId="20BCEED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8A216EE" w14:textId="77777777" w:rsidR="00924C4B" w:rsidRDefault="007A0389">
                    <w:pPr>
                      <w:pStyle w:val="Referentiegegevensbold"/>
                    </w:pPr>
                    <w:r>
                      <w:t>Directoraat-Generaal Straffen en Beschermen</w:t>
                    </w:r>
                  </w:p>
                  <w:p w14:paraId="7D569E2B" w14:textId="77777777" w:rsidR="00924C4B" w:rsidRDefault="007A0389">
                    <w:pPr>
                      <w:pStyle w:val="Referentiegegevens"/>
                    </w:pPr>
                    <w:r>
                      <w:t>Directie Jeugd, Familie en aanpak Criminaliteitsfenomenen</w:t>
                    </w:r>
                  </w:p>
                  <w:p w14:paraId="7EFEE59B" w14:textId="77777777" w:rsidR="00924C4B" w:rsidRDefault="007A0389">
                    <w:pPr>
                      <w:pStyle w:val="Referentiegegevens"/>
                    </w:pPr>
                    <w:r>
                      <w:t>Jeugdcriminaliteit</w:t>
                    </w:r>
                  </w:p>
                  <w:p w14:paraId="13BB739B" w14:textId="77777777" w:rsidR="00924C4B" w:rsidRDefault="00924C4B">
                    <w:pPr>
                      <w:pStyle w:val="WitregelW1"/>
                    </w:pPr>
                  </w:p>
                  <w:p w14:paraId="194EC45F" w14:textId="77777777" w:rsidR="00924C4B" w:rsidRDefault="007A0389">
                    <w:pPr>
                      <w:pStyle w:val="Referentiegegevens"/>
                    </w:pPr>
                    <w:r>
                      <w:t>Turfmarkt 147</w:t>
                    </w:r>
                  </w:p>
                  <w:p w14:paraId="7DD039CA" w14:textId="77777777" w:rsidR="00924C4B" w:rsidRDefault="007A0389">
                    <w:pPr>
                      <w:pStyle w:val="Referentiegegevens"/>
                    </w:pPr>
                    <w:r>
                      <w:t>2511 DP  Den Haag</w:t>
                    </w:r>
                  </w:p>
                  <w:p w14:paraId="3845ECF3" w14:textId="77777777" w:rsidR="00924C4B" w:rsidRDefault="007A0389">
                    <w:pPr>
                      <w:pStyle w:val="Referentiegegevens"/>
                    </w:pPr>
                    <w:r>
                      <w:t>Postbus 20301</w:t>
                    </w:r>
                  </w:p>
                  <w:p w14:paraId="6D9FF5C6" w14:textId="77777777" w:rsidR="00924C4B" w:rsidRPr="00626913" w:rsidRDefault="007A0389">
                    <w:pPr>
                      <w:pStyle w:val="Referentiegegevens"/>
                      <w:rPr>
                        <w:lang w:val="de-DE"/>
                      </w:rPr>
                    </w:pPr>
                    <w:r w:rsidRPr="00626913">
                      <w:rPr>
                        <w:lang w:val="de-DE"/>
                      </w:rPr>
                      <w:t>2500 EH  Den Haag</w:t>
                    </w:r>
                  </w:p>
                  <w:p w14:paraId="2CA4A26B" w14:textId="77777777" w:rsidR="00924C4B" w:rsidRPr="00626913" w:rsidRDefault="007A0389">
                    <w:pPr>
                      <w:pStyle w:val="Referentiegegevens"/>
                      <w:rPr>
                        <w:lang w:val="de-DE"/>
                      </w:rPr>
                    </w:pPr>
                    <w:r w:rsidRPr="00626913">
                      <w:rPr>
                        <w:lang w:val="de-DE"/>
                      </w:rPr>
                      <w:t>www.rijksoverheid.nl/jenv</w:t>
                    </w:r>
                  </w:p>
                  <w:p w14:paraId="42F7B584" w14:textId="77777777" w:rsidR="00924C4B" w:rsidRPr="00626913" w:rsidRDefault="00924C4B">
                    <w:pPr>
                      <w:pStyle w:val="WitregelW2"/>
                      <w:rPr>
                        <w:lang w:val="de-DE"/>
                      </w:rPr>
                    </w:pPr>
                  </w:p>
                  <w:p w14:paraId="33FB7035" w14:textId="77777777" w:rsidR="00924C4B" w:rsidRDefault="007A0389">
                    <w:pPr>
                      <w:pStyle w:val="Referentiegegevensbold"/>
                    </w:pPr>
                    <w:r>
                      <w:t>Onze referentie</w:t>
                    </w:r>
                  </w:p>
                  <w:p w14:paraId="500C6045" w14:textId="77777777" w:rsidR="00924C4B" w:rsidRDefault="007A0389">
                    <w:pPr>
                      <w:pStyle w:val="Referentiegegevens"/>
                    </w:pPr>
                    <w:r>
                      <w:t>7250778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9659C3B" wp14:editId="5A2759E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EF1D5DB" w14:textId="77777777" w:rsidR="006671F6" w:rsidRDefault="006671F6"/>
                      </w:txbxContent>
                    </wps:txbx>
                    <wps:bodyPr vert="horz" wrap="square" lIns="0" tIns="0" rIns="0" bIns="0" anchor="t" anchorCtr="0"/>
                  </wps:wsp>
                </a:graphicData>
              </a:graphic>
            </wp:anchor>
          </w:drawing>
        </mc:Choice>
        <mc:Fallback>
          <w:pict>
            <v:shape w14:anchorId="49659C3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EF1D5DB" w14:textId="77777777" w:rsidR="006671F6" w:rsidRDefault="006671F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2B0BDEC" wp14:editId="4172D9C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A1E4757" w14:textId="77777777" w:rsidR="00924C4B" w:rsidRDefault="007A0389">
                          <w:pPr>
                            <w:pStyle w:val="Referentiegegevens"/>
                          </w:pPr>
                          <w:r>
                            <w:t xml:space="preserve">Pagina </w:t>
                          </w:r>
                          <w:r>
                            <w:fldChar w:fldCharType="begin"/>
                          </w:r>
                          <w:r>
                            <w:instrText>PAGE</w:instrText>
                          </w:r>
                          <w:r>
                            <w:fldChar w:fldCharType="separate"/>
                          </w:r>
                          <w:r w:rsidR="00626913">
                            <w:rPr>
                              <w:noProof/>
                            </w:rPr>
                            <w:t>1</w:t>
                          </w:r>
                          <w:r>
                            <w:fldChar w:fldCharType="end"/>
                          </w:r>
                          <w:r>
                            <w:t xml:space="preserve"> van </w:t>
                          </w:r>
                          <w:r>
                            <w:fldChar w:fldCharType="begin"/>
                          </w:r>
                          <w:r>
                            <w:instrText>NUMPAGES</w:instrText>
                          </w:r>
                          <w:r>
                            <w:fldChar w:fldCharType="separate"/>
                          </w:r>
                          <w:r w:rsidR="00626913">
                            <w:rPr>
                              <w:noProof/>
                            </w:rPr>
                            <w:t>1</w:t>
                          </w:r>
                          <w:r>
                            <w:fldChar w:fldCharType="end"/>
                          </w:r>
                        </w:p>
                      </w:txbxContent>
                    </wps:txbx>
                    <wps:bodyPr vert="horz" wrap="square" lIns="0" tIns="0" rIns="0" bIns="0" anchor="t" anchorCtr="0"/>
                  </wps:wsp>
                </a:graphicData>
              </a:graphic>
            </wp:anchor>
          </w:drawing>
        </mc:Choice>
        <mc:Fallback>
          <w:pict>
            <v:shape w14:anchorId="32B0BDE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6A1E4757" w14:textId="77777777" w:rsidR="00924C4B" w:rsidRDefault="007A0389">
                    <w:pPr>
                      <w:pStyle w:val="Referentiegegevens"/>
                    </w:pPr>
                    <w:r>
                      <w:t xml:space="preserve">Pagina </w:t>
                    </w:r>
                    <w:r>
                      <w:fldChar w:fldCharType="begin"/>
                    </w:r>
                    <w:r>
                      <w:instrText>PAGE</w:instrText>
                    </w:r>
                    <w:r>
                      <w:fldChar w:fldCharType="separate"/>
                    </w:r>
                    <w:r w:rsidR="00626913">
                      <w:rPr>
                        <w:noProof/>
                      </w:rPr>
                      <w:t>1</w:t>
                    </w:r>
                    <w:r>
                      <w:fldChar w:fldCharType="end"/>
                    </w:r>
                    <w:r>
                      <w:t xml:space="preserve"> van </w:t>
                    </w:r>
                    <w:r>
                      <w:fldChar w:fldCharType="begin"/>
                    </w:r>
                    <w:r>
                      <w:instrText>NUMPAGES</w:instrText>
                    </w:r>
                    <w:r>
                      <w:fldChar w:fldCharType="separate"/>
                    </w:r>
                    <w:r w:rsidR="0062691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18A4D7" wp14:editId="4278C33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20EAA13" w14:textId="77777777" w:rsidR="00924C4B" w:rsidRDefault="007A0389">
                          <w:pPr>
                            <w:spacing w:line="240" w:lineRule="auto"/>
                          </w:pPr>
                          <w:r>
                            <w:rPr>
                              <w:noProof/>
                            </w:rPr>
                            <w:drawing>
                              <wp:inline distT="0" distB="0" distL="0" distR="0" wp14:anchorId="373D290B" wp14:editId="405C519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18A4D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20EAA13" w14:textId="77777777" w:rsidR="00924C4B" w:rsidRDefault="007A0389">
                    <w:pPr>
                      <w:spacing w:line="240" w:lineRule="auto"/>
                    </w:pPr>
                    <w:r>
                      <w:rPr>
                        <w:noProof/>
                      </w:rPr>
                      <w:drawing>
                        <wp:inline distT="0" distB="0" distL="0" distR="0" wp14:anchorId="373D290B" wp14:editId="405C5194">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DE6F42C" wp14:editId="1031FCE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70C1A1" w14:textId="77777777" w:rsidR="00924C4B" w:rsidRDefault="007A0389">
                          <w:pPr>
                            <w:spacing w:line="240" w:lineRule="auto"/>
                          </w:pPr>
                          <w:r>
                            <w:rPr>
                              <w:noProof/>
                            </w:rPr>
                            <w:drawing>
                              <wp:inline distT="0" distB="0" distL="0" distR="0" wp14:anchorId="30B278A7" wp14:editId="49CB68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E6F42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C70C1A1" w14:textId="77777777" w:rsidR="00924C4B" w:rsidRDefault="007A0389">
                    <w:pPr>
                      <w:spacing w:line="240" w:lineRule="auto"/>
                    </w:pPr>
                    <w:r>
                      <w:rPr>
                        <w:noProof/>
                      </w:rPr>
                      <w:drawing>
                        <wp:inline distT="0" distB="0" distL="0" distR="0" wp14:anchorId="30B278A7" wp14:editId="49CB68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BEDC63" wp14:editId="7D19B8F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3497F0" w14:textId="77777777" w:rsidR="00924C4B" w:rsidRDefault="007A038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8BEDC6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D3497F0" w14:textId="77777777" w:rsidR="00924C4B" w:rsidRDefault="007A0389">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06A632"/>
    <w:multiLevelType w:val="multilevel"/>
    <w:tmpl w:val="3EE37E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23DB01E"/>
    <w:multiLevelType w:val="multilevel"/>
    <w:tmpl w:val="A46E618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A7A113D"/>
    <w:multiLevelType w:val="hybridMultilevel"/>
    <w:tmpl w:val="3E56E3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EC332F2"/>
    <w:multiLevelType w:val="multilevel"/>
    <w:tmpl w:val="FBA014B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03E3DA6"/>
    <w:multiLevelType w:val="hybridMultilevel"/>
    <w:tmpl w:val="F3EC397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0AB360D"/>
    <w:multiLevelType w:val="hybridMultilevel"/>
    <w:tmpl w:val="D0D88A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AB51CA"/>
    <w:multiLevelType w:val="hybridMultilevel"/>
    <w:tmpl w:val="0AC81F7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1EBE1AD1"/>
    <w:multiLevelType w:val="hybridMultilevel"/>
    <w:tmpl w:val="FFC608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8A3513"/>
    <w:multiLevelType w:val="hybridMultilevel"/>
    <w:tmpl w:val="D0D88A7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7C66AC"/>
    <w:multiLevelType w:val="hybridMultilevel"/>
    <w:tmpl w:val="B55E7A9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561237"/>
    <w:multiLevelType w:val="hybridMultilevel"/>
    <w:tmpl w:val="E9F4D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8C6B86"/>
    <w:multiLevelType w:val="hybridMultilevel"/>
    <w:tmpl w:val="BB9E4D36"/>
    <w:lvl w:ilvl="0" w:tplc="0413000F">
      <w:start w:val="1"/>
      <w:numFmt w:val="decimal"/>
      <w:lvlText w:val="%1."/>
      <w:lvlJc w:val="left"/>
      <w:pPr>
        <w:ind w:left="993" w:hanging="360"/>
      </w:pPr>
      <w:rPr>
        <w:rFonts w:hint="default"/>
      </w:rPr>
    </w:lvl>
    <w:lvl w:ilvl="1" w:tplc="FFFFFFFF">
      <w:start w:val="1"/>
      <w:numFmt w:val="bullet"/>
      <w:lvlText w:val="o"/>
      <w:lvlJc w:val="left"/>
      <w:pPr>
        <w:ind w:left="1713" w:hanging="360"/>
      </w:pPr>
      <w:rPr>
        <w:rFonts w:ascii="Courier New" w:hAnsi="Courier New" w:cs="Courier New" w:hint="default"/>
      </w:rPr>
    </w:lvl>
    <w:lvl w:ilvl="2" w:tplc="FFFFFFFF">
      <w:start w:val="1"/>
      <w:numFmt w:val="bullet"/>
      <w:lvlText w:val=""/>
      <w:lvlJc w:val="left"/>
      <w:pPr>
        <w:ind w:left="2433" w:hanging="360"/>
      </w:pPr>
      <w:rPr>
        <w:rFonts w:ascii="Wingdings" w:hAnsi="Wingdings" w:hint="default"/>
      </w:rPr>
    </w:lvl>
    <w:lvl w:ilvl="3" w:tplc="0413000F">
      <w:start w:val="1"/>
      <w:numFmt w:val="decimal"/>
      <w:lvlText w:val="%4."/>
      <w:lvlJc w:val="left"/>
      <w:pPr>
        <w:ind w:left="3153" w:hanging="360"/>
      </w:p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12" w15:restartNumberingAfterBreak="0">
    <w:nsid w:val="31257F56"/>
    <w:multiLevelType w:val="multilevel"/>
    <w:tmpl w:val="CBCC0A8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3A256840"/>
    <w:multiLevelType w:val="multilevel"/>
    <w:tmpl w:val="66C2C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A42FFB"/>
    <w:multiLevelType w:val="hybridMultilevel"/>
    <w:tmpl w:val="E9F4D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B21E38"/>
    <w:multiLevelType w:val="hybridMultilevel"/>
    <w:tmpl w:val="116250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84985B"/>
    <w:multiLevelType w:val="multilevel"/>
    <w:tmpl w:val="024005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5FF512BB"/>
    <w:multiLevelType w:val="hybridMultilevel"/>
    <w:tmpl w:val="6C707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CA45EA"/>
    <w:multiLevelType w:val="hybridMultilevel"/>
    <w:tmpl w:val="E9F4D7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D0943"/>
    <w:multiLevelType w:val="hybridMultilevel"/>
    <w:tmpl w:val="F3EC397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B0611D5"/>
    <w:multiLevelType w:val="hybridMultilevel"/>
    <w:tmpl w:val="5FE8AD22"/>
    <w:lvl w:ilvl="0" w:tplc="041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256C29"/>
    <w:multiLevelType w:val="multilevel"/>
    <w:tmpl w:val="346CC76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79BE4A3E"/>
    <w:multiLevelType w:val="hybridMultilevel"/>
    <w:tmpl w:val="E9F4D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3909843">
    <w:abstractNumId w:val="21"/>
  </w:num>
  <w:num w:numId="2" w16cid:durableId="1162622694">
    <w:abstractNumId w:val="12"/>
  </w:num>
  <w:num w:numId="3" w16cid:durableId="2032336907">
    <w:abstractNumId w:val="0"/>
  </w:num>
  <w:num w:numId="4" w16cid:durableId="1453674749">
    <w:abstractNumId w:val="1"/>
  </w:num>
  <w:num w:numId="5" w16cid:durableId="1617830119">
    <w:abstractNumId w:val="3"/>
  </w:num>
  <w:num w:numId="6" w16cid:durableId="1175801411">
    <w:abstractNumId w:val="16"/>
  </w:num>
  <w:num w:numId="7" w16cid:durableId="930626081">
    <w:abstractNumId w:val="13"/>
  </w:num>
  <w:num w:numId="8" w16cid:durableId="950085798">
    <w:abstractNumId w:val="8"/>
  </w:num>
  <w:num w:numId="9" w16cid:durableId="42483199">
    <w:abstractNumId w:val="9"/>
  </w:num>
  <w:num w:numId="10" w16cid:durableId="911886356">
    <w:abstractNumId w:val="18"/>
  </w:num>
  <w:num w:numId="11" w16cid:durableId="1945645315">
    <w:abstractNumId w:val="22"/>
  </w:num>
  <w:num w:numId="12" w16cid:durableId="80683475">
    <w:abstractNumId w:val="15"/>
  </w:num>
  <w:num w:numId="13" w16cid:durableId="1508327252">
    <w:abstractNumId w:val="5"/>
  </w:num>
  <w:num w:numId="14" w16cid:durableId="1370760548">
    <w:abstractNumId w:val="20"/>
  </w:num>
  <w:num w:numId="15" w16cid:durableId="1429547648">
    <w:abstractNumId w:val="6"/>
  </w:num>
  <w:num w:numId="16" w16cid:durableId="1995065355">
    <w:abstractNumId w:val="7"/>
  </w:num>
  <w:num w:numId="17" w16cid:durableId="15161138">
    <w:abstractNumId w:val="17"/>
  </w:num>
  <w:num w:numId="18" w16cid:durableId="983193028">
    <w:abstractNumId w:val="11"/>
  </w:num>
  <w:num w:numId="19" w16cid:durableId="1223246891">
    <w:abstractNumId w:val="4"/>
  </w:num>
  <w:num w:numId="20" w16cid:durableId="2076050324">
    <w:abstractNumId w:val="19"/>
  </w:num>
  <w:num w:numId="21" w16cid:durableId="1629899053">
    <w:abstractNumId w:val="14"/>
  </w:num>
  <w:num w:numId="22" w16cid:durableId="2045205288">
    <w:abstractNumId w:val="10"/>
  </w:num>
  <w:num w:numId="23" w16cid:durableId="1057894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C4B"/>
    <w:rsid w:val="00015D82"/>
    <w:rsid w:val="00017A1A"/>
    <w:rsid w:val="00020E6B"/>
    <w:rsid w:val="00026C01"/>
    <w:rsid w:val="00037CDD"/>
    <w:rsid w:val="00056254"/>
    <w:rsid w:val="00057E46"/>
    <w:rsid w:val="0006237B"/>
    <w:rsid w:val="00062BE1"/>
    <w:rsid w:val="00070FBE"/>
    <w:rsid w:val="00077E5C"/>
    <w:rsid w:val="00082102"/>
    <w:rsid w:val="00090DCE"/>
    <w:rsid w:val="0009328F"/>
    <w:rsid w:val="000A553E"/>
    <w:rsid w:val="000C3A77"/>
    <w:rsid w:val="000D6832"/>
    <w:rsid w:val="000D70A7"/>
    <w:rsid w:val="000E22D4"/>
    <w:rsid w:val="00106ACC"/>
    <w:rsid w:val="001101F4"/>
    <w:rsid w:val="00111BE8"/>
    <w:rsid w:val="00114DA7"/>
    <w:rsid w:val="001318A7"/>
    <w:rsid w:val="001362F8"/>
    <w:rsid w:val="00137E7D"/>
    <w:rsid w:val="00147BF4"/>
    <w:rsid w:val="00156A7E"/>
    <w:rsid w:val="0017115A"/>
    <w:rsid w:val="00182FAC"/>
    <w:rsid w:val="001877B7"/>
    <w:rsid w:val="00192DA4"/>
    <w:rsid w:val="001A479E"/>
    <w:rsid w:val="001A78DE"/>
    <w:rsid w:val="001B0FD9"/>
    <w:rsid w:val="001B2EA4"/>
    <w:rsid w:val="001B5512"/>
    <w:rsid w:val="001D1385"/>
    <w:rsid w:val="001E512C"/>
    <w:rsid w:val="001F17C6"/>
    <w:rsid w:val="00203BC7"/>
    <w:rsid w:val="00203E68"/>
    <w:rsid w:val="00205168"/>
    <w:rsid w:val="00207DC0"/>
    <w:rsid w:val="0022097F"/>
    <w:rsid w:val="00224E0E"/>
    <w:rsid w:val="00237110"/>
    <w:rsid w:val="00254FE2"/>
    <w:rsid w:val="00263936"/>
    <w:rsid w:val="002A17C9"/>
    <w:rsid w:val="002B6707"/>
    <w:rsid w:val="002D52DE"/>
    <w:rsid w:val="002E2BE1"/>
    <w:rsid w:val="002E45BF"/>
    <w:rsid w:val="00306280"/>
    <w:rsid w:val="00310369"/>
    <w:rsid w:val="00327399"/>
    <w:rsid w:val="0033419E"/>
    <w:rsid w:val="00337BD9"/>
    <w:rsid w:val="00347BAD"/>
    <w:rsid w:val="00364E05"/>
    <w:rsid w:val="00382C9C"/>
    <w:rsid w:val="00383C2B"/>
    <w:rsid w:val="003927A8"/>
    <w:rsid w:val="00394478"/>
    <w:rsid w:val="00395DFA"/>
    <w:rsid w:val="003A0C88"/>
    <w:rsid w:val="003B4C4A"/>
    <w:rsid w:val="003C15A9"/>
    <w:rsid w:val="003C4AEF"/>
    <w:rsid w:val="003C5465"/>
    <w:rsid w:val="003D4E93"/>
    <w:rsid w:val="003F1EA7"/>
    <w:rsid w:val="003F66D0"/>
    <w:rsid w:val="0040335A"/>
    <w:rsid w:val="0040440B"/>
    <w:rsid w:val="0041115A"/>
    <w:rsid w:val="004377DE"/>
    <w:rsid w:val="00447999"/>
    <w:rsid w:val="004506BE"/>
    <w:rsid w:val="00453685"/>
    <w:rsid w:val="0045534A"/>
    <w:rsid w:val="00455822"/>
    <w:rsid w:val="00472419"/>
    <w:rsid w:val="004746FB"/>
    <w:rsid w:val="00482682"/>
    <w:rsid w:val="0048306C"/>
    <w:rsid w:val="00487890"/>
    <w:rsid w:val="004A27D3"/>
    <w:rsid w:val="004B08B6"/>
    <w:rsid w:val="004C4AFD"/>
    <w:rsid w:val="004E065D"/>
    <w:rsid w:val="004E4063"/>
    <w:rsid w:val="004E7809"/>
    <w:rsid w:val="004F2E12"/>
    <w:rsid w:val="004F3F7D"/>
    <w:rsid w:val="004F496A"/>
    <w:rsid w:val="004F7C38"/>
    <w:rsid w:val="005038E5"/>
    <w:rsid w:val="005042D0"/>
    <w:rsid w:val="00521B4A"/>
    <w:rsid w:val="005454B7"/>
    <w:rsid w:val="00554943"/>
    <w:rsid w:val="00561619"/>
    <w:rsid w:val="00576942"/>
    <w:rsid w:val="005D66B0"/>
    <w:rsid w:val="005F5072"/>
    <w:rsid w:val="00626913"/>
    <w:rsid w:val="00626D24"/>
    <w:rsid w:val="00632ACE"/>
    <w:rsid w:val="006628CE"/>
    <w:rsid w:val="006671F6"/>
    <w:rsid w:val="00675C48"/>
    <w:rsid w:val="006827A0"/>
    <w:rsid w:val="006A0BB9"/>
    <w:rsid w:val="006A494D"/>
    <w:rsid w:val="006A55DB"/>
    <w:rsid w:val="006D25CA"/>
    <w:rsid w:val="006D404D"/>
    <w:rsid w:val="006E3E60"/>
    <w:rsid w:val="0070563E"/>
    <w:rsid w:val="00710199"/>
    <w:rsid w:val="00715B0A"/>
    <w:rsid w:val="0073778D"/>
    <w:rsid w:val="00753075"/>
    <w:rsid w:val="007551EA"/>
    <w:rsid w:val="00762CA4"/>
    <w:rsid w:val="00782D6B"/>
    <w:rsid w:val="007878C2"/>
    <w:rsid w:val="00787F52"/>
    <w:rsid w:val="00791FFB"/>
    <w:rsid w:val="007971E0"/>
    <w:rsid w:val="007A0389"/>
    <w:rsid w:val="007A2FE8"/>
    <w:rsid w:val="007B1E3F"/>
    <w:rsid w:val="007C4B7B"/>
    <w:rsid w:val="007D6418"/>
    <w:rsid w:val="00815997"/>
    <w:rsid w:val="00820088"/>
    <w:rsid w:val="008237B1"/>
    <w:rsid w:val="00825345"/>
    <w:rsid w:val="008264D1"/>
    <w:rsid w:val="00837B2B"/>
    <w:rsid w:val="0084260A"/>
    <w:rsid w:val="00857207"/>
    <w:rsid w:val="008923A7"/>
    <w:rsid w:val="00896E25"/>
    <w:rsid w:val="008C1568"/>
    <w:rsid w:val="008E2020"/>
    <w:rsid w:val="00914400"/>
    <w:rsid w:val="00924C4B"/>
    <w:rsid w:val="00934C6B"/>
    <w:rsid w:val="00943246"/>
    <w:rsid w:val="00943C1C"/>
    <w:rsid w:val="00951BEF"/>
    <w:rsid w:val="00953A07"/>
    <w:rsid w:val="00955893"/>
    <w:rsid w:val="0095785E"/>
    <w:rsid w:val="00963E92"/>
    <w:rsid w:val="009729B5"/>
    <w:rsid w:val="009A0258"/>
    <w:rsid w:val="009B5B48"/>
    <w:rsid w:val="009C4FFD"/>
    <w:rsid w:val="009C6158"/>
    <w:rsid w:val="009D00CB"/>
    <w:rsid w:val="009D4C27"/>
    <w:rsid w:val="009F358D"/>
    <w:rsid w:val="009F490A"/>
    <w:rsid w:val="009F6D68"/>
    <w:rsid w:val="00A028E6"/>
    <w:rsid w:val="00A10059"/>
    <w:rsid w:val="00A219D5"/>
    <w:rsid w:val="00A544A1"/>
    <w:rsid w:val="00A80061"/>
    <w:rsid w:val="00A83A88"/>
    <w:rsid w:val="00A9477D"/>
    <w:rsid w:val="00AC6A9D"/>
    <w:rsid w:val="00AD30A8"/>
    <w:rsid w:val="00AE4FC2"/>
    <w:rsid w:val="00AF101A"/>
    <w:rsid w:val="00B1398B"/>
    <w:rsid w:val="00B32E45"/>
    <w:rsid w:val="00B40F89"/>
    <w:rsid w:val="00B46A62"/>
    <w:rsid w:val="00B62760"/>
    <w:rsid w:val="00B74A2B"/>
    <w:rsid w:val="00B86C59"/>
    <w:rsid w:val="00B93D67"/>
    <w:rsid w:val="00B94780"/>
    <w:rsid w:val="00BA35AA"/>
    <w:rsid w:val="00BA62C6"/>
    <w:rsid w:val="00BA77BB"/>
    <w:rsid w:val="00BB7587"/>
    <w:rsid w:val="00BC2359"/>
    <w:rsid w:val="00BC3AA0"/>
    <w:rsid w:val="00BE4956"/>
    <w:rsid w:val="00BF2536"/>
    <w:rsid w:val="00C00707"/>
    <w:rsid w:val="00C063D1"/>
    <w:rsid w:val="00C064F6"/>
    <w:rsid w:val="00C14505"/>
    <w:rsid w:val="00C21351"/>
    <w:rsid w:val="00C3560B"/>
    <w:rsid w:val="00C36BC1"/>
    <w:rsid w:val="00C4670A"/>
    <w:rsid w:val="00C623BF"/>
    <w:rsid w:val="00C771AA"/>
    <w:rsid w:val="00C92838"/>
    <w:rsid w:val="00C9771F"/>
    <w:rsid w:val="00CA22C8"/>
    <w:rsid w:val="00CA6BE7"/>
    <w:rsid w:val="00CD0F67"/>
    <w:rsid w:val="00CE125A"/>
    <w:rsid w:val="00CE72A0"/>
    <w:rsid w:val="00CF3FCB"/>
    <w:rsid w:val="00CF42D5"/>
    <w:rsid w:val="00D01354"/>
    <w:rsid w:val="00D03FA1"/>
    <w:rsid w:val="00D0418D"/>
    <w:rsid w:val="00D12488"/>
    <w:rsid w:val="00D148DA"/>
    <w:rsid w:val="00D25BB6"/>
    <w:rsid w:val="00D3565B"/>
    <w:rsid w:val="00D72BCD"/>
    <w:rsid w:val="00D916D7"/>
    <w:rsid w:val="00DA517C"/>
    <w:rsid w:val="00DA6532"/>
    <w:rsid w:val="00DC5AC4"/>
    <w:rsid w:val="00DC7C62"/>
    <w:rsid w:val="00DD0BA4"/>
    <w:rsid w:val="00DE3293"/>
    <w:rsid w:val="00DF006F"/>
    <w:rsid w:val="00E21777"/>
    <w:rsid w:val="00E330FA"/>
    <w:rsid w:val="00E37D50"/>
    <w:rsid w:val="00E46A03"/>
    <w:rsid w:val="00E50BD3"/>
    <w:rsid w:val="00E5520B"/>
    <w:rsid w:val="00E55817"/>
    <w:rsid w:val="00E621D8"/>
    <w:rsid w:val="00E71F42"/>
    <w:rsid w:val="00E84B5B"/>
    <w:rsid w:val="00EC74E9"/>
    <w:rsid w:val="00ED0CB9"/>
    <w:rsid w:val="00ED6912"/>
    <w:rsid w:val="00EF02B4"/>
    <w:rsid w:val="00EF2126"/>
    <w:rsid w:val="00EF7AE7"/>
    <w:rsid w:val="00F05BC1"/>
    <w:rsid w:val="00F27EA1"/>
    <w:rsid w:val="00F33BE4"/>
    <w:rsid w:val="00F34A21"/>
    <w:rsid w:val="00F438FD"/>
    <w:rsid w:val="00F57D9A"/>
    <w:rsid w:val="00F70A15"/>
    <w:rsid w:val="00F71B36"/>
    <w:rsid w:val="00F778BE"/>
    <w:rsid w:val="00F90CF1"/>
    <w:rsid w:val="00F91C17"/>
    <w:rsid w:val="00F95FC7"/>
    <w:rsid w:val="00FB1A87"/>
    <w:rsid w:val="00FD0684"/>
    <w:rsid w:val="00FD121A"/>
    <w:rsid w:val="00FD2E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D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91440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14400"/>
    <w:rPr>
      <w:rFonts w:ascii="Verdana" w:hAnsi="Verdana"/>
      <w:color w:val="000000"/>
    </w:rPr>
  </w:style>
  <w:style w:type="character" w:styleId="Voetnootmarkering">
    <w:name w:val="footnote reference"/>
    <w:basedOn w:val="Standaardalinea-lettertype"/>
    <w:uiPriority w:val="99"/>
    <w:semiHidden/>
    <w:unhideWhenUsed/>
    <w:rsid w:val="00914400"/>
    <w:rPr>
      <w:vertAlign w:val="superscript"/>
    </w:rPr>
  </w:style>
  <w:style w:type="paragraph" w:styleId="Lijstalinea">
    <w:name w:val="List Paragraph"/>
    <w:basedOn w:val="Standaard"/>
    <w:uiPriority w:val="34"/>
    <w:qFormat/>
    <w:rsid w:val="00914400"/>
    <w:pPr>
      <w:ind w:left="720"/>
      <w:contextualSpacing/>
    </w:pPr>
  </w:style>
  <w:style w:type="character" w:styleId="Verwijzingopmerking">
    <w:name w:val="annotation reference"/>
    <w:basedOn w:val="Standaardalinea-lettertype"/>
    <w:uiPriority w:val="99"/>
    <w:semiHidden/>
    <w:unhideWhenUsed/>
    <w:rsid w:val="009A0258"/>
    <w:rPr>
      <w:sz w:val="16"/>
      <w:szCs w:val="16"/>
    </w:rPr>
  </w:style>
  <w:style w:type="paragraph" w:styleId="Tekstopmerking">
    <w:name w:val="annotation text"/>
    <w:basedOn w:val="Standaard"/>
    <w:link w:val="TekstopmerkingChar"/>
    <w:uiPriority w:val="99"/>
    <w:unhideWhenUsed/>
    <w:rsid w:val="009A0258"/>
    <w:pPr>
      <w:spacing w:line="240" w:lineRule="auto"/>
    </w:pPr>
    <w:rPr>
      <w:sz w:val="20"/>
      <w:szCs w:val="20"/>
    </w:rPr>
  </w:style>
  <w:style w:type="character" w:customStyle="1" w:styleId="TekstopmerkingChar">
    <w:name w:val="Tekst opmerking Char"/>
    <w:basedOn w:val="Standaardalinea-lettertype"/>
    <w:link w:val="Tekstopmerking"/>
    <w:uiPriority w:val="99"/>
    <w:rsid w:val="009A02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A0258"/>
    <w:rPr>
      <w:b/>
      <w:bCs/>
    </w:rPr>
  </w:style>
  <w:style w:type="character" w:customStyle="1" w:styleId="OnderwerpvanopmerkingChar">
    <w:name w:val="Onderwerp van opmerking Char"/>
    <w:basedOn w:val="TekstopmerkingChar"/>
    <w:link w:val="Onderwerpvanopmerking"/>
    <w:uiPriority w:val="99"/>
    <w:semiHidden/>
    <w:rsid w:val="009A0258"/>
    <w:rPr>
      <w:rFonts w:ascii="Verdana" w:hAnsi="Verdana"/>
      <w:b/>
      <w:bCs/>
      <w:color w:val="000000"/>
    </w:rPr>
  </w:style>
  <w:style w:type="character" w:styleId="Onopgelostemelding">
    <w:name w:val="Unresolved Mention"/>
    <w:basedOn w:val="Standaardalinea-lettertype"/>
    <w:uiPriority w:val="99"/>
    <w:semiHidden/>
    <w:unhideWhenUsed/>
    <w:rsid w:val="00FD0684"/>
    <w:rPr>
      <w:color w:val="605E5C"/>
      <w:shd w:val="clear" w:color="auto" w:fill="E1DFDD"/>
    </w:rPr>
  </w:style>
  <w:style w:type="paragraph" w:styleId="Koptekst">
    <w:name w:val="header"/>
    <w:basedOn w:val="Standaard"/>
    <w:link w:val="KoptekstChar"/>
    <w:uiPriority w:val="99"/>
    <w:unhideWhenUsed/>
    <w:rsid w:val="00D25B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25BB6"/>
    <w:rPr>
      <w:rFonts w:ascii="Verdana" w:hAnsi="Verdana"/>
      <w:color w:val="000000"/>
      <w:sz w:val="18"/>
      <w:szCs w:val="18"/>
    </w:rPr>
  </w:style>
  <w:style w:type="paragraph" w:styleId="Revisie">
    <w:name w:val="Revision"/>
    <w:hidden/>
    <w:uiPriority w:val="99"/>
    <w:semiHidden/>
    <w:rsid w:val="00DF006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554943"/>
    <w:rPr>
      <w:color w:val="96607D" w:themeColor="followedHyperlink"/>
      <w:u w:val="single"/>
    </w:rPr>
  </w:style>
  <w:style w:type="paragraph" w:customStyle="1" w:styleId="Default">
    <w:name w:val="Default"/>
    <w:rsid w:val="00943246"/>
    <w:pPr>
      <w:autoSpaceDE w:val="0"/>
      <w:adjustRightInd w:val="0"/>
      <w:textAlignment w:val="auto"/>
    </w:pPr>
    <w:rPr>
      <w:rFonts w:ascii="BOBIO L+ Univers" w:hAnsi="BOBIO L+ Univers" w:cs="BOBIO L+ Univers"/>
      <w:color w:val="000000"/>
      <w:sz w:val="24"/>
      <w:szCs w:val="24"/>
    </w:rPr>
  </w:style>
  <w:style w:type="table" w:styleId="Onopgemaaktetabel3">
    <w:name w:val="Plain Table 3"/>
    <w:basedOn w:val="Standaardtabel"/>
    <w:uiPriority w:val="43"/>
    <w:rsid w:val="0094324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843">
      <w:bodyDiv w:val="1"/>
      <w:marLeft w:val="0"/>
      <w:marRight w:val="0"/>
      <w:marTop w:val="0"/>
      <w:marBottom w:val="0"/>
      <w:divBdr>
        <w:top w:val="none" w:sz="0" w:space="0" w:color="auto"/>
        <w:left w:val="none" w:sz="0" w:space="0" w:color="auto"/>
        <w:bottom w:val="none" w:sz="0" w:space="0" w:color="auto"/>
        <w:right w:val="none" w:sz="0" w:space="0" w:color="auto"/>
      </w:divBdr>
    </w:div>
    <w:div w:id="299193063">
      <w:bodyDiv w:val="1"/>
      <w:marLeft w:val="0"/>
      <w:marRight w:val="0"/>
      <w:marTop w:val="0"/>
      <w:marBottom w:val="0"/>
      <w:divBdr>
        <w:top w:val="none" w:sz="0" w:space="0" w:color="auto"/>
        <w:left w:val="none" w:sz="0" w:space="0" w:color="auto"/>
        <w:bottom w:val="none" w:sz="0" w:space="0" w:color="auto"/>
        <w:right w:val="none" w:sz="0" w:space="0" w:color="auto"/>
      </w:divBdr>
    </w:div>
    <w:div w:id="483158878">
      <w:bodyDiv w:val="1"/>
      <w:marLeft w:val="0"/>
      <w:marRight w:val="0"/>
      <w:marTop w:val="0"/>
      <w:marBottom w:val="0"/>
      <w:divBdr>
        <w:top w:val="none" w:sz="0" w:space="0" w:color="auto"/>
        <w:left w:val="none" w:sz="0" w:space="0" w:color="auto"/>
        <w:bottom w:val="none" w:sz="0" w:space="0" w:color="auto"/>
        <w:right w:val="none" w:sz="0" w:space="0" w:color="auto"/>
      </w:divBdr>
    </w:div>
    <w:div w:id="966738820">
      <w:bodyDiv w:val="1"/>
      <w:marLeft w:val="0"/>
      <w:marRight w:val="0"/>
      <w:marTop w:val="0"/>
      <w:marBottom w:val="0"/>
      <w:divBdr>
        <w:top w:val="none" w:sz="0" w:space="0" w:color="auto"/>
        <w:left w:val="none" w:sz="0" w:space="0" w:color="auto"/>
        <w:bottom w:val="none" w:sz="0" w:space="0" w:color="auto"/>
        <w:right w:val="none" w:sz="0" w:space="0" w:color="auto"/>
      </w:divBdr>
    </w:div>
    <w:div w:id="1064795223">
      <w:bodyDiv w:val="1"/>
      <w:marLeft w:val="0"/>
      <w:marRight w:val="0"/>
      <w:marTop w:val="0"/>
      <w:marBottom w:val="0"/>
      <w:divBdr>
        <w:top w:val="none" w:sz="0" w:space="0" w:color="auto"/>
        <w:left w:val="none" w:sz="0" w:space="0" w:color="auto"/>
        <w:bottom w:val="none" w:sz="0" w:space="0" w:color="auto"/>
        <w:right w:val="none" w:sz="0" w:space="0" w:color="auto"/>
      </w:divBdr>
    </w:div>
    <w:div w:id="1115715454">
      <w:bodyDiv w:val="1"/>
      <w:marLeft w:val="0"/>
      <w:marRight w:val="0"/>
      <w:marTop w:val="0"/>
      <w:marBottom w:val="0"/>
      <w:divBdr>
        <w:top w:val="none" w:sz="0" w:space="0" w:color="auto"/>
        <w:left w:val="none" w:sz="0" w:space="0" w:color="auto"/>
        <w:bottom w:val="none" w:sz="0" w:space="0" w:color="auto"/>
        <w:right w:val="none" w:sz="0" w:space="0" w:color="auto"/>
      </w:divBdr>
    </w:div>
    <w:div w:id="1251499819">
      <w:bodyDiv w:val="1"/>
      <w:marLeft w:val="0"/>
      <w:marRight w:val="0"/>
      <w:marTop w:val="0"/>
      <w:marBottom w:val="0"/>
      <w:divBdr>
        <w:top w:val="none" w:sz="0" w:space="0" w:color="auto"/>
        <w:left w:val="none" w:sz="0" w:space="0" w:color="auto"/>
        <w:bottom w:val="none" w:sz="0" w:space="0" w:color="auto"/>
        <w:right w:val="none" w:sz="0" w:space="0" w:color="auto"/>
      </w:divBdr>
    </w:div>
    <w:div w:id="1477141340">
      <w:bodyDiv w:val="1"/>
      <w:marLeft w:val="0"/>
      <w:marRight w:val="0"/>
      <w:marTop w:val="0"/>
      <w:marBottom w:val="0"/>
      <w:divBdr>
        <w:top w:val="none" w:sz="0" w:space="0" w:color="auto"/>
        <w:left w:val="none" w:sz="0" w:space="0" w:color="auto"/>
        <w:bottom w:val="none" w:sz="0" w:space="0" w:color="auto"/>
        <w:right w:val="none" w:sz="0" w:space="0" w:color="auto"/>
      </w:divBdr>
    </w:div>
    <w:div w:id="1710758459">
      <w:bodyDiv w:val="1"/>
      <w:marLeft w:val="0"/>
      <w:marRight w:val="0"/>
      <w:marTop w:val="0"/>
      <w:marBottom w:val="0"/>
      <w:divBdr>
        <w:top w:val="none" w:sz="0" w:space="0" w:color="auto"/>
        <w:left w:val="none" w:sz="0" w:space="0" w:color="auto"/>
        <w:bottom w:val="none" w:sz="0" w:space="0" w:color="auto"/>
        <w:right w:val="none" w:sz="0" w:space="0" w:color="auto"/>
      </w:divBdr>
    </w:div>
    <w:div w:id="1760903726">
      <w:bodyDiv w:val="1"/>
      <w:marLeft w:val="0"/>
      <w:marRight w:val="0"/>
      <w:marTop w:val="0"/>
      <w:marBottom w:val="0"/>
      <w:divBdr>
        <w:top w:val="none" w:sz="0" w:space="0" w:color="auto"/>
        <w:left w:val="none" w:sz="0" w:space="0" w:color="auto"/>
        <w:bottom w:val="none" w:sz="0" w:space="0" w:color="auto"/>
        <w:right w:val="none" w:sz="0" w:space="0" w:color="auto"/>
      </w:divBdr>
    </w:div>
    <w:div w:id="1808861746">
      <w:bodyDiv w:val="1"/>
      <w:marLeft w:val="0"/>
      <w:marRight w:val="0"/>
      <w:marTop w:val="0"/>
      <w:marBottom w:val="0"/>
      <w:divBdr>
        <w:top w:val="none" w:sz="0" w:space="0" w:color="auto"/>
        <w:left w:val="none" w:sz="0" w:space="0" w:color="auto"/>
        <w:bottom w:val="none" w:sz="0" w:space="0" w:color="auto"/>
        <w:right w:val="none" w:sz="0" w:space="0" w:color="auto"/>
      </w:divBdr>
    </w:div>
    <w:div w:id="2076661719">
      <w:bodyDiv w:val="1"/>
      <w:marLeft w:val="0"/>
      <w:marRight w:val="0"/>
      <w:marTop w:val="0"/>
      <w:marBottom w:val="0"/>
      <w:divBdr>
        <w:top w:val="none" w:sz="0" w:space="0" w:color="auto"/>
        <w:left w:val="none" w:sz="0" w:space="0" w:color="auto"/>
        <w:bottom w:val="none" w:sz="0" w:space="0" w:color="auto"/>
        <w:right w:val="none" w:sz="0" w:space="0" w:color="auto"/>
      </w:divBdr>
    </w:div>
    <w:div w:id="210568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epository.wodc.nl/handle/20.500.12832/3356"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4270</ap:Words>
  <ap:Characters>23485</ap:Characters>
  <ap:DocSecurity>0</ap:DocSecurity>
  <ap:Lines>195</ap:Lines>
  <ap:Paragraphs>55</ap:Paragraphs>
  <ap:ScaleCrop>false</ap:ScaleCrop>
  <ap:LinksUpToDate>false</ap:LinksUpToDate>
  <ap:CharactersWithSpaces>27700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2026-04-17T07:32:00.0000000Z</dcterms:created>
  <dcterms:modified xsi:type="dcterms:W3CDTF">2026-04-17T07:32:00.0000000Z</dcterms:modified>
  <dc:description>------------------------</dc:description>
  <dc:subject/>
  <keywords/>
  <version/>
  <category/>
</coreProperties>
</file>