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07EC" w:rsidR="00C8128C" w:rsidRDefault="001856D0" w14:paraId="5FC53CBE" w14:textId="77777777">
      <w:pPr>
        <w:autoSpaceDE w:val="0"/>
        <w:autoSpaceDN w:val="0"/>
        <w:adjustRightInd w:val="0"/>
        <w:spacing w:before="0" w:after="0"/>
        <w:ind w:left="1416" w:hanging="1371"/>
        <w:rPr>
          <w:b/>
          <w:bCs/>
          <w:sz w:val="23"/>
          <w:szCs w:val="23"/>
        </w:rPr>
      </w:pPr>
      <w:r w:rsidRPr="007407EC">
        <w:rPr>
          <w:b/>
          <w:bCs/>
          <w:sz w:val="23"/>
          <w:szCs w:val="23"/>
        </w:rPr>
        <w:t>36915-V</w:t>
      </w:r>
      <w:r w:rsidRPr="007407EC">
        <w:rPr>
          <w:b/>
          <w:bCs/>
          <w:sz w:val="23"/>
          <w:szCs w:val="23"/>
        </w:rPr>
        <w:tab/>
        <w:t>Wijziging van de begrotingsstaat van het Ministerie van Buitenlandse Zaken (V) voor het jaar 2026 (wijziging samenhangende met de Voorjaarsnota)</w:t>
      </w:r>
    </w:p>
    <w:p w:rsidRPr="007407EC" w:rsidR="00C8128C" w:rsidRDefault="00C8128C" w14:paraId="2CB832CB" w14:textId="77777777">
      <w:pPr>
        <w:autoSpaceDE w:val="0"/>
        <w:autoSpaceDN w:val="0"/>
        <w:adjustRightInd w:val="0"/>
        <w:spacing w:before="0" w:after="0"/>
        <w:ind w:left="1416" w:hanging="1371"/>
        <w:rPr>
          <w:b/>
        </w:rPr>
      </w:pPr>
    </w:p>
    <w:p w:rsidRPr="007407EC" w:rsidR="00C8128C" w:rsidRDefault="001856D0" w14:paraId="3181738F" w14:textId="77777777">
      <w:pPr>
        <w:rPr>
          <w:b/>
        </w:rPr>
      </w:pPr>
      <w:r w:rsidRPr="007407EC">
        <w:rPr>
          <w:b/>
        </w:rPr>
        <w:t xml:space="preserve">nr. </w:t>
      </w:r>
      <w:r w:rsidRPr="007407EC">
        <w:rPr>
          <w:b/>
        </w:rPr>
        <w:tab/>
      </w:r>
      <w:r w:rsidRPr="007407EC">
        <w:rPr>
          <w:b/>
        </w:rPr>
        <w:tab/>
        <w:t>Lijst van vragen en antwoorden</w:t>
      </w:r>
    </w:p>
    <w:p w:rsidRPr="007407EC" w:rsidR="00C8128C" w:rsidRDefault="001856D0" w14:paraId="4E3AF84F" w14:textId="77777777">
      <w:r w:rsidRPr="007407EC">
        <w:tab/>
      </w:r>
      <w:r w:rsidRPr="007407EC">
        <w:tab/>
      </w:r>
    </w:p>
    <w:p w:rsidRPr="007407EC" w:rsidR="00C8128C" w:rsidRDefault="001856D0" w14:paraId="4754D3DA" w14:textId="77777777">
      <w:pPr>
        <w:ind w:left="702" w:firstLine="708"/>
        <w:rPr>
          <w:i/>
        </w:rPr>
      </w:pPr>
      <w:r w:rsidRPr="007407EC">
        <w:t xml:space="preserve">Vastgesteld </w:t>
      </w:r>
      <w:r w:rsidRPr="007407EC">
        <w:rPr>
          <w:i/>
        </w:rPr>
        <w:t>(wordt door griffie ingevuld als antwoorden er zijn)</w:t>
      </w:r>
    </w:p>
    <w:p w:rsidRPr="007407EC" w:rsidR="00C8128C" w:rsidRDefault="001856D0" w14:paraId="1C503447" w14:textId="3D415EA3">
      <w:pPr>
        <w:ind w:left="1410"/>
      </w:pPr>
      <w:r w:rsidRPr="007407EC">
        <w:t xml:space="preserve">De vaste commissie </w:t>
      </w:r>
      <w:r w:rsidRPr="007407EC" w:rsidR="00546781">
        <w:t>voor Buitenlandse</w:t>
      </w:r>
      <w:r w:rsidRPr="007407EC" w:rsidR="1E9692B0">
        <w:t xml:space="preserve"> Zaken </w:t>
      </w:r>
      <w:r w:rsidRPr="007407EC">
        <w:t xml:space="preserve">heeft een aantal vragen voorgelegd aan de </w:t>
      </w:r>
      <w:r w:rsidRPr="007407EC" w:rsidR="6E2465CB">
        <w:t xml:space="preserve">minister van Buitenlandse Zaken </w:t>
      </w:r>
      <w:r w:rsidRPr="007407EC">
        <w:t xml:space="preserve">over de </w:t>
      </w:r>
      <w:r w:rsidRPr="007407EC" w:rsidR="604C6DAF">
        <w:t xml:space="preserve">brief van </w:t>
      </w:r>
      <w:r w:rsidRPr="007407EC" w:rsidR="7C381B26">
        <w:t>2 april</w:t>
      </w:r>
      <w:r w:rsidRPr="007407EC" w:rsidR="78ABA7FD">
        <w:t xml:space="preserve"> 2026 </w:t>
      </w:r>
      <w:r w:rsidRPr="007407EC">
        <w:t xml:space="preserve">inzake de </w:t>
      </w:r>
      <w:r w:rsidRPr="007407EC">
        <w:rPr>
          <w:b/>
        </w:rPr>
        <w:t>Wijziging van de begrotingsstaat van het Ministerie van Buitenlandse Zaken (V) voor het jaar 2026 (wijziging samenhangende met de Voorjaarsnota)</w:t>
      </w:r>
      <w:r w:rsidRPr="007407EC">
        <w:t xml:space="preserve"> (</w:t>
      </w:r>
      <w:r w:rsidRPr="007407EC">
        <w:rPr>
          <w:b/>
        </w:rPr>
        <w:t>36915</w:t>
      </w:r>
      <w:r w:rsidRPr="007407EC">
        <w:t xml:space="preserve">, nr. </w:t>
      </w:r>
      <w:r w:rsidRPr="007407EC">
        <w:rPr>
          <w:b/>
        </w:rPr>
        <w:t>1</w:t>
      </w:r>
      <w:r w:rsidRPr="007407EC">
        <w:t>).</w:t>
      </w:r>
    </w:p>
    <w:p w:rsidRPr="007407EC" w:rsidR="00C8128C" w:rsidRDefault="001856D0" w14:paraId="4BF258B7" w14:textId="44215615">
      <w:pPr>
        <w:ind w:left="1410"/>
      </w:pPr>
      <w:r w:rsidRPr="007407EC">
        <w:t xml:space="preserve">De daarop door de </w:t>
      </w:r>
      <w:r w:rsidRPr="007407EC" w:rsidR="61D78713">
        <w:t>minister</w:t>
      </w:r>
      <w:r w:rsidRPr="007407EC">
        <w:t xml:space="preserve"> gegeven antwoorden zijn hierbij afgedrukt.</w:t>
      </w:r>
    </w:p>
    <w:p w:rsidRPr="007407EC" w:rsidR="00C8128C" w:rsidRDefault="00C8128C" w14:paraId="2B4244EA" w14:textId="77777777">
      <w:pPr>
        <w:spacing w:before="0" w:after="0"/>
      </w:pPr>
    </w:p>
    <w:p w:rsidRPr="007407EC" w:rsidR="00C8128C" w:rsidRDefault="001856D0" w14:paraId="285A9615" w14:textId="77777777">
      <w:pPr>
        <w:spacing w:before="0" w:after="0"/>
        <w:ind w:left="703" w:firstLine="709"/>
      </w:pPr>
      <w:r w:rsidRPr="007407EC">
        <w:t xml:space="preserve">Voorzitter van de commissie, </w:t>
      </w:r>
    </w:p>
    <w:p w:rsidRPr="007407EC" w:rsidR="00C8128C" w:rsidRDefault="001856D0" w14:paraId="363C6BA3" w14:textId="436C66D5">
      <w:pPr>
        <w:spacing w:before="0" w:after="0"/>
      </w:pPr>
      <w:r w:rsidRPr="007407EC">
        <w:tab/>
      </w:r>
      <w:r w:rsidRPr="007407EC">
        <w:tab/>
      </w:r>
      <w:r w:rsidRPr="007407EC" w:rsidR="009732A8">
        <w:t>Klaver</w:t>
      </w:r>
    </w:p>
    <w:p w:rsidRPr="007407EC" w:rsidR="00C8128C" w:rsidRDefault="001856D0" w14:paraId="46FA150C" w14:textId="77777777">
      <w:pPr>
        <w:spacing w:before="0" w:after="0"/>
      </w:pPr>
      <w:r w:rsidRPr="007407EC">
        <w:tab/>
      </w:r>
      <w:r w:rsidRPr="007407EC">
        <w:tab/>
      </w:r>
    </w:p>
    <w:p w:rsidRPr="007407EC" w:rsidR="00C8128C" w:rsidRDefault="001856D0" w14:paraId="0306361E" w14:textId="1BAB1572">
      <w:pPr>
        <w:spacing w:before="0" w:after="0"/>
      </w:pPr>
      <w:r w:rsidRPr="007407EC">
        <w:tab/>
      </w:r>
      <w:r w:rsidRPr="007407EC">
        <w:tab/>
      </w:r>
      <w:r w:rsidRPr="007407EC" w:rsidR="009732A8">
        <w:t>Adjunct-g</w:t>
      </w:r>
      <w:r w:rsidRPr="007407EC">
        <w:t>riffier van de commissie,</w:t>
      </w:r>
    </w:p>
    <w:p w:rsidRPr="007407EC" w:rsidR="00C8128C" w:rsidRDefault="001856D0" w14:paraId="2056DEB0" w14:textId="5418F249">
      <w:pPr>
        <w:spacing w:before="0" w:after="0"/>
      </w:pPr>
      <w:r w:rsidRPr="007407EC">
        <w:tab/>
      </w:r>
      <w:r w:rsidRPr="007407EC">
        <w:tab/>
      </w:r>
      <w:r w:rsidRPr="007407EC" w:rsidR="009732A8">
        <w:t>Dekker</w:t>
      </w:r>
    </w:p>
    <w:p w:rsidRPr="007407EC" w:rsidR="00C8128C" w:rsidRDefault="00C8128C" w14:paraId="3FA9CBD9" w14:textId="77777777"/>
    <w:tbl>
      <w:tblPr>
        <w:tblStyle w:val="PlainTable2"/>
        <w:tblW w:w="8748" w:type="dxa"/>
        <w:tblBorders>
          <w:top w:val="none" w:color="auto" w:sz="0" w:space="0"/>
          <w:bottom w:val="none" w:color="auto" w:sz="0" w:space="0"/>
        </w:tblBorders>
        <w:tblLayout w:type="fixed"/>
        <w:tblLook w:val="0000" w:firstRow="0" w:lastRow="0" w:firstColumn="0" w:lastColumn="0" w:noHBand="0" w:noVBand="0"/>
      </w:tblPr>
      <w:tblGrid>
        <w:gridCol w:w="709"/>
        <w:gridCol w:w="6345"/>
        <w:gridCol w:w="974"/>
        <w:gridCol w:w="720"/>
      </w:tblGrid>
      <w:tr w:rsidRPr="007407EC" w:rsidR="00D1368E" w:rsidTr="00D1368E" w14:paraId="38BC3E93" w14:textId="3F1634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Borders>
              <w:top w:val="none" w:color="auto" w:sz="0" w:space="0"/>
              <w:left w:val="none" w:color="auto" w:sz="0" w:space="0"/>
              <w:bottom w:val="none" w:color="auto" w:sz="0" w:space="0"/>
              <w:right w:val="none" w:color="auto" w:sz="0" w:space="0"/>
            </w:tcBorders>
          </w:tcPr>
          <w:p w:rsidRPr="007407EC" w:rsidR="00D1368E" w:rsidP="000114BA" w:rsidRDefault="00D1368E" w14:paraId="6FFE205E" w14:textId="77777777">
            <w:bookmarkStart w:name="bmkStartTabel" w:id="0"/>
            <w:bookmarkEnd w:id="0"/>
            <w:proofErr w:type="spellStart"/>
            <w:r w:rsidRPr="007407EC">
              <w:t>Nr</w:t>
            </w:r>
            <w:proofErr w:type="spellEnd"/>
          </w:p>
        </w:tc>
        <w:tc>
          <w:tcPr>
            <w:cnfStyle w:val="000001000000" w:firstRow="0" w:lastRow="0" w:firstColumn="0" w:lastColumn="0" w:oddVBand="0" w:evenVBand="1" w:oddHBand="0" w:evenHBand="0" w:firstRowFirstColumn="0" w:firstRowLastColumn="0" w:lastRowFirstColumn="0" w:lastRowLastColumn="0"/>
            <w:tcW w:w="6345" w:type="dxa"/>
            <w:tcBorders>
              <w:top w:val="none" w:color="auto" w:sz="0" w:space="0"/>
              <w:left w:val="none" w:color="auto" w:sz="0" w:space="0"/>
              <w:bottom w:val="none" w:color="auto" w:sz="0" w:space="0"/>
              <w:right w:val="none" w:color="auto" w:sz="0" w:space="0"/>
            </w:tcBorders>
          </w:tcPr>
          <w:p w:rsidRPr="007407EC" w:rsidR="00D1368E" w:rsidP="000114BA" w:rsidRDefault="00D1368E" w14:paraId="032C9C81" w14:textId="77777777">
            <w:r w:rsidRPr="007407EC">
              <w:t>Vraag</w:t>
            </w:r>
          </w:p>
        </w:tc>
        <w:tc>
          <w:tcPr>
            <w:cnfStyle w:val="000010000000" w:firstRow="0" w:lastRow="0" w:firstColumn="0" w:lastColumn="0" w:oddVBand="1" w:evenVBand="0" w:oddHBand="0" w:evenHBand="0" w:firstRowFirstColumn="0" w:firstRowLastColumn="0" w:lastRowFirstColumn="0" w:lastRowLastColumn="0"/>
            <w:tcW w:w="974" w:type="dxa"/>
            <w:tcBorders>
              <w:top w:val="none" w:color="auto" w:sz="0" w:space="0"/>
              <w:left w:val="none" w:color="auto" w:sz="0" w:space="0"/>
              <w:bottom w:val="none" w:color="auto" w:sz="0" w:space="0"/>
              <w:right w:val="none" w:color="auto" w:sz="0" w:space="0"/>
            </w:tcBorders>
          </w:tcPr>
          <w:p w:rsidRPr="007407EC" w:rsidR="00D1368E" w:rsidP="000114BA" w:rsidRDefault="00D1368E" w14:paraId="08D73702" w14:textId="77777777">
            <w:pPr>
              <w:jc w:val="right"/>
            </w:pPr>
            <w:r w:rsidRPr="007407EC">
              <w:t>Blz. (van)</w:t>
            </w:r>
          </w:p>
        </w:tc>
        <w:tc>
          <w:tcPr>
            <w:cnfStyle w:val="000001000000" w:firstRow="0" w:lastRow="0" w:firstColumn="0" w:lastColumn="0" w:oddVBand="0" w:evenVBand="1" w:oddHBand="0" w:evenHBand="0" w:firstRowFirstColumn="0" w:firstRowLastColumn="0" w:lastRowFirstColumn="0" w:lastRowLastColumn="0"/>
            <w:tcW w:w="720" w:type="dxa"/>
            <w:tcBorders>
              <w:top w:val="none" w:color="auto" w:sz="0" w:space="0"/>
              <w:left w:val="none" w:color="auto" w:sz="0" w:space="0"/>
              <w:bottom w:val="none" w:color="auto" w:sz="0" w:space="0"/>
              <w:right w:val="none" w:color="auto" w:sz="0" w:space="0"/>
            </w:tcBorders>
          </w:tcPr>
          <w:p w:rsidRPr="007407EC" w:rsidR="00D1368E" w:rsidP="000114BA" w:rsidRDefault="00D1368E" w14:paraId="4365F030" w14:textId="77777777">
            <w:pPr>
              <w:jc w:val="center"/>
            </w:pPr>
            <w:r w:rsidRPr="007407EC">
              <w:t>t/m</w:t>
            </w:r>
          </w:p>
        </w:tc>
      </w:tr>
      <w:tr w:rsidRPr="007407EC" w:rsidR="00D1368E" w:rsidTr="00D1368E" w14:paraId="2DD288FA" w14:textId="21144B6F">
        <w:tc>
          <w:tcPr>
            <w:cnfStyle w:val="000010000000" w:firstRow="0" w:lastRow="0" w:firstColumn="0" w:lastColumn="0" w:oddVBand="1" w:evenVBand="0" w:oddHBand="0" w:evenHBand="0" w:firstRowFirstColumn="0" w:firstRowLastColumn="0" w:lastRowFirstColumn="0" w:lastRowLastColumn="0"/>
            <w:tcW w:w="709" w:type="dxa"/>
            <w:tcBorders>
              <w:left w:val="none" w:color="auto" w:sz="0" w:space="0"/>
              <w:right w:val="none" w:color="auto" w:sz="0" w:space="0"/>
            </w:tcBorders>
          </w:tcPr>
          <w:p w:rsidRPr="007407EC" w:rsidR="00D1368E" w:rsidP="000114BA" w:rsidRDefault="00D1368E" w14:paraId="28B95EC7" w14:textId="77777777">
            <w:r w:rsidRPr="007407EC">
              <w:t>1</w:t>
            </w:r>
          </w:p>
        </w:tc>
        <w:tc>
          <w:tcPr>
            <w:cnfStyle w:val="000001000000" w:firstRow="0" w:lastRow="0" w:firstColumn="0" w:lastColumn="0" w:oddVBand="0" w:evenVBand="1" w:oddHBand="0" w:evenHBand="0" w:firstRowFirstColumn="0" w:firstRowLastColumn="0" w:lastRowFirstColumn="0" w:lastRowLastColumn="0"/>
            <w:tcW w:w="6345" w:type="dxa"/>
            <w:tcBorders>
              <w:left w:val="none" w:color="auto" w:sz="0" w:space="0"/>
              <w:right w:val="none" w:color="auto" w:sz="0" w:space="0"/>
            </w:tcBorders>
          </w:tcPr>
          <w:p w:rsidRPr="00DF7F17" w:rsidR="00D1368E" w:rsidP="000114BA" w:rsidRDefault="00D1368E" w14:paraId="4189C03C" w14:textId="77777777">
            <w:r w:rsidRPr="00DF7F17">
              <w:t>Wat zijn de standen voor MATRA, Shiraka en het Politieke Partijen Programma van het Nederlands Fonds voor Regionale Partnerschappen (NFRP) voor de jaren 2027, 2028, 2029 en 2030?</w:t>
            </w:r>
          </w:p>
          <w:p w:rsidRPr="00DD0B5F" w:rsidR="00D1368E" w:rsidP="000114BA" w:rsidRDefault="00D1368E" w14:paraId="16E37C88" w14:textId="77777777">
            <w:pPr>
              <w:rPr>
                <w:b/>
                <w:bCs/>
              </w:rPr>
            </w:pPr>
          </w:p>
          <w:p w:rsidRPr="00DD0B5F" w:rsidR="00D1368E" w:rsidP="000114BA" w:rsidRDefault="00D1368E" w14:paraId="74EE6C11" w14:textId="05FAB526">
            <w:pPr>
              <w:rPr>
                <w:b/>
                <w:bCs/>
              </w:rPr>
            </w:pPr>
            <w:bookmarkStart w:name="_Hlk226982165" w:id="1"/>
            <w:r w:rsidRPr="00DD0B5F">
              <w:rPr>
                <w:b/>
                <w:bCs/>
              </w:rPr>
              <w:t>Antwoord</w:t>
            </w:r>
          </w:p>
          <w:p w:rsidRPr="00DD0B5F" w:rsidR="00D1368E" w:rsidP="0008288E" w:rsidRDefault="00D1368E" w14:paraId="1003CF4D" w14:textId="68F087B6">
            <w:pPr>
              <w:pStyle w:val="NoSpacing"/>
              <w:rPr>
                <w:rFonts w:ascii="Times New Roman" w:hAnsi="Times New Roman" w:cs="Times New Roman"/>
                <w:b/>
                <w:bCs/>
                <w:sz w:val="20"/>
                <w:szCs w:val="20"/>
              </w:rPr>
            </w:pPr>
            <w:r w:rsidRPr="00DD0B5F">
              <w:rPr>
                <w:rFonts w:ascii="Times New Roman" w:hAnsi="Times New Roman" w:cs="Times New Roman"/>
                <w:b/>
                <w:bCs/>
                <w:sz w:val="20"/>
                <w:szCs w:val="20"/>
              </w:rPr>
              <w:t xml:space="preserve">De budgetten voor het NFRP MATRA en Shiraka programma en het Politieke Partijen Programma van deze programma’s zijn te zien in onderstaande tabel. </w:t>
            </w:r>
          </w:p>
          <w:p w:rsidRPr="00DD0B5F" w:rsidR="00D1368E" w:rsidP="0008288E" w:rsidRDefault="00D1368E" w14:paraId="7D34753E" w14:textId="77777777">
            <w:pPr>
              <w:pStyle w:val="NoSpacing"/>
              <w:rPr>
                <w:rFonts w:ascii="Times New Roman" w:hAnsi="Times New Roman" w:cs="Times New Roman"/>
                <w:b/>
                <w:bCs/>
                <w:sz w:val="20"/>
                <w:szCs w:val="20"/>
              </w:rPr>
            </w:pPr>
          </w:p>
          <w:p w:rsidRPr="00DD0B5F" w:rsidR="00D1368E" w:rsidP="0008288E" w:rsidRDefault="00D1368E" w14:paraId="6082B52C" w14:textId="6544772A">
            <w:pPr>
              <w:pStyle w:val="NoSpacing"/>
              <w:rPr>
                <w:rFonts w:ascii="Times New Roman" w:hAnsi="Times New Roman" w:cs="Times New Roman"/>
                <w:b/>
                <w:bCs/>
                <w:sz w:val="20"/>
                <w:szCs w:val="20"/>
              </w:rPr>
            </w:pPr>
            <w:r w:rsidRPr="00DD0B5F">
              <w:rPr>
                <w:rFonts w:ascii="Times New Roman" w:hAnsi="Times New Roman" w:cs="Times New Roman"/>
                <w:b/>
                <w:bCs/>
                <w:sz w:val="20"/>
                <w:szCs w:val="20"/>
              </w:rPr>
              <w:t>Uitgangspunt is dat binnen de totale budgetten van het NFRP MATRA- en Shiraka-programma 12 procent is gereserveerd voor het Politieke Partijen Programma (PPP). Een deel van dit bedrag wordt overgeheveld naar het ministerie van Binnenlandse Zaken en Koninkrijksrelaties (BZK) en vanuit daar beschikbaar gesteld op basis van de </w:t>
            </w:r>
            <w:hyperlink w:history="1" r:id="rId11">
              <w:r w:rsidRPr="00D23760">
                <w:rPr>
                  <w:rStyle w:val="Hyperlink"/>
                  <w:rFonts w:ascii="Times New Roman" w:hAnsi="Times New Roman" w:cs="Times New Roman"/>
                  <w:b/>
                  <w:bCs/>
                  <w:color w:val="auto"/>
                  <w:sz w:val="20"/>
                  <w:szCs w:val="20"/>
                  <w:u w:val="none"/>
                </w:rPr>
                <w:t>Wet financiering politieke partijen </w:t>
              </w:r>
            </w:hyperlink>
            <w:r w:rsidRPr="00DD0B5F">
              <w:rPr>
                <w:rFonts w:ascii="Times New Roman" w:hAnsi="Times New Roman" w:cs="Times New Roman"/>
                <w:b/>
                <w:bCs/>
                <w:sz w:val="20"/>
                <w:szCs w:val="20"/>
              </w:rPr>
              <w:t>(</w:t>
            </w:r>
            <w:proofErr w:type="spellStart"/>
            <w:r w:rsidRPr="00DD0B5F">
              <w:rPr>
                <w:rFonts w:ascii="Times New Roman" w:hAnsi="Times New Roman" w:cs="Times New Roman"/>
                <w:b/>
                <w:bCs/>
                <w:sz w:val="20"/>
                <w:szCs w:val="20"/>
              </w:rPr>
              <w:t>Wfpp</w:t>
            </w:r>
            <w:proofErr w:type="spellEnd"/>
            <w:r w:rsidRPr="00DD0B5F">
              <w:rPr>
                <w:rFonts w:ascii="Times New Roman" w:hAnsi="Times New Roman" w:cs="Times New Roman"/>
                <w:b/>
                <w:bCs/>
                <w:sz w:val="20"/>
                <w:szCs w:val="20"/>
              </w:rPr>
              <w:t xml:space="preserve">). De </w:t>
            </w:r>
            <w:r w:rsidR="00D23760">
              <w:rPr>
                <w:rFonts w:ascii="Times New Roman" w:hAnsi="Times New Roman" w:cs="Times New Roman"/>
                <w:b/>
                <w:bCs/>
                <w:sz w:val="20"/>
                <w:szCs w:val="20"/>
              </w:rPr>
              <w:t>m</w:t>
            </w:r>
            <w:r w:rsidRPr="00DD0B5F">
              <w:rPr>
                <w:rFonts w:ascii="Times New Roman" w:hAnsi="Times New Roman" w:cs="Times New Roman"/>
                <w:b/>
                <w:bCs/>
                <w:sz w:val="20"/>
                <w:szCs w:val="20"/>
              </w:rPr>
              <w:t>inister van Buitenlandse Zaken stelt het resterende deel beschikbaar voor subsidieverstrekking in het kader van het NFRP Politieke Partijen Programma. Vanaf 2028 zal de afdracht vanuit NFRP MATRA aan BZK groter zijn dan de 12 procent die van het totale NFRP MATRA budget wordt gereserveerd voor het PPP, waardoor er geen subsidie meer voor het PPP in de MATRA-regio beschikbaar zal zijn vanuit het ministerie van Buitenlandse Zaken.</w:t>
            </w:r>
          </w:p>
          <w:p w:rsidRPr="00DD0B5F" w:rsidR="00D1368E" w:rsidP="0008288E" w:rsidRDefault="00D1368E" w14:paraId="116D3752" w14:textId="77777777">
            <w:pPr>
              <w:pStyle w:val="NoSpacing"/>
              <w:rPr>
                <w:rFonts w:ascii="Times New Roman" w:hAnsi="Times New Roman" w:cs="Times New Roman"/>
                <w:b/>
                <w:bCs/>
                <w:sz w:val="20"/>
                <w:szCs w:val="20"/>
              </w:rPr>
            </w:pPr>
          </w:p>
          <w:p w:rsidRPr="00DD0B5F" w:rsidR="00D1368E" w:rsidP="0008288E" w:rsidRDefault="00D1368E" w14:paraId="25F01291" w14:textId="7F47F162">
            <w:pPr>
              <w:pStyle w:val="NoSpacing"/>
              <w:rPr>
                <w:rFonts w:ascii="Times New Roman" w:hAnsi="Times New Roman" w:cs="Times New Roman"/>
                <w:b/>
                <w:bCs/>
                <w:sz w:val="20"/>
                <w:szCs w:val="20"/>
              </w:rPr>
            </w:pPr>
            <w:r w:rsidRPr="00DD0B5F">
              <w:rPr>
                <w:rFonts w:ascii="Times New Roman" w:hAnsi="Times New Roman" w:cs="Times New Roman"/>
                <w:b/>
                <w:bCs/>
                <w:sz w:val="20"/>
                <w:szCs w:val="20"/>
              </w:rPr>
              <w:t>De motie Piri c.s. (</w:t>
            </w:r>
            <w:r w:rsidR="00A30F25">
              <w:rPr>
                <w:rFonts w:ascii="Times New Roman" w:hAnsi="Times New Roman" w:cs="Times New Roman"/>
                <w:b/>
                <w:bCs/>
                <w:sz w:val="20"/>
                <w:szCs w:val="20"/>
              </w:rPr>
              <w:t xml:space="preserve">Kamerstuk </w:t>
            </w:r>
            <w:r w:rsidRPr="00DD0B5F">
              <w:rPr>
                <w:rFonts w:ascii="Times New Roman" w:hAnsi="Times New Roman" w:cs="Times New Roman"/>
                <w:b/>
                <w:bCs/>
                <w:sz w:val="20"/>
                <w:szCs w:val="20"/>
              </w:rPr>
              <w:t>32 735, nr. 406) verzoek</w:t>
            </w:r>
            <w:r w:rsidR="00A30F25">
              <w:rPr>
                <w:rFonts w:ascii="Times New Roman" w:hAnsi="Times New Roman" w:cs="Times New Roman"/>
                <w:b/>
                <w:bCs/>
                <w:sz w:val="20"/>
                <w:szCs w:val="20"/>
              </w:rPr>
              <w:t>t</w:t>
            </w:r>
            <w:r w:rsidRPr="00DD0B5F">
              <w:rPr>
                <w:rFonts w:ascii="Times New Roman" w:hAnsi="Times New Roman" w:cs="Times New Roman"/>
                <w:b/>
                <w:bCs/>
                <w:sz w:val="20"/>
                <w:szCs w:val="20"/>
              </w:rPr>
              <w:t xml:space="preserve"> het kabinet om ruimte te zoeken op de begrotingsposten waar vaak onderuitputting is om het NFRP in 2026 en 2027 budgettair onverminderd ten opzichte van 2025 voort te zetten. Er is vooralsnog geen sprake van onderuitputting waarmee de volledige bezuinigingen teruggedraaid kunnen worden. Wel is toegezegd om voor 2026 en 2027 het budget voor het NFRP het Politieke Partijen Programma alvast te corrigeren naar het niveau van 2025. Dit zal worden gedekt uit het Stabiliteitsfonds. Als er zich gedurende het jaar onderuitputting voordoet op de begroting zal, indachtig deze motie, met prioriteit bekeken worden of het NFRP MATRA en Shiraka budget voor 2026 en 2027 verder hersteld kan </w:t>
            </w:r>
            <w:r w:rsidRPr="00DD0B5F">
              <w:rPr>
                <w:rFonts w:ascii="Times New Roman" w:hAnsi="Times New Roman" w:cs="Times New Roman"/>
                <w:b/>
                <w:bCs/>
                <w:sz w:val="20"/>
                <w:szCs w:val="20"/>
              </w:rPr>
              <w:lastRenderedPageBreak/>
              <w:t>worden.</w:t>
            </w:r>
          </w:p>
          <w:p w:rsidRPr="00DD0B5F" w:rsidR="00D1368E" w:rsidP="0008288E" w:rsidRDefault="00D1368E" w14:paraId="06050CFC" w14:textId="77777777">
            <w:pPr>
              <w:pStyle w:val="NoSpacing"/>
              <w:rPr>
                <w:rFonts w:ascii="Times New Roman" w:hAnsi="Times New Roman" w:cs="Times New Roman"/>
                <w:b/>
                <w:bCs/>
                <w:sz w:val="16"/>
                <w:szCs w:val="16"/>
              </w:rPr>
            </w:pPr>
          </w:p>
          <w:tbl>
            <w:tblPr>
              <w:tblW w:w="5592" w:type="dxa"/>
              <w:tblCellMar>
                <w:left w:w="70" w:type="dxa"/>
                <w:right w:w="70" w:type="dxa"/>
              </w:tblCellMar>
              <w:tblLook w:val="04A0" w:firstRow="1" w:lastRow="0" w:firstColumn="1" w:lastColumn="0" w:noHBand="0" w:noVBand="1"/>
            </w:tblPr>
            <w:tblGrid>
              <w:gridCol w:w="1542"/>
              <w:gridCol w:w="540"/>
              <w:gridCol w:w="1620"/>
              <w:gridCol w:w="1890"/>
            </w:tblGrid>
            <w:tr w:rsidRPr="00DD0B5F" w:rsidR="00D1368E" w:rsidTr="0008288E" w14:paraId="63802C19" w14:textId="77777777">
              <w:trPr>
                <w:trHeight w:val="225"/>
              </w:trPr>
              <w:tc>
                <w:tcPr>
                  <w:tcW w:w="55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D0B5F" w:rsidR="00D1368E" w:rsidP="0008288E" w:rsidRDefault="00D1368E" w14:paraId="0ACFDDE4" w14:textId="472A80AC">
                  <w:pPr>
                    <w:spacing w:after="0"/>
                    <w:rPr>
                      <w:b/>
                      <w:bCs/>
                      <w:sz w:val="16"/>
                      <w:szCs w:val="16"/>
                    </w:rPr>
                  </w:pPr>
                  <w:r w:rsidRPr="00DD0B5F">
                    <w:rPr>
                      <w:b/>
                      <w:bCs/>
                      <w:sz w:val="16"/>
                      <w:szCs w:val="16"/>
                    </w:rPr>
                    <w:t>Budget NFRP MATRA, Shiraka en Politieke Partijen Programma 2025-2030</w:t>
                  </w:r>
                </w:p>
              </w:tc>
            </w:tr>
            <w:tr w:rsidRPr="00DD0B5F" w:rsidR="00D1368E" w:rsidTr="008E021B" w14:paraId="36725A3B" w14:textId="77777777">
              <w:trPr>
                <w:trHeight w:val="225"/>
              </w:trPr>
              <w:tc>
                <w:tcPr>
                  <w:tcW w:w="1542" w:type="dxa"/>
                  <w:tcBorders>
                    <w:top w:val="nil"/>
                    <w:left w:val="single" w:color="auto" w:sz="4" w:space="0"/>
                    <w:bottom w:val="single" w:color="auto" w:sz="4" w:space="0"/>
                    <w:right w:val="single" w:color="auto" w:sz="4" w:space="0"/>
                  </w:tcBorders>
                  <w:shd w:val="clear" w:color="auto" w:fill="auto"/>
                  <w:noWrap/>
                  <w:vAlign w:val="center"/>
                  <w:hideMark/>
                </w:tcPr>
                <w:p w:rsidRPr="00DD0B5F" w:rsidR="00D1368E" w:rsidP="0008288E" w:rsidRDefault="00D1368E" w14:paraId="4728A4BB" w14:textId="77777777">
                  <w:pPr>
                    <w:spacing w:after="0"/>
                    <w:rPr>
                      <w:b/>
                      <w:bCs/>
                      <w:sz w:val="16"/>
                      <w:szCs w:val="16"/>
                    </w:rPr>
                  </w:pPr>
                  <w:r w:rsidRPr="00DD0B5F">
                    <w:rPr>
                      <w:b/>
                      <w:bCs/>
                      <w:sz w:val="16"/>
                      <w:szCs w:val="16"/>
                    </w:rPr>
                    <w:t>Programma</w:t>
                  </w:r>
                </w:p>
              </w:tc>
              <w:tc>
                <w:tcPr>
                  <w:tcW w:w="540" w:type="dxa"/>
                  <w:tcBorders>
                    <w:top w:val="nil"/>
                    <w:left w:val="nil"/>
                    <w:bottom w:val="single" w:color="auto" w:sz="4" w:space="0"/>
                    <w:right w:val="single" w:color="auto" w:sz="4" w:space="0"/>
                  </w:tcBorders>
                  <w:shd w:val="clear" w:color="auto" w:fill="auto"/>
                  <w:noWrap/>
                  <w:vAlign w:val="center"/>
                  <w:hideMark/>
                </w:tcPr>
                <w:p w:rsidRPr="00DD0B5F" w:rsidR="00D1368E" w:rsidP="0008288E" w:rsidRDefault="00D1368E" w14:paraId="7D44781D" w14:textId="77777777">
                  <w:pPr>
                    <w:spacing w:after="0"/>
                    <w:rPr>
                      <w:b/>
                      <w:bCs/>
                      <w:sz w:val="16"/>
                      <w:szCs w:val="16"/>
                    </w:rPr>
                  </w:pPr>
                  <w:r w:rsidRPr="00DD0B5F">
                    <w:rPr>
                      <w:b/>
                      <w:bCs/>
                      <w:sz w:val="16"/>
                      <w:szCs w:val="16"/>
                    </w:rPr>
                    <w:t>Jaar</w:t>
                  </w:r>
                </w:p>
              </w:tc>
              <w:tc>
                <w:tcPr>
                  <w:tcW w:w="1620" w:type="dxa"/>
                  <w:tcBorders>
                    <w:top w:val="nil"/>
                    <w:left w:val="nil"/>
                    <w:bottom w:val="single" w:color="auto" w:sz="4" w:space="0"/>
                    <w:right w:val="single" w:color="auto" w:sz="4" w:space="0"/>
                  </w:tcBorders>
                  <w:shd w:val="clear" w:color="auto" w:fill="auto"/>
                  <w:noWrap/>
                  <w:vAlign w:val="center"/>
                  <w:hideMark/>
                </w:tcPr>
                <w:p w:rsidRPr="00DD0B5F" w:rsidR="00D1368E" w:rsidP="0008288E" w:rsidRDefault="00D1368E" w14:paraId="46C0FD1A" w14:textId="77777777">
                  <w:pPr>
                    <w:spacing w:after="0"/>
                    <w:rPr>
                      <w:b/>
                      <w:bCs/>
                      <w:sz w:val="16"/>
                      <w:szCs w:val="16"/>
                    </w:rPr>
                  </w:pPr>
                  <w:r w:rsidRPr="00DD0B5F">
                    <w:rPr>
                      <w:b/>
                      <w:bCs/>
                      <w:sz w:val="16"/>
                      <w:szCs w:val="16"/>
                    </w:rPr>
                    <w:t>Budget</w:t>
                  </w:r>
                </w:p>
              </w:tc>
              <w:tc>
                <w:tcPr>
                  <w:tcW w:w="1890" w:type="dxa"/>
                  <w:tcBorders>
                    <w:top w:val="nil"/>
                    <w:left w:val="nil"/>
                    <w:bottom w:val="single" w:color="auto" w:sz="4" w:space="0"/>
                    <w:right w:val="single" w:color="auto" w:sz="4" w:space="0"/>
                  </w:tcBorders>
                  <w:shd w:val="clear" w:color="auto" w:fill="auto"/>
                  <w:noWrap/>
                  <w:vAlign w:val="bottom"/>
                  <w:hideMark/>
                </w:tcPr>
                <w:p w:rsidRPr="00DD0B5F" w:rsidR="00D1368E" w:rsidP="0008288E" w:rsidRDefault="00D1368E" w14:paraId="74BA9EFE" w14:textId="08706F42">
                  <w:pPr>
                    <w:spacing w:after="0"/>
                    <w:rPr>
                      <w:b/>
                      <w:bCs/>
                      <w:sz w:val="16"/>
                      <w:szCs w:val="16"/>
                    </w:rPr>
                  </w:pPr>
                  <w:r w:rsidRPr="00DD0B5F">
                    <w:rPr>
                      <w:b/>
                      <w:bCs/>
                      <w:sz w:val="16"/>
                      <w:szCs w:val="16"/>
                    </w:rPr>
                    <w:t xml:space="preserve">Subsidieplafond PPP na afdracht </w:t>
                  </w:r>
                  <w:proofErr w:type="spellStart"/>
                  <w:r w:rsidRPr="00DD0B5F">
                    <w:rPr>
                      <w:b/>
                      <w:bCs/>
                      <w:sz w:val="16"/>
                      <w:szCs w:val="16"/>
                    </w:rPr>
                    <w:t>Wfpp</w:t>
                  </w:r>
                  <w:proofErr w:type="spellEnd"/>
                  <w:r w:rsidRPr="00DD0B5F">
                    <w:rPr>
                      <w:b/>
                      <w:bCs/>
                      <w:sz w:val="16"/>
                      <w:szCs w:val="16"/>
                    </w:rPr>
                    <w:t xml:space="preserve"> </w:t>
                  </w:r>
                </w:p>
              </w:tc>
            </w:tr>
            <w:tr w:rsidRPr="00DD0B5F" w:rsidR="00D1368E" w:rsidTr="007C074A" w14:paraId="70D1DDD5" w14:textId="77777777">
              <w:trPr>
                <w:trHeight w:val="225"/>
              </w:trPr>
              <w:tc>
                <w:tcPr>
                  <w:tcW w:w="1542" w:type="dxa"/>
                  <w:tcBorders>
                    <w:top w:val="single" w:color="auto" w:sz="4" w:space="0"/>
                    <w:left w:val="single" w:color="auto" w:sz="4" w:space="0"/>
                    <w:bottom w:val="nil"/>
                    <w:right w:val="single" w:color="auto" w:sz="4" w:space="0"/>
                  </w:tcBorders>
                  <w:shd w:val="clear" w:color="auto" w:fill="auto"/>
                  <w:noWrap/>
                  <w:vAlign w:val="center"/>
                  <w:hideMark/>
                </w:tcPr>
                <w:p w:rsidRPr="00DD0B5F" w:rsidR="00D1368E" w:rsidP="007C074A" w:rsidRDefault="00D1368E" w14:paraId="0029AFA3" w14:textId="388C2D61">
                  <w:pPr>
                    <w:spacing w:after="0"/>
                    <w:rPr>
                      <w:b/>
                      <w:bCs/>
                      <w:sz w:val="16"/>
                      <w:szCs w:val="16"/>
                    </w:rPr>
                  </w:pPr>
                  <w:r w:rsidRPr="00DD0B5F">
                    <w:rPr>
                      <w:b/>
                      <w:bCs/>
                      <w:sz w:val="16"/>
                      <w:szCs w:val="16"/>
                    </w:rPr>
                    <w:t> NFRP MATRA</w:t>
                  </w:r>
                </w:p>
              </w:tc>
              <w:tc>
                <w:tcPr>
                  <w:tcW w:w="540" w:type="dxa"/>
                  <w:tcBorders>
                    <w:top w:val="nil"/>
                    <w:left w:val="nil"/>
                    <w:bottom w:val="single" w:color="auto" w:sz="4" w:space="0"/>
                    <w:right w:val="single" w:color="auto" w:sz="4" w:space="0"/>
                  </w:tcBorders>
                  <w:shd w:val="clear" w:color="auto" w:fill="auto"/>
                  <w:noWrap/>
                  <w:vAlign w:val="center"/>
                </w:tcPr>
                <w:p w:rsidRPr="00DD0B5F" w:rsidR="00D1368E" w:rsidP="007C074A" w:rsidRDefault="00D1368E" w14:paraId="5A43B3EA" w14:textId="538BA2E8">
                  <w:pPr>
                    <w:spacing w:after="0"/>
                    <w:jc w:val="right"/>
                    <w:rPr>
                      <w:b/>
                      <w:bCs/>
                      <w:sz w:val="16"/>
                      <w:szCs w:val="16"/>
                    </w:rPr>
                  </w:pPr>
                  <w:r w:rsidRPr="00DD0B5F">
                    <w:rPr>
                      <w:b/>
                      <w:bCs/>
                      <w:sz w:val="16"/>
                      <w:szCs w:val="16"/>
                    </w:rPr>
                    <w:t>2027</w:t>
                  </w:r>
                </w:p>
              </w:tc>
              <w:tc>
                <w:tcPr>
                  <w:tcW w:w="1620" w:type="dxa"/>
                  <w:tcBorders>
                    <w:top w:val="nil"/>
                    <w:left w:val="nil"/>
                    <w:bottom w:val="single" w:color="auto" w:sz="4" w:space="0"/>
                    <w:right w:val="single" w:color="auto" w:sz="4" w:space="0"/>
                  </w:tcBorders>
                  <w:shd w:val="clear" w:color="auto" w:fill="auto"/>
                  <w:noWrap/>
                  <w:vAlign w:val="center"/>
                </w:tcPr>
                <w:p w:rsidRPr="00DD0B5F" w:rsidR="00D1368E" w:rsidP="007C074A" w:rsidRDefault="00D1368E" w14:paraId="7259FE95" w14:textId="2EF5853C">
                  <w:pPr>
                    <w:spacing w:after="0"/>
                    <w:rPr>
                      <w:b/>
                      <w:bCs/>
                      <w:sz w:val="16"/>
                      <w:szCs w:val="16"/>
                    </w:rPr>
                  </w:pPr>
                  <w:r w:rsidRPr="00DD0B5F">
                    <w:rPr>
                      <w:b/>
                      <w:bCs/>
                      <w:sz w:val="16"/>
                      <w:szCs w:val="16"/>
                    </w:rPr>
                    <w:t xml:space="preserve"> €         8.199.000,00 </w:t>
                  </w:r>
                </w:p>
              </w:tc>
              <w:tc>
                <w:tcPr>
                  <w:tcW w:w="1890" w:type="dxa"/>
                  <w:tcBorders>
                    <w:top w:val="nil"/>
                    <w:left w:val="nil"/>
                    <w:bottom w:val="single" w:color="auto" w:sz="4" w:space="0"/>
                    <w:right w:val="single" w:color="auto" w:sz="4" w:space="0"/>
                  </w:tcBorders>
                  <w:shd w:val="clear" w:color="auto" w:fill="auto"/>
                  <w:noWrap/>
                  <w:vAlign w:val="bottom"/>
                </w:tcPr>
                <w:p w:rsidRPr="00DD0B5F" w:rsidR="00D1368E" w:rsidP="007C074A" w:rsidRDefault="00D1368E" w14:paraId="01889BE9" w14:textId="1C05184E">
                  <w:pPr>
                    <w:spacing w:after="0"/>
                    <w:rPr>
                      <w:b/>
                      <w:bCs/>
                      <w:sz w:val="16"/>
                      <w:szCs w:val="16"/>
                    </w:rPr>
                  </w:pPr>
                  <w:r w:rsidRPr="00DD0B5F">
                    <w:rPr>
                      <w:b/>
                      <w:bCs/>
                      <w:sz w:val="16"/>
                      <w:szCs w:val="16"/>
                    </w:rPr>
                    <w:t xml:space="preserve"> €              594.000,00 </w:t>
                  </w:r>
                </w:p>
              </w:tc>
            </w:tr>
            <w:tr w:rsidRPr="00DD0B5F" w:rsidR="00D1368E" w:rsidTr="007C074A" w14:paraId="4E542D04" w14:textId="77777777">
              <w:trPr>
                <w:trHeight w:val="225"/>
              </w:trPr>
              <w:tc>
                <w:tcPr>
                  <w:tcW w:w="1542" w:type="dxa"/>
                  <w:tcBorders>
                    <w:top w:val="nil"/>
                    <w:left w:val="single" w:color="auto" w:sz="4" w:space="0"/>
                    <w:bottom w:val="nil"/>
                    <w:right w:val="single" w:color="auto" w:sz="4" w:space="0"/>
                  </w:tcBorders>
                  <w:shd w:val="clear" w:color="auto" w:fill="auto"/>
                  <w:noWrap/>
                  <w:vAlign w:val="center"/>
                  <w:hideMark/>
                </w:tcPr>
                <w:p w:rsidRPr="00DD0B5F" w:rsidR="00D1368E" w:rsidP="007C074A" w:rsidRDefault="00D1368E" w14:paraId="3E382A51" w14:textId="77777777">
                  <w:pPr>
                    <w:spacing w:after="0"/>
                    <w:rPr>
                      <w:b/>
                      <w:bCs/>
                      <w:sz w:val="16"/>
                      <w:szCs w:val="16"/>
                    </w:rPr>
                  </w:pPr>
                  <w:r w:rsidRPr="00DD0B5F">
                    <w:rPr>
                      <w:b/>
                      <w:bCs/>
                      <w:sz w:val="16"/>
                      <w:szCs w:val="16"/>
                    </w:rPr>
                    <w:t> </w:t>
                  </w:r>
                </w:p>
              </w:tc>
              <w:tc>
                <w:tcPr>
                  <w:tcW w:w="540" w:type="dxa"/>
                  <w:tcBorders>
                    <w:top w:val="nil"/>
                    <w:left w:val="nil"/>
                    <w:bottom w:val="single" w:color="auto" w:sz="4" w:space="0"/>
                    <w:right w:val="single" w:color="auto" w:sz="4" w:space="0"/>
                  </w:tcBorders>
                  <w:shd w:val="clear" w:color="auto" w:fill="auto"/>
                  <w:noWrap/>
                  <w:vAlign w:val="center"/>
                </w:tcPr>
                <w:p w:rsidRPr="00DD0B5F" w:rsidR="00D1368E" w:rsidP="007C074A" w:rsidRDefault="00D1368E" w14:paraId="0BBC4710" w14:textId="0A822315">
                  <w:pPr>
                    <w:spacing w:after="0"/>
                    <w:jc w:val="right"/>
                    <w:rPr>
                      <w:b/>
                      <w:bCs/>
                      <w:sz w:val="16"/>
                      <w:szCs w:val="16"/>
                    </w:rPr>
                  </w:pPr>
                  <w:r w:rsidRPr="00DD0B5F">
                    <w:rPr>
                      <w:b/>
                      <w:bCs/>
                      <w:sz w:val="16"/>
                      <w:szCs w:val="16"/>
                    </w:rPr>
                    <w:t>2028</w:t>
                  </w:r>
                </w:p>
              </w:tc>
              <w:tc>
                <w:tcPr>
                  <w:tcW w:w="1620" w:type="dxa"/>
                  <w:tcBorders>
                    <w:top w:val="nil"/>
                    <w:left w:val="nil"/>
                    <w:bottom w:val="single" w:color="auto" w:sz="4" w:space="0"/>
                    <w:right w:val="single" w:color="auto" w:sz="4" w:space="0"/>
                  </w:tcBorders>
                  <w:shd w:val="clear" w:color="auto" w:fill="auto"/>
                  <w:noWrap/>
                  <w:vAlign w:val="center"/>
                </w:tcPr>
                <w:p w:rsidRPr="00DD0B5F" w:rsidR="00D1368E" w:rsidP="007C074A" w:rsidRDefault="00D1368E" w14:paraId="50FED7ED" w14:textId="3D889FB1">
                  <w:pPr>
                    <w:spacing w:after="0"/>
                    <w:rPr>
                      <w:b/>
                      <w:bCs/>
                      <w:sz w:val="16"/>
                      <w:szCs w:val="16"/>
                    </w:rPr>
                  </w:pPr>
                  <w:r w:rsidRPr="00DD0B5F">
                    <w:rPr>
                      <w:b/>
                      <w:bCs/>
                      <w:sz w:val="16"/>
                      <w:szCs w:val="16"/>
                    </w:rPr>
                    <w:t xml:space="preserve"> €         5.794.000,00 </w:t>
                  </w:r>
                </w:p>
              </w:tc>
              <w:tc>
                <w:tcPr>
                  <w:tcW w:w="1890" w:type="dxa"/>
                  <w:tcBorders>
                    <w:top w:val="nil"/>
                    <w:left w:val="nil"/>
                    <w:bottom w:val="single" w:color="auto" w:sz="4" w:space="0"/>
                    <w:right w:val="single" w:color="auto" w:sz="4" w:space="0"/>
                  </w:tcBorders>
                  <w:shd w:val="clear" w:color="auto" w:fill="auto"/>
                  <w:noWrap/>
                  <w:vAlign w:val="bottom"/>
                </w:tcPr>
                <w:p w:rsidRPr="00DD0B5F" w:rsidR="00D1368E" w:rsidP="007C074A" w:rsidRDefault="00D1368E" w14:paraId="5BAE71E4" w14:textId="3D631295">
                  <w:pPr>
                    <w:spacing w:after="0"/>
                    <w:rPr>
                      <w:b/>
                      <w:bCs/>
                      <w:sz w:val="16"/>
                      <w:szCs w:val="16"/>
                    </w:rPr>
                  </w:pPr>
                  <w:r w:rsidRPr="00DD0B5F">
                    <w:rPr>
                      <w:b/>
                      <w:bCs/>
                      <w:sz w:val="16"/>
                      <w:szCs w:val="16"/>
                    </w:rPr>
                    <w:t xml:space="preserve"> €                             - </w:t>
                  </w:r>
                </w:p>
              </w:tc>
            </w:tr>
            <w:tr w:rsidRPr="00DD0B5F" w:rsidR="00D1368E" w:rsidTr="007C074A" w14:paraId="4531492A" w14:textId="77777777">
              <w:trPr>
                <w:trHeight w:val="225"/>
              </w:trPr>
              <w:tc>
                <w:tcPr>
                  <w:tcW w:w="1542" w:type="dxa"/>
                  <w:tcBorders>
                    <w:top w:val="nil"/>
                    <w:left w:val="single" w:color="auto" w:sz="4" w:space="0"/>
                    <w:bottom w:val="nil"/>
                    <w:right w:val="single" w:color="auto" w:sz="4" w:space="0"/>
                  </w:tcBorders>
                  <w:shd w:val="clear" w:color="auto" w:fill="auto"/>
                  <w:noWrap/>
                  <w:vAlign w:val="center"/>
                  <w:hideMark/>
                </w:tcPr>
                <w:p w:rsidRPr="00DD0B5F" w:rsidR="00D1368E" w:rsidP="007C074A" w:rsidRDefault="00D1368E" w14:paraId="0E4FCF98" w14:textId="77777777">
                  <w:pPr>
                    <w:spacing w:after="0"/>
                    <w:rPr>
                      <w:b/>
                      <w:bCs/>
                      <w:sz w:val="16"/>
                      <w:szCs w:val="16"/>
                    </w:rPr>
                  </w:pPr>
                  <w:r w:rsidRPr="00DD0B5F">
                    <w:rPr>
                      <w:b/>
                      <w:bCs/>
                      <w:sz w:val="16"/>
                      <w:szCs w:val="16"/>
                    </w:rPr>
                    <w:t> </w:t>
                  </w:r>
                </w:p>
              </w:tc>
              <w:tc>
                <w:tcPr>
                  <w:tcW w:w="540" w:type="dxa"/>
                  <w:tcBorders>
                    <w:top w:val="nil"/>
                    <w:left w:val="nil"/>
                    <w:bottom w:val="single" w:color="auto" w:sz="4" w:space="0"/>
                    <w:right w:val="single" w:color="auto" w:sz="4" w:space="0"/>
                  </w:tcBorders>
                  <w:shd w:val="clear" w:color="auto" w:fill="auto"/>
                  <w:noWrap/>
                  <w:vAlign w:val="center"/>
                </w:tcPr>
                <w:p w:rsidRPr="00DD0B5F" w:rsidR="00D1368E" w:rsidP="007C074A" w:rsidRDefault="00D1368E" w14:paraId="26DBA53B" w14:textId="1CCCAA55">
                  <w:pPr>
                    <w:spacing w:after="0"/>
                    <w:jc w:val="right"/>
                    <w:rPr>
                      <w:b/>
                      <w:bCs/>
                      <w:sz w:val="16"/>
                      <w:szCs w:val="16"/>
                    </w:rPr>
                  </w:pPr>
                  <w:r w:rsidRPr="00DD0B5F">
                    <w:rPr>
                      <w:b/>
                      <w:bCs/>
                      <w:sz w:val="16"/>
                      <w:szCs w:val="16"/>
                    </w:rPr>
                    <w:t>2029</w:t>
                  </w:r>
                </w:p>
              </w:tc>
              <w:tc>
                <w:tcPr>
                  <w:tcW w:w="1620" w:type="dxa"/>
                  <w:tcBorders>
                    <w:top w:val="nil"/>
                    <w:left w:val="nil"/>
                    <w:bottom w:val="single" w:color="auto" w:sz="4" w:space="0"/>
                    <w:right w:val="single" w:color="auto" w:sz="4" w:space="0"/>
                  </w:tcBorders>
                  <w:shd w:val="clear" w:color="auto" w:fill="auto"/>
                  <w:noWrap/>
                  <w:vAlign w:val="center"/>
                </w:tcPr>
                <w:p w:rsidRPr="00DD0B5F" w:rsidR="00D1368E" w:rsidP="007C074A" w:rsidRDefault="00D1368E" w14:paraId="535E85F3" w14:textId="72AF4E4D">
                  <w:pPr>
                    <w:spacing w:after="0"/>
                    <w:rPr>
                      <w:b/>
                      <w:bCs/>
                      <w:sz w:val="16"/>
                      <w:szCs w:val="16"/>
                    </w:rPr>
                  </w:pPr>
                  <w:r w:rsidRPr="00DD0B5F">
                    <w:rPr>
                      <w:b/>
                      <w:bCs/>
                      <w:sz w:val="16"/>
                      <w:szCs w:val="16"/>
                    </w:rPr>
                    <w:t xml:space="preserve"> €         6.188.000,00 </w:t>
                  </w:r>
                </w:p>
              </w:tc>
              <w:tc>
                <w:tcPr>
                  <w:tcW w:w="1890" w:type="dxa"/>
                  <w:tcBorders>
                    <w:top w:val="nil"/>
                    <w:left w:val="nil"/>
                    <w:bottom w:val="single" w:color="auto" w:sz="4" w:space="0"/>
                    <w:right w:val="single" w:color="auto" w:sz="4" w:space="0"/>
                  </w:tcBorders>
                  <w:shd w:val="clear" w:color="auto" w:fill="auto"/>
                  <w:noWrap/>
                  <w:vAlign w:val="bottom"/>
                </w:tcPr>
                <w:p w:rsidRPr="00DD0B5F" w:rsidR="00D1368E" w:rsidP="007C074A" w:rsidRDefault="00D1368E" w14:paraId="6C4599FC" w14:textId="4A5BCE7E">
                  <w:pPr>
                    <w:spacing w:after="0"/>
                    <w:rPr>
                      <w:b/>
                      <w:bCs/>
                      <w:sz w:val="16"/>
                      <w:szCs w:val="16"/>
                    </w:rPr>
                  </w:pPr>
                  <w:r w:rsidRPr="00DD0B5F">
                    <w:rPr>
                      <w:b/>
                      <w:bCs/>
                      <w:sz w:val="16"/>
                      <w:szCs w:val="16"/>
                    </w:rPr>
                    <w:t xml:space="preserve"> €                             - </w:t>
                  </w:r>
                </w:p>
              </w:tc>
            </w:tr>
            <w:tr w:rsidRPr="00DD0B5F" w:rsidR="00D1368E" w:rsidTr="007C074A" w14:paraId="6F457974" w14:textId="77777777">
              <w:trPr>
                <w:trHeight w:val="225"/>
              </w:trPr>
              <w:tc>
                <w:tcPr>
                  <w:tcW w:w="1542" w:type="dxa"/>
                  <w:tcBorders>
                    <w:top w:val="nil"/>
                    <w:left w:val="single" w:color="auto" w:sz="4" w:space="0"/>
                    <w:bottom w:val="nil"/>
                    <w:right w:val="single" w:color="auto" w:sz="4" w:space="0"/>
                  </w:tcBorders>
                  <w:shd w:val="clear" w:color="auto" w:fill="auto"/>
                  <w:noWrap/>
                  <w:vAlign w:val="center"/>
                  <w:hideMark/>
                </w:tcPr>
                <w:p w:rsidRPr="00DD0B5F" w:rsidR="00D1368E" w:rsidP="007C074A" w:rsidRDefault="00D1368E" w14:paraId="0ED0AA66" w14:textId="77777777">
                  <w:pPr>
                    <w:spacing w:after="0"/>
                    <w:rPr>
                      <w:b/>
                      <w:bCs/>
                      <w:sz w:val="16"/>
                      <w:szCs w:val="16"/>
                    </w:rPr>
                  </w:pPr>
                  <w:r w:rsidRPr="00DD0B5F">
                    <w:rPr>
                      <w:b/>
                      <w:bCs/>
                      <w:sz w:val="16"/>
                      <w:szCs w:val="16"/>
                    </w:rPr>
                    <w:t> </w:t>
                  </w:r>
                </w:p>
              </w:tc>
              <w:tc>
                <w:tcPr>
                  <w:tcW w:w="540" w:type="dxa"/>
                  <w:tcBorders>
                    <w:top w:val="nil"/>
                    <w:left w:val="nil"/>
                    <w:bottom w:val="single" w:color="auto" w:sz="4" w:space="0"/>
                    <w:right w:val="single" w:color="auto" w:sz="4" w:space="0"/>
                  </w:tcBorders>
                  <w:shd w:val="clear" w:color="auto" w:fill="auto"/>
                  <w:noWrap/>
                  <w:vAlign w:val="center"/>
                </w:tcPr>
                <w:p w:rsidRPr="00DD0B5F" w:rsidR="00D1368E" w:rsidP="007C074A" w:rsidRDefault="00D1368E" w14:paraId="7625D23C" w14:textId="3F0D8E9E">
                  <w:pPr>
                    <w:spacing w:after="0"/>
                    <w:jc w:val="right"/>
                    <w:rPr>
                      <w:b/>
                      <w:bCs/>
                      <w:sz w:val="16"/>
                      <w:szCs w:val="16"/>
                    </w:rPr>
                  </w:pPr>
                  <w:r w:rsidRPr="00DD0B5F">
                    <w:rPr>
                      <w:b/>
                      <w:bCs/>
                      <w:sz w:val="16"/>
                      <w:szCs w:val="16"/>
                    </w:rPr>
                    <w:t>2030</w:t>
                  </w:r>
                </w:p>
              </w:tc>
              <w:tc>
                <w:tcPr>
                  <w:tcW w:w="1620" w:type="dxa"/>
                  <w:tcBorders>
                    <w:top w:val="nil"/>
                    <w:left w:val="nil"/>
                    <w:bottom w:val="single" w:color="auto" w:sz="4" w:space="0"/>
                    <w:right w:val="single" w:color="auto" w:sz="4" w:space="0"/>
                  </w:tcBorders>
                  <w:shd w:val="clear" w:color="auto" w:fill="auto"/>
                  <w:noWrap/>
                  <w:vAlign w:val="center"/>
                </w:tcPr>
                <w:p w:rsidRPr="00DD0B5F" w:rsidR="00D1368E" w:rsidP="007C074A" w:rsidRDefault="00D1368E" w14:paraId="23FF3711" w14:textId="06250AE2">
                  <w:pPr>
                    <w:spacing w:after="0"/>
                    <w:rPr>
                      <w:b/>
                      <w:bCs/>
                      <w:sz w:val="16"/>
                      <w:szCs w:val="16"/>
                    </w:rPr>
                  </w:pPr>
                  <w:r w:rsidRPr="00DD0B5F">
                    <w:rPr>
                      <w:b/>
                      <w:bCs/>
                      <w:sz w:val="16"/>
                      <w:szCs w:val="16"/>
                    </w:rPr>
                    <w:t xml:space="preserve"> €         6.182.000,00 </w:t>
                  </w:r>
                </w:p>
              </w:tc>
              <w:tc>
                <w:tcPr>
                  <w:tcW w:w="1890" w:type="dxa"/>
                  <w:tcBorders>
                    <w:top w:val="nil"/>
                    <w:left w:val="nil"/>
                    <w:bottom w:val="single" w:color="auto" w:sz="4" w:space="0"/>
                    <w:right w:val="single" w:color="auto" w:sz="4" w:space="0"/>
                  </w:tcBorders>
                  <w:shd w:val="clear" w:color="auto" w:fill="auto"/>
                  <w:noWrap/>
                  <w:vAlign w:val="bottom"/>
                </w:tcPr>
                <w:p w:rsidRPr="00DD0B5F" w:rsidR="00D1368E" w:rsidP="007C074A" w:rsidRDefault="00D1368E" w14:paraId="10F056FA" w14:textId="561F3E84">
                  <w:pPr>
                    <w:spacing w:after="0"/>
                    <w:rPr>
                      <w:b/>
                      <w:bCs/>
                      <w:sz w:val="16"/>
                      <w:szCs w:val="16"/>
                    </w:rPr>
                  </w:pPr>
                  <w:r w:rsidRPr="00DD0B5F">
                    <w:rPr>
                      <w:b/>
                      <w:bCs/>
                      <w:sz w:val="16"/>
                      <w:szCs w:val="16"/>
                    </w:rPr>
                    <w:t xml:space="preserve"> €                             - </w:t>
                  </w:r>
                </w:p>
              </w:tc>
            </w:tr>
            <w:tr w:rsidRPr="00DD0B5F" w:rsidR="00D1368E" w:rsidTr="0008288E" w14:paraId="20A4ACFB" w14:textId="77777777">
              <w:trPr>
                <w:trHeight w:val="225"/>
              </w:trPr>
              <w:tc>
                <w:tcPr>
                  <w:tcW w:w="1542" w:type="dxa"/>
                  <w:tcBorders>
                    <w:top w:val="single" w:color="auto" w:sz="4" w:space="0"/>
                    <w:left w:val="single" w:color="auto" w:sz="4" w:space="0"/>
                    <w:bottom w:val="nil"/>
                    <w:right w:val="single" w:color="auto" w:sz="4" w:space="0"/>
                  </w:tcBorders>
                  <w:shd w:val="clear" w:color="auto" w:fill="auto"/>
                  <w:noWrap/>
                  <w:vAlign w:val="center"/>
                  <w:hideMark/>
                </w:tcPr>
                <w:p w:rsidRPr="00DD0B5F" w:rsidR="00D1368E" w:rsidP="007C074A" w:rsidRDefault="00D1368E" w14:paraId="67A29476" w14:textId="77777777">
                  <w:pPr>
                    <w:spacing w:after="0"/>
                    <w:rPr>
                      <w:b/>
                      <w:bCs/>
                      <w:sz w:val="16"/>
                      <w:szCs w:val="16"/>
                    </w:rPr>
                  </w:pPr>
                  <w:r w:rsidRPr="00DD0B5F">
                    <w:rPr>
                      <w:b/>
                      <w:bCs/>
                      <w:sz w:val="16"/>
                      <w:szCs w:val="16"/>
                    </w:rPr>
                    <w:t>NFRP Shiraka</w:t>
                  </w:r>
                </w:p>
              </w:tc>
              <w:tc>
                <w:tcPr>
                  <w:tcW w:w="540" w:type="dxa"/>
                  <w:tcBorders>
                    <w:top w:val="nil"/>
                    <w:left w:val="nil"/>
                    <w:bottom w:val="single" w:color="auto" w:sz="4" w:space="0"/>
                    <w:right w:val="single" w:color="auto" w:sz="4" w:space="0"/>
                  </w:tcBorders>
                  <w:shd w:val="clear" w:color="auto" w:fill="auto"/>
                  <w:noWrap/>
                  <w:vAlign w:val="center"/>
                  <w:hideMark/>
                </w:tcPr>
                <w:p w:rsidRPr="00DD0B5F" w:rsidR="00D1368E" w:rsidP="007C074A" w:rsidRDefault="00D1368E" w14:paraId="632673D1" w14:textId="2B023B02">
                  <w:pPr>
                    <w:spacing w:after="0"/>
                    <w:jc w:val="right"/>
                    <w:rPr>
                      <w:b/>
                      <w:bCs/>
                      <w:sz w:val="16"/>
                      <w:szCs w:val="16"/>
                    </w:rPr>
                  </w:pPr>
                  <w:r w:rsidRPr="00DD0B5F">
                    <w:rPr>
                      <w:b/>
                      <w:bCs/>
                      <w:sz w:val="16"/>
                      <w:szCs w:val="16"/>
                    </w:rPr>
                    <w:t>2027</w:t>
                  </w:r>
                </w:p>
              </w:tc>
              <w:tc>
                <w:tcPr>
                  <w:tcW w:w="1620" w:type="dxa"/>
                  <w:tcBorders>
                    <w:top w:val="nil"/>
                    <w:left w:val="nil"/>
                    <w:bottom w:val="single" w:color="auto" w:sz="4" w:space="0"/>
                    <w:right w:val="single" w:color="auto" w:sz="4" w:space="0"/>
                  </w:tcBorders>
                  <w:shd w:val="clear" w:color="auto" w:fill="auto"/>
                  <w:noWrap/>
                  <w:vAlign w:val="center"/>
                  <w:hideMark/>
                </w:tcPr>
                <w:p w:rsidRPr="00DD0B5F" w:rsidR="00D1368E" w:rsidP="007C074A" w:rsidRDefault="00D1368E" w14:paraId="553609EB" w14:textId="51193624">
                  <w:pPr>
                    <w:spacing w:after="0"/>
                    <w:rPr>
                      <w:b/>
                      <w:bCs/>
                      <w:sz w:val="16"/>
                      <w:szCs w:val="16"/>
                    </w:rPr>
                  </w:pPr>
                  <w:r w:rsidRPr="00DD0B5F">
                    <w:rPr>
                      <w:b/>
                      <w:bCs/>
                      <w:sz w:val="16"/>
                      <w:szCs w:val="16"/>
                    </w:rPr>
                    <w:t xml:space="preserve"> €       11.968.000,00 </w:t>
                  </w:r>
                </w:p>
              </w:tc>
              <w:tc>
                <w:tcPr>
                  <w:tcW w:w="1890" w:type="dxa"/>
                  <w:tcBorders>
                    <w:top w:val="nil"/>
                    <w:left w:val="nil"/>
                    <w:bottom w:val="single" w:color="auto" w:sz="4" w:space="0"/>
                    <w:right w:val="single" w:color="auto" w:sz="4" w:space="0"/>
                  </w:tcBorders>
                  <w:shd w:val="clear" w:color="auto" w:fill="auto"/>
                  <w:noWrap/>
                  <w:vAlign w:val="bottom"/>
                  <w:hideMark/>
                </w:tcPr>
                <w:p w:rsidRPr="00DD0B5F" w:rsidR="00D1368E" w:rsidP="007C074A" w:rsidRDefault="00D1368E" w14:paraId="152752EB" w14:textId="3B5D21A5">
                  <w:pPr>
                    <w:spacing w:after="0"/>
                    <w:rPr>
                      <w:b/>
                      <w:bCs/>
                      <w:sz w:val="16"/>
                      <w:szCs w:val="16"/>
                    </w:rPr>
                  </w:pPr>
                  <w:r w:rsidRPr="00DD0B5F">
                    <w:rPr>
                      <w:b/>
                      <w:bCs/>
                      <w:sz w:val="16"/>
                      <w:szCs w:val="16"/>
                    </w:rPr>
                    <w:t xml:space="preserve"> €           1.428.629,67 </w:t>
                  </w:r>
                </w:p>
              </w:tc>
            </w:tr>
            <w:tr w:rsidRPr="00DD0B5F" w:rsidR="00D1368E" w:rsidTr="0008288E" w14:paraId="5D335839" w14:textId="77777777">
              <w:trPr>
                <w:trHeight w:val="225"/>
              </w:trPr>
              <w:tc>
                <w:tcPr>
                  <w:tcW w:w="1542" w:type="dxa"/>
                  <w:tcBorders>
                    <w:top w:val="nil"/>
                    <w:left w:val="single" w:color="auto" w:sz="4" w:space="0"/>
                    <w:bottom w:val="nil"/>
                    <w:right w:val="single" w:color="auto" w:sz="4" w:space="0"/>
                  </w:tcBorders>
                  <w:shd w:val="clear" w:color="auto" w:fill="auto"/>
                  <w:noWrap/>
                  <w:vAlign w:val="center"/>
                  <w:hideMark/>
                </w:tcPr>
                <w:p w:rsidRPr="00DD0B5F" w:rsidR="00D1368E" w:rsidP="007C074A" w:rsidRDefault="00D1368E" w14:paraId="688CE815" w14:textId="77777777">
                  <w:pPr>
                    <w:spacing w:after="0"/>
                    <w:rPr>
                      <w:b/>
                      <w:bCs/>
                      <w:sz w:val="16"/>
                      <w:szCs w:val="16"/>
                    </w:rPr>
                  </w:pPr>
                  <w:r w:rsidRPr="00DD0B5F">
                    <w:rPr>
                      <w:b/>
                      <w:bCs/>
                      <w:sz w:val="16"/>
                      <w:szCs w:val="16"/>
                    </w:rPr>
                    <w:t> </w:t>
                  </w:r>
                </w:p>
              </w:tc>
              <w:tc>
                <w:tcPr>
                  <w:tcW w:w="540" w:type="dxa"/>
                  <w:tcBorders>
                    <w:top w:val="nil"/>
                    <w:left w:val="nil"/>
                    <w:bottom w:val="single" w:color="auto" w:sz="4" w:space="0"/>
                    <w:right w:val="single" w:color="auto" w:sz="4" w:space="0"/>
                  </w:tcBorders>
                  <w:shd w:val="clear" w:color="auto" w:fill="auto"/>
                  <w:noWrap/>
                  <w:vAlign w:val="center"/>
                  <w:hideMark/>
                </w:tcPr>
                <w:p w:rsidRPr="00DD0B5F" w:rsidR="00D1368E" w:rsidP="007C074A" w:rsidRDefault="00D1368E" w14:paraId="00B051BD" w14:textId="0767229C">
                  <w:pPr>
                    <w:spacing w:after="0"/>
                    <w:jc w:val="right"/>
                    <w:rPr>
                      <w:b/>
                      <w:bCs/>
                      <w:sz w:val="16"/>
                      <w:szCs w:val="16"/>
                    </w:rPr>
                  </w:pPr>
                  <w:r w:rsidRPr="00DD0B5F">
                    <w:rPr>
                      <w:b/>
                      <w:bCs/>
                      <w:sz w:val="16"/>
                      <w:szCs w:val="16"/>
                    </w:rPr>
                    <w:t>2028</w:t>
                  </w:r>
                </w:p>
              </w:tc>
              <w:tc>
                <w:tcPr>
                  <w:tcW w:w="1620" w:type="dxa"/>
                  <w:tcBorders>
                    <w:top w:val="nil"/>
                    <w:left w:val="nil"/>
                    <w:bottom w:val="single" w:color="auto" w:sz="4" w:space="0"/>
                    <w:right w:val="single" w:color="auto" w:sz="4" w:space="0"/>
                  </w:tcBorders>
                  <w:shd w:val="clear" w:color="auto" w:fill="auto"/>
                  <w:noWrap/>
                  <w:vAlign w:val="center"/>
                  <w:hideMark/>
                </w:tcPr>
                <w:p w:rsidRPr="00DD0B5F" w:rsidR="00D1368E" w:rsidP="007C074A" w:rsidRDefault="00D1368E" w14:paraId="073C668D" w14:textId="23760246">
                  <w:pPr>
                    <w:spacing w:after="0"/>
                    <w:rPr>
                      <w:b/>
                      <w:bCs/>
                      <w:sz w:val="16"/>
                      <w:szCs w:val="16"/>
                    </w:rPr>
                  </w:pPr>
                  <w:r w:rsidRPr="00DD0B5F">
                    <w:rPr>
                      <w:b/>
                      <w:bCs/>
                      <w:sz w:val="16"/>
                      <w:szCs w:val="16"/>
                    </w:rPr>
                    <w:t xml:space="preserve"> €         9.020.000,00 </w:t>
                  </w:r>
                </w:p>
              </w:tc>
              <w:tc>
                <w:tcPr>
                  <w:tcW w:w="1890" w:type="dxa"/>
                  <w:tcBorders>
                    <w:top w:val="nil"/>
                    <w:left w:val="nil"/>
                    <w:bottom w:val="single" w:color="auto" w:sz="4" w:space="0"/>
                    <w:right w:val="single" w:color="auto" w:sz="4" w:space="0"/>
                  </w:tcBorders>
                  <w:shd w:val="clear" w:color="auto" w:fill="auto"/>
                  <w:noWrap/>
                  <w:vAlign w:val="bottom"/>
                  <w:hideMark/>
                </w:tcPr>
                <w:p w:rsidRPr="00DD0B5F" w:rsidR="00D1368E" w:rsidP="007C074A" w:rsidRDefault="00D1368E" w14:paraId="3336ED1E" w14:textId="5A8CC48E">
                  <w:pPr>
                    <w:spacing w:after="0"/>
                    <w:rPr>
                      <w:b/>
                      <w:bCs/>
                      <w:sz w:val="16"/>
                      <w:szCs w:val="16"/>
                    </w:rPr>
                  </w:pPr>
                  <w:r w:rsidRPr="00DD0B5F">
                    <w:rPr>
                      <w:b/>
                      <w:bCs/>
                      <w:sz w:val="16"/>
                      <w:szCs w:val="16"/>
                    </w:rPr>
                    <w:t xml:space="preserve"> €              468.965,00</w:t>
                  </w:r>
                </w:p>
              </w:tc>
            </w:tr>
            <w:tr w:rsidRPr="00DD0B5F" w:rsidR="00D1368E" w:rsidTr="007C074A" w14:paraId="2B4EE73C" w14:textId="77777777">
              <w:trPr>
                <w:trHeight w:val="225"/>
              </w:trPr>
              <w:tc>
                <w:tcPr>
                  <w:tcW w:w="1542" w:type="dxa"/>
                  <w:tcBorders>
                    <w:top w:val="nil"/>
                    <w:left w:val="single" w:color="auto" w:sz="4" w:space="0"/>
                    <w:right w:val="single" w:color="auto" w:sz="4" w:space="0"/>
                  </w:tcBorders>
                  <w:shd w:val="clear" w:color="auto" w:fill="auto"/>
                  <w:noWrap/>
                  <w:vAlign w:val="center"/>
                  <w:hideMark/>
                </w:tcPr>
                <w:p w:rsidRPr="00DD0B5F" w:rsidR="00D1368E" w:rsidP="007C074A" w:rsidRDefault="00D1368E" w14:paraId="15CC6D5F" w14:textId="77777777">
                  <w:pPr>
                    <w:spacing w:after="0"/>
                    <w:rPr>
                      <w:b/>
                      <w:bCs/>
                      <w:sz w:val="16"/>
                      <w:szCs w:val="16"/>
                    </w:rPr>
                  </w:pPr>
                  <w:r w:rsidRPr="00DD0B5F">
                    <w:rPr>
                      <w:b/>
                      <w:bCs/>
                      <w:sz w:val="16"/>
                      <w:szCs w:val="16"/>
                    </w:rPr>
                    <w:t> </w:t>
                  </w:r>
                </w:p>
              </w:tc>
              <w:tc>
                <w:tcPr>
                  <w:tcW w:w="540" w:type="dxa"/>
                  <w:tcBorders>
                    <w:top w:val="nil"/>
                    <w:left w:val="nil"/>
                    <w:bottom w:val="single" w:color="auto" w:sz="4" w:space="0"/>
                    <w:right w:val="single" w:color="auto" w:sz="4" w:space="0"/>
                  </w:tcBorders>
                  <w:shd w:val="clear" w:color="auto" w:fill="auto"/>
                  <w:noWrap/>
                  <w:vAlign w:val="center"/>
                </w:tcPr>
                <w:p w:rsidRPr="00DD0B5F" w:rsidR="00D1368E" w:rsidP="007C074A" w:rsidRDefault="00D1368E" w14:paraId="5E8C8B75" w14:textId="655D50A1">
                  <w:pPr>
                    <w:spacing w:after="0"/>
                    <w:jc w:val="right"/>
                    <w:rPr>
                      <w:b/>
                      <w:bCs/>
                      <w:sz w:val="16"/>
                      <w:szCs w:val="16"/>
                    </w:rPr>
                  </w:pPr>
                  <w:r w:rsidRPr="00DD0B5F">
                    <w:rPr>
                      <w:b/>
                      <w:bCs/>
                      <w:sz w:val="16"/>
                      <w:szCs w:val="16"/>
                    </w:rPr>
                    <w:t>2029</w:t>
                  </w:r>
                </w:p>
              </w:tc>
              <w:tc>
                <w:tcPr>
                  <w:tcW w:w="1620" w:type="dxa"/>
                  <w:tcBorders>
                    <w:top w:val="nil"/>
                    <w:left w:val="nil"/>
                    <w:bottom w:val="single" w:color="auto" w:sz="4" w:space="0"/>
                    <w:right w:val="single" w:color="auto" w:sz="4" w:space="0"/>
                  </w:tcBorders>
                  <w:shd w:val="clear" w:color="auto" w:fill="auto"/>
                  <w:noWrap/>
                  <w:vAlign w:val="center"/>
                </w:tcPr>
                <w:p w:rsidRPr="00DD0B5F" w:rsidR="00D1368E" w:rsidP="007C074A" w:rsidRDefault="00D1368E" w14:paraId="50CEFF50" w14:textId="47EB1C03">
                  <w:pPr>
                    <w:spacing w:after="0"/>
                    <w:rPr>
                      <w:b/>
                      <w:bCs/>
                      <w:sz w:val="16"/>
                      <w:szCs w:val="16"/>
                    </w:rPr>
                  </w:pPr>
                  <w:r w:rsidRPr="00DD0B5F">
                    <w:rPr>
                      <w:b/>
                      <w:bCs/>
                      <w:sz w:val="16"/>
                      <w:szCs w:val="16"/>
                    </w:rPr>
                    <w:t xml:space="preserve"> €         9.624.000,00 </w:t>
                  </w:r>
                </w:p>
              </w:tc>
              <w:tc>
                <w:tcPr>
                  <w:tcW w:w="1890" w:type="dxa"/>
                  <w:tcBorders>
                    <w:top w:val="nil"/>
                    <w:left w:val="nil"/>
                    <w:bottom w:val="single" w:color="auto" w:sz="4" w:space="0"/>
                    <w:right w:val="single" w:color="auto" w:sz="4" w:space="0"/>
                  </w:tcBorders>
                  <w:shd w:val="clear" w:color="auto" w:fill="auto"/>
                  <w:noWrap/>
                  <w:vAlign w:val="bottom"/>
                </w:tcPr>
                <w:p w:rsidRPr="00DD0B5F" w:rsidR="00D1368E" w:rsidP="007C074A" w:rsidRDefault="00D1368E" w14:paraId="30258AE9" w14:textId="219E6BAB">
                  <w:pPr>
                    <w:spacing w:after="0"/>
                    <w:rPr>
                      <w:b/>
                      <w:bCs/>
                      <w:sz w:val="16"/>
                      <w:szCs w:val="16"/>
                    </w:rPr>
                  </w:pPr>
                  <w:r w:rsidRPr="00DD0B5F">
                    <w:rPr>
                      <w:b/>
                      <w:bCs/>
                      <w:sz w:val="16"/>
                      <w:szCs w:val="16"/>
                    </w:rPr>
                    <w:t xml:space="preserve"> €              541.445,00 </w:t>
                  </w:r>
                </w:p>
              </w:tc>
            </w:tr>
            <w:tr w:rsidRPr="00DD0B5F" w:rsidR="00D1368E" w:rsidTr="007C074A" w14:paraId="5EF102DD" w14:textId="77777777">
              <w:trPr>
                <w:trHeight w:val="225"/>
              </w:trPr>
              <w:tc>
                <w:tcPr>
                  <w:tcW w:w="1542" w:type="dxa"/>
                  <w:tcBorders>
                    <w:top w:val="nil"/>
                    <w:left w:val="single" w:color="auto" w:sz="4" w:space="0"/>
                    <w:bottom w:val="single" w:color="auto" w:sz="4" w:space="0"/>
                    <w:right w:val="single" w:color="auto" w:sz="4" w:space="0"/>
                  </w:tcBorders>
                  <w:shd w:val="clear" w:color="auto" w:fill="auto"/>
                  <w:noWrap/>
                  <w:vAlign w:val="center"/>
                  <w:hideMark/>
                </w:tcPr>
                <w:p w:rsidRPr="00DD0B5F" w:rsidR="00D1368E" w:rsidP="007C074A" w:rsidRDefault="00D1368E" w14:paraId="0D09B36E" w14:textId="77777777">
                  <w:pPr>
                    <w:spacing w:after="0"/>
                    <w:rPr>
                      <w:b/>
                      <w:bCs/>
                      <w:sz w:val="16"/>
                      <w:szCs w:val="16"/>
                    </w:rPr>
                  </w:pPr>
                  <w:r w:rsidRPr="00DD0B5F">
                    <w:rPr>
                      <w:b/>
                      <w:bCs/>
                      <w:sz w:val="16"/>
                      <w:szCs w:val="16"/>
                    </w:rPr>
                    <w:t> </w:t>
                  </w:r>
                </w:p>
              </w:tc>
              <w:tc>
                <w:tcPr>
                  <w:tcW w:w="540" w:type="dxa"/>
                  <w:tcBorders>
                    <w:top w:val="nil"/>
                    <w:left w:val="nil"/>
                    <w:bottom w:val="single" w:color="auto" w:sz="4" w:space="0"/>
                    <w:right w:val="single" w:color="auto" w:sz="4" w:space="0"/>
                  </w:tcBorders>
                  <w:shd w:val="clear" w:color="auto" w:fill="auto"/>
                  <w:noWrap/>
                  <w:vAlign w:val="center"/>
                </w:tcPr>
                <w:p w:rsidRPr="00DD0B5F" w:rsidR="00D1368E" w:rsidP="007C074A" w:rsidRDefault="00D1368E" w14:paraId="48353324" w14:textId="55954B06">
                  <w:pPr>
                    <w:spacing w:after="0"/>
                    <w:jc w:val="right"/>
                    <w:rPr>
                      <w:b/>
                      <w:bCs/>
                      <w:sz w:val="16"/>
                      <w:szCs w:val="16"/>
                    </w:rPr>
                  </w:pPr>
                  <w:r w:rsidRPr="00DD0B5F">
                    <w:rPr>
                      <w:b/>
                      <w:bCs/>
                      <w:sz w:val="16"/>
                      <w:szCs w:val="16"/>
                    </w:rPr>
                    <w:t>2030</w:t>
                  </w:r>
                </w:p>
              </w:tc>
              <w:tc>
                <w:tcPr>
                  <w:tcW w:w="1620" w:type="dxa"/>
                  <w:tcBorders>
                    <w:top w:val="nil"/>
                    <w:left w:val="nil"/>
                    <w:bottom w:val="single" w:color="auto" w:sz="4" w:space="0"/>
                    <w:right w:val="single" w:color="auto" w:sz="4" w:space="0"/>
                  </w:tcBorders>
                  <w:shd w:val="clear" w:color="auto" w:fill="auto"/>
                  <w:noWrap/>
                  <w:vAlign w:val="center"/>
                </w:tcPr>
                <w:p w:rsidRPr="00DD0B5F" w:rsidR="00D1368E" w:rsidP="007C074A" w:rsidRDefault="00D1368E" w14:paraId="3BF7BE0D" w14:textId="5B6BFF18">
                  <w:pPr>
                    <w:spacing w:after="0"/>
                    <w:rPr>
                      <w:b/>
                      <w:bCs/>
                      <w:sz w:val="16"/>
                      <w:szCs w:val="16"/>
                    </w:rPr>
                  </w:pPr>
                  <w:r w:rsidRPr="00DD0B5F">
                    <w:rPr>
                      <w:b/>
                      <w:bCs/>
                      <w:sz w:val="16"/>
                      <w:szCs w:val="16"/>
                    </w:rPr>
                    <w:t xml:space="preserve"> €         9.614.000,00 </w:t>
                  </w:r>
                </w:p>
              </w:tc>
              <w:tc>
                <w:tcPr>
                  <w:tcW w:w="1890" w:type="dxa"/>
                  <w:tcBorders>
                    <w:top w:val="nil"/>
                    <w:left w:val="nil"/>
                    <w:bottom w:val="single" w:color="auto" w:sz="4" w:space="0"/>
                    <w:right w:val="single" w:color="auto" w:sz="4" w:space="0"/>
                  </w:tcBorders>
                  <w:shd w:val="clear" w:color="auto" w:fill="auto"/>
                  <w:noWrap/>
                  <w:vAlign w:val="bottom"/>
                </w:tcPr>
                <w:p w:rsidRPr="00DD0B5F" w:rsidR="00D1368E" w:rsidP="007C074A" w:rsidRDefault="00D1368E" w14:paraId="2A42C7A0" w14:textId="5926145C">
                  <w:pPr>
                    <w:spacing w:after="0"/>
                    <w:rPr>
                      <w:b/>
                      <w:bCs/>
                      <w:sz w:val="16"/>
                      <w:szCs w:val="16"/>
                    </w:rPr>
                  </w:pPr>
                  <w:r w:rsidRPr="00DD0B5F">
                    <w:rPr>
                      <w:b/>
                      <w:bCs/>
                      <w:sz w:val="16"/>
                      <w:szCs w:val="16"/>
                    </w:rPr>
                    <w:t xml:space="preserve"> €              540.245,00 </w:t>
                  </w:r>
                </w:p>
              </w:tc>
            </w:tr>
          </w:tbl>
          <w:p w:rsidRPr="00DD0B5F" w:rsidR="00D1368E" w:rsidP="001F757B" w:rsidRDefault="00D1368E" w14:paraId="6D41CA89" w14:textId="4F4CC94D">
            <w:pPr>
              <w:pStyle w:val="NoSpacing"/>
              <w:rPr>
                <w:rFonts w:ascii="Times New Roman" w:hAnsi="Times New Roman" w:cs="Times New Roman"/>
                <w:b/>
                <w:bCs/>
                <w:sz w:val="16"/>
                <w:szCs w:val="16"/>
              </w:rPr>
            </w:pPr>
            <w:r w:rsidRPr="00DD0B5F">
              <w:rPr>
                <w:rFonts w:ascii="Times New Roman" w:hAnsi="Times New Roman" w:cs="Times New Roman"/>
                <w:b/>
                <w:bCs/>
                <w:sz w:val="16"/>
                <w:szCs w:val="16"/>
              </w:rPr>
              <w:t xml:space="preserve">Ad 1: De bedragen die via de </w:t>
            </w:r>
            <w:r w:rsidR="00C50520">
              <w:rPr>
                <w:rFonts w:ascii="Times New Roman" w:hAnsi="Times New Roman" w:cs="Times New Roman"/>
                <w:b/>
                <w:bCs/>
                <w:sz w:val="16"/>
                <w:szCs w:val="16"/>
              </w:rPr>
              <w:t>m</w:t>
            </w:r>
            <w:r w:rsidRPr="00DD0B5F">
              <w:rPr>
                <w:rFonts w:ascii="Times New Roman" w:hAnsi="Times New Roman" w:cs="Times New Roman"/>
                <w:b/>
                <w:bCs/>
                <w:sz w:val="16"/>
                <w:szCs w:val="16"/>
              </w:rPr>
              <w:t>inister van Binnenlandse Zaken en Koninkrijksrelaties (BZK) beschikbaar worden gesteld op basis van de </w:t>
            </w:r>
            <w:hyperlink w:history="1" r:id="rId12">
              <w:r w:rsidRPr="00DD0B5F">
                <w:rPr>
                  <w:rStyle w:val="Hyperlink"/>
                  <w:rFonts w:ascii="Times New Roman" w:hAnsi="Times New Roman" w:cs="Times New Roman"/>
                  <w:b/>
                  <w:bCs/>
                  <w:color w:val="auto"/>
                  <w:sz w:val="16"/>
                  <w:szCs w:val="16"/>
                </w:rPr>
                <w:t>Wet financiering politieke partijen </w:t>
              </w:r>
            </w:hyperlink>
            <w:r w:rsidRPr="00DD0B5F">
              <w:rPr>
                <w:rFonts w:ascii="Times New Roman" w:hAnsi="Times New Roman" w:cs="Times New Roman"/>
                <w:b/>
                <w:bCs/>
                <w:sz w:val="16"/>
                <w:szCs w:val="16"/>
              </w:rPr>
              <w:t>(</w:t>
            </w:r>
            <w:proofErr w:type="spellStart"/>
            <w:r w:rsidRPr="00DD0B5F">
              <w:rPr>
                <w:rFonts w:ascii="Times New Roman" w:hAnsi="Times New Roman" w:cs="Times New Roman"/>
                <w:b/>
                <w:bCs/>
                <w:sz w:val="16"/>
                <w:szCs w:val="16"/>
              </w:rPr>
              <w:t>Wfpp</w:t>
            </w:r>
            <w:proofErr w:type="spellEnd"/>
            <w:r w:rsidRPr="00DD0B5F">
              <w:rPr>
                <w:rFonts w:ascii="Times New Roman" w:hAnsi="Times New Roman" w:cs="Times New Roman"/>
                <w:b/>
                <w:bCs/>
                <w:sz w:val="16"/>
                <w:szCs w:val="16"/>
              </w:rPr>
              <w:t xml:space="preserve">), worden jaarlijks met ingang van 1 januari bij ministeriële regeling gewijzigd, overeenkomstig de voor de rijksbegroting gehanteerde loon- en prijsbijstelling en afgerond op het naastbij gelegen gehele getal. De berekening van het toekomstig subsidieplafond PPP is daarom onder voorbehoud, waarbij vooralsnog is uitgegaan van huidige bedragen zoals vastgesteld in de </w:t>
            </w:r>
            <w:proofErr w:type="spellStart"/>
            <w:r w:rsidRPr="00DD0B5F">
              <w:rPr>
                <w:rFonts w:ascii="Times New Roman" w:hAnsi="Times New Roman" w:cs="Times New Roman"/>
                <w:b/>
                <w:bCs/>
                <w:sz w:val="16"/>
                <w:szCs w:val="16"/>
              </w:rPr>
              <w:t>Wfpp</w:t>
            </w:r>
            <w:proofErr w:type="spellEnd"/>
            <w:r w:rsidRPr="00DD0B5F">
              <w:rPr>
                <w:rFonts w:ascii="Times New Roman" w:hAnsi="Times New Roman" w:cs="Times New Roman"/>
                <w:b/>
                <w:bCs/>
                <w:sz w:val="16"/>
                <w:szCs w:val="16"/>
              </w:rPr>
              <w:t xml:space="preserve"> artikel 8.2 (peildatum 13 april 2026).</w:t>
            </w:r>
          </w:p>
          <w:bookmarkEnd w:id="1"/>
          <w:p w:rsidRPr="00DD0B5F" w:rsidR="00D1368E" w:rsidP="00EE45B4" w:rsidRDefault="00D1368E" w14:paraId="6A75B5CF" w14:textId="7A132CFE">
            <w:pPr>
              <w:rPr>
                <w:b/>
                <w:bCs/>
              </w:rPr>
            </w:pPr>
            <w:r w:rsidRPr="00DD0B5F">
              <w:rPr>
                <w:b/>
                <w:bCs/>
              </w:rPr>
              <w:t xml:space="preserve"> </w:t>
            </w:r>
          </w:p>
        </w:tc>
        <w:tc>
          <w:tcPr>
            <w:cnfStyle w:val="000010000000" w:firstRow="0" w:lastRow="0" w:firstColumn="0" w:lastColumn="0" w:oddVBand="1" w:evenVBand="0" w:oddHBand="0" w:evenHBand="0" w:firstRowFirstColumn="0" w:firstRowLastColumn="0" w:lastRowFirstColumn="0" w:lastRowLastColumn="0"/>
            <w:tcW w:w="974" w:type="dxa"/>
            <w:tcBorders>
              <w:left w:val="none" w:color="auto" w:sz="0" w:space="0"/>
              <w:right w:val="none" w:color="auto" w:sz="0" w:space="0"/>
            </w:tcBorders>
          </w:tcPr>
          <w:p w:rsidRPr="007407EC" w:rsidR="00D1368E" w:rsidP="000114BA" w:rsidRDefault="00D1368E" w14:paraId="05DF48E7" w14:textId="77777777">
            <w:pPr>
              <w:jc w:val="right"/>
            </w:pPr>
          </w:p>
        </w:tc>
        <w:tc>
          <w:tcPr>
            <w:cnfStyle w:val="000001000000" w:firstRow="0" w:lastRow="0" w:firstColumn="0" w:lastColumn="0" w:oddVBand="0" w:evenVBand="1" w:oddHBand="0" w:evenHBand="0" w:firstRowFirstColumn="0" w:firstRowLastColumn="0" w:lastRowFirstColumn="0" w:lastRowLastColumn="0"/>
            <w:tcW w:w="720" w:type="dxa"/>
            <w:tcBorders>
              <w:left w:val="none" w:color="auto" w:sz="0" w:space="0"/>
              <w:right w:val="none" w:color="auto" w:sz="0" w:space="0"/>
            </w:tcBorders>
          </w:tcPr>
          <w:p w:rsidRPr="007407EC" w:rsidR="00D1368E" w:rsidP="000114BA" w:rsidRDefault="00D1368E" w14:paraId="61FC799E" w14:textId="77777777">
            <w:pPr>
              <w:jc w:val="right"/>
            </w:pPr>
            <w:r w:rsidRPr="007407EC">
              <w:t xml:space="preserve"> </w:t>
            </w:r>
          </w:p>
        </w:tc>
      </w:tr>
      <w:tr w:rsidRPr="007407EC" w:rsidR="00D1368E" w:rsidTr="00D1368E" w14:paraId="75E09DCE" w14:textId="3BF0BB7F">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709" w:type="dxa"/>
            <w:tcBorders>
              <w:top w:val="none" w:color="auto" w:sz="0" w:space="0"/>
              <w:left w:val="none" w:color="auto" w:sz="0" w:space="0"/>
              <w:bottom w:val="none" w:color="auto" w:sz="0" w:space="0"/>
              <w:right w:val="none" w:color="auto" w:sz="0" w:space="0"/>
            </w:tcBorders>
          </w:tcPr>
          <w:p w:rsidRPr="007407EC" w:rsidR="00D1368E" w:rsidP="000114BA" w:rsidRDefault="00D1368E" w14:paraId="00DDABDA" w14:textId="77777777">
            <w:r w:rsidRPr="007407EC">
              <w:t>2</w:t>
            </w:r>
          </w:p>
        </w:tc>
        <w:tc>
          <w:tcPr>
            <w:cnfStyle w:val="000001000000" w:firstRow="0" w:lastRow="0" w:firstColumn="0" w:lastColumn="0" w:oddVBand="0" w:evenVBand="1" w:oddHBand="0" w:evenHBand="0" w:firstRowFirstColumn="0" w:firstRowLastColumn="0" w:lastRowFirstColumn="0" w:lastRowLastColumn="0"/>
            <w:tcW w:w="6345" w:type="dxa"/>
            <w:tcBorders>
              <w:top w:val="none" w:color="auto" w:sz="0" w:space="0"/>
              <w:left w:val="none" w:color="auto" w:sz="0" w:space="0"/>
              <w:bottom w:val="none" w:color="auto" w:sz="0" w:space="0"/>
              <w:right w:val="none" w:color="auto" w:sz="0" w:space="0"/>
            </w:tcBorders>
          </w:tcPr>
          <w:p w:rsidRPr="007407EC" w:rsidR="00D1368E" w:rsidP="000114BA" w:rsidRDefault="00D1368E" w14:paraId="03874471" w14:textId="77777777">
            <w:bookmarkStart w:name="_Hlk226722174" w:id="2"/>
            <w:r w:rsidRPr="007407EC">
              <w:t>Wat zijn verkoopopbrengsten op de begroting van het ministerie van Buitenlandse Zaken? Hoe komt het dat die minder zijn dan geraamd?</w:t>
            </w:r>
          </w:p>
          <w:bookmarkEnd w:id="2"/>
          <w:p w:rsidRPr="007407EC" w:rsidR="00D1368E" w:rsidP="000114BA" w:rsidRDefault="00D1368E" w14:paraId="3BB20FB0" w14:textId="77777777"/>
          <w:p w:rsidRPr="00CD3FF9" w:rsidR="00D1368E" w:rsidP="002024BA" w:rsidRDefault="00D1368E" w14:paraId="39109B18" w14:textId="55620135">
            <w:pPr>
              <w:rPr>
                <w:b/>
                <w:bCs/>
              </w:rPr>
            </w:pPr>
            <w:r w:rsidRPr="00CD3FF9">
              <w:rPr>
                <w:b/>
                <w:bCs/>
              </w:rPr>
              <w:t>Antwoord</w:t>
            </w:r>
          </w:p>
          <w:p w:rsidRPr="00CD3FF9" w:rsidR="00D1368E" w:rsidP="00C457E4" w:rsidRDefault="00D1368E" w14:paraId="46D6C5D2" w14:textId="4C16686B">
            <w:pPr>
              <w:rPr>
                <w:b/>
                <w:bCs/>
              </w:rPr>
            </w:pPr>
            <w:r w:rsidRPr="00CD3FF9">
              <w:rPr>
                <w:b/>
                <w:bCs/>
              </w:rPr>
              <w:t>De verkoopopbrengsten betreffen de opbrengsten uit de verkoop van een aantal panden van de wereldwijde huisvestingsportefeuille van</w:t>
            </w:r>
            <w:r w:rsidR="00C50520">
              <w:rPr>
                <w:b/>
                <w:bCs/>
              </w:rPr>
              <w:t xml:space="preserve"> het ministerie van</w:t>
            </w:r>
            <w:r w:rsidRPr="00CD3FF9">
              <w:rPr>
                <w:b/>
                <w:bCs/>
              </w:rPr>
              <w:t xml:space="preserve"> B</w:t>
            </w:r>
            <w:r w:rsidR="00C50520">
              <w:rPr>
                <w:b/>
                <w:bCs/>
              </w:rPr>
              <w:t xml:space="preserve">uitenlandse </w:t>
            </w:r>
            <w:r w:rsidRPr="00CD3FF9">
              <w:rPr>
                <w:b/>
                <w:bCs/>
              </w:rPr>
              <w:t>Z</w:t>
            </w:r>
            <w:r w:rsidR="00C50520">
              <w:rPr>
                <w:b/>
                <w:bCs/>
              </w:rPr>
              <w:t>aken</w:t>
            </w:r>
            <w:r w:rsidRPr="00CD3FF9">
              <w:rPr>
                <w:b/>
                <w:bCs/>
              </w:rPr>
              <w:t>. Als gevolg van de gewijzigde marktomstandigheden alsook geopolitieke ontwikkelingen vallen de verkopen en hiermee samenhangende verkoopopbrengsten lager uit dan verwacht.</w:t>
            </w:r>
          </w:p>
          <w:p w:rsidRPr="007407EC" w:rsidR="00D1368E" w:rsidP="000114BA" w:rsidRDefault="00D1368E" w14:paraId="5316732E" w14:textId="1E124D90"/>
        </w:tc>
        <w:tc>
          <w:tcPr>
            <w:cnfStyle w:val="000010000000" w:firstRow="0" w:lastRow="0" w:firstColumn="0" w:lastColumn="0" w:oddVBand="1" w:evenVBand="0" w:oddHBand="0" w:evenHBand="0" w:firstRowFirstColumn="0" w:firstRowLastColumn="0" w:lastRowFirstColumn="0" w:lastRowLastColumn="0"/>
            <w:tcW w:w="974" w:type="dxa"/>
            <w:tcBorders>
              <w:top w:val="none" w:color="auto" w:sz="0" w:space="0"/>
              <w:left w:val="none" w:color="auto" w:sz="0" w:space="0"/>
              <w:bottom w:val="none" w:color="auto" w:sz="0" w:space="0"/>
              <w:right w:val="none" w:color="auto" w:sz="0" w:space="0"/>
            </w:tcBorders>
          </w:tcPr>
          <w:p w:rsidRPr="007407EC" w:rsidR="00D1368E" w:rsidP="000114BA" w:rsidRDefault="00D1368E" w14:paraId="7E1757B0" w14:textId="77777777">
            <w:pPr>
              <w:jc w:val="right"/>
            </w:pPr>
            <w:r w:rsidRPr="007407EC">
              <w:t>5</w:t>
            </w:r>
          </w:p>
        </w:tc>
        <w:tc>
          <w:tcPr>
            <w:cnfStyle w:val="000001000000" w:firstRow="0" w:lastRow="0" w:firstColumn="0" w:lastColumn="0" w:oddVBand="0" w:evenVBand="1" w:oddHBand="0" w:evenHBand="0" w:firstRowFirstColumn="0" w:firstRowLastColumn="0" w:lastRowFirstColumn="0" w:lastRowLastColumn="0"/>
            <w:tcW w:w="720" w:type="dxa"/>
            <w:tcBorders>
              <w:top w:val="none" w:color="auto" w:sz="0" w:space="0"/>
              <w:left w:val="none" w:color="auto" w:sz="0" w:space="0"/>
              <w:bottom w:val="none" w:color="auto" w:sz="0" w:space="0"/>
              <w:right w:val="none" w:color="auto" w:sz="0" w:space="0"/>
            </w:tcBorders>
          </w:tcPr>
          <w:p w:rsidRPr="007407EC" w:rsidR="00D1368E" w:rsidP="000114BA" w:rsidRDefault="00D1368E" w14:paraId="608BFFC9" w14:textId="77777777">
            <w:pPr>
              <w:jc w:val="right"/>
            </w:pPr>
            <w:r w:rsidRPr="007407EC">
              <w:t xml:space="preserve"> </w:t>
            </w:r>
          </w:p>
        </w:tc>
      </w:tr>
      <w:tr w:rsidRPr="00D431D4" w:rsidR="00D1368E" w:rsidTr="00D1368E" w14:paraId="535958AD" w14:textId="627DC900">
        <w:tc>
          <w:tcPr>
            <w:cnfStyle w:val="000010000000" w:firstRow="0" w:lastRow="0" w:firstColumn="0" w:lastColumn="0" w:oddVBand="1" w:evenVBand="0" w:oddHBand="0" w:evenHBand="0" w:firstRowFirstColumn="0" w:firstRowLastColumn="0" w:lastRowFirstColumn="0" w:lastRowLastColumn="0"/>
            <w:tcW w:w="709" w:type="dxa"/>
            <w:tcBorders>
              <w:left w:val="none" w:color="auto" w:sz="0" w:space="0"/>
              <w:right w:val="none" w:color="auto" w:sz="0" w:space="0"/>
            </w:tcBorders>
          </w:tcPr>
          <w:p w:rsidRPr="007407EC" w:rsidR="00D1368E" w:rsidP="000114BA" w:rsidRDefault="00D1368E" w14:paraId="4512D53B" w14:textId="77777777">
            <w:pPr>
              <w:rPr>
                <w:lang w:val="en-US"/>
              </w:rPr>
            </w:pPr>
            <w:r w:rsidRPr="007407EC">
              <w:t>3</w:t>
            </w:r>
          </w:p>
        </w:tc>
        <w:tc>
          <w:tcPr>
            <w:cnfStyle w:val="000001000000" w:firstRow="0" w:lastRow="0" w:firstColumn="0" w:lastColumn="0" w:oddVBand="0" w:evenVBand="1" w:oddHBand="0" w:evenHBand="0" w:firstRowFirstColumn="0" w:firstRowLastColumn="0" w:lastRowFirstColumn="0" w:lastRowLastColumn="0"/>
            <w:tcW w:w="6345" w:type="dxa"/>
            <w:tcBorders>
              <w:left w:val="none" w:color="auto" w:sz="0" w:space="0"/>
              <w:right w:val="none" w:color="auto" w:sz="0" w:space="0"/>
            </w:tcBorders>
            <w:shd w:val="clear" w:color="auto" w:fill="auto"/>
          </w:tcPr>
          <w:p w:rsidRPr="007407EC" w:rsidR="00D1368E" w:rsidP="000114BA" w:rsidRDefault="00D1368E" w14:paraId="160A81ED" w14:textId="77777777">
            <w:r w:rsidRPr="007407EC">
              <w:t>Welke specifieke diplomatieke posten worden geraakt door de efficiencytaakstelling?</w:t>
            </w:r>
          </w:p>
          <w:p w:rsidRPr="007407EC" w:rsidR="00D1368E" w:rsidP="000114BA" w:rsidRDefault="00D1368E" w14:paraId="28AA5F51" w14:textId="77777777"/>
          <w:p w:rsidRPr="00CD3FF9" w:rsidR="00D1368E" w:rsidP="002024BA" w:rsidRDefault="00D1368E" w14:paraId="2C2723A3" w14:textId="358B15AF">
            <w:pPr>
              <w:rPr>
                <w:b/>
                <w:bCs/>
              </w:rPr>
            </w:pPr>
            <w:r w:rsidRPr="00CD3FF9">
              <w:rPr>
                <w:b/>
                <w:bCs/>
              </w:rPr>
              <w:t>Antwoord</w:t>
            </w:r>
          </w:p>
          <w:p w:rsidRPr="00CD3FF9" w:rsidR="00D1368E" w:rsidP="000114BA" w:rsidRDefault="00D1368E" w14:paraId="718F63FB" w14:textId="03179C80">
            <w:pPr>
              <w:rPr>
                <w:b/>
                <w:bCs/>
              </w:rPr>
            </w:pPr>
            <w:bookmarkStart w:name="_Hlk226981510" w:id="3"/>
            <w:r w:rsidRPr="00CD3FF9">
              <w:rPr>
                <w:b/>
                <w:bCs/>
              </w:rPr>
              <w:t>Het postennet is uitgezonderd voor de efficiencytaakstelling (maatregel 61) en de additionele taakstelling in het kader van de vernieuwing Rijksdienst en een slagvaardige overheid (maatregel 62) uit het Coalitieakkoord. Er worden dus geen specifieke diplomatieke posten geraakt door deze taakstelling.</w:t>
            </w:r>
          </w:p>
          <w:bookmarkEnd w:id="3"/>
          <w:p w:rsidRPr="007407EC" w:rsidR="00D1368E" w:rsidP="000114BA" w:rsidRDefault="00D1368E" w14:paraId="7E8B19C3" w14:textId="3F364BF4"/>
        </w:tc>
        <w:tc>
          <w:tcPr>
            <w:cnfStyle w:val="000010000000" w:firstRow="0" w:lastRow="0" w:firstColumn="0" w:lastColumn="0" w:oddVBand="1" w:evenVBand="0" w:oddHBand="0" w:evenHBand="0" w:firstRowFirstColumn="0" w:firstRowLastColumn="0" w:lastRowFirstColumn="0" w:lastRowLastColumn="0"/>
            <w:tcW w:w="974" w:type="dxa"/>
            <w:tcBorders>
              <w:left w:val="none" w:color="auto" w:sz="0" w:space="0"/>
              <w:right w:val="none" w:color="auto" w:sz="0" w:space="0"/>
            </w:tcBorders>
          </w:tcPr>
          <w:p w:rsidRPr="007407EC" w:rsidR="00D1368E" w:rsidP="000114BA" w:rsidRDefault="00D1368E" w14:paraId="713EF10C" w14:textId="77777777">
            <w:pPr>
              <w:jc w:val="right"/>
            </w:pPr>
            <w:r w:rsidRPr="007407EC">
              <w:t>5</w:t>
            </w:r>
          </w:p>
        </w:tc>
        <w:tc>
          <w:tcPr>
            <w:cnfStyle w:val="000001000000" w:firstRow="0" w:lastRow="0" w:firstColumn="0" w:lastColumn="0" w:oddVBand="0" w:evenVBand="1" w:oddHBand="0" w:evenHBand="0" w:firstRowFirstColumn="0" w:firstRowLastColumn="0" w:lastRowFirstColumn="0" w:lastRowLastColumn="0"/>
            <w:tcW w:w="720" w:type="dxa"/>
            <w:tcBorders>
              <w:left w:val="none" w:color="auto" w:sz="0" w:space="0"/>
              <w:right w:val="none" w:color="auto" w:sz="0" w:space="0"/>
            </w:tcBorders>
          </w:tcPr>
          <w:p w:rsidRPr="007407EC" w:rsidR="00D1368E" w:rsidP="000114BA" w:rsidRDefault="00D1368E" w14:paraId="16B25AFD" w14:textId="77777777">
            <w:pPr>
              <w:jc w:val="right"/>
            </w:pPr>
            <w:r w:rsidRPr="007407EC">
              <w:t xml:space="preserve"> </w:t>
            </w:r>
          </w:p>
        </w:tc>
      </w:tr>
      <w:tr w:rsidRPr="00D431D4" w:rsidR="00D1368E" w:rsidTr="00D1368E" w14:paraId="20884C12" w14:textId="779D8A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Borders>
              <w:top w:val="none" w:color="auto" w:sz="0" w:space="0"/>
              <w:left w:val="none" w:color="auto" w:sz="0" w:space="0"/>
              <w:bottom w:val="none" w:color="auto" w:sz="0" w:space="0"/>
              <w:right w:val="none" w:color="auto" w:sz="0" w:space="0"/>
            </w:tcBorders>
          </w:tcPr>
          <w:p w:rsidRPr="007407EC" w:rsidR="00D1368E" w:rsidP="000114BA" w:rsidRDefault="00D1368E" w14:paraId="25ABCA9A" w14:textId="77777777">
            <w:r w:rsidRPr="007407EC">
              <w:t>4</w:t>
            </w:r>
          </w:p>
        </w:tc>
        <w:tc>
          <w:tcPr>
            <w:cnfStyle w:val="000001000000" w:firstRow="0" w:lastRow="0" w:firstColumn="0" w:lastColumn="0" w:oddVBand="0" w:evenVBand="1" w:oddHBand="0" w:evenHBand="0" w:firstRowFirstColumn="0" w:firstRowLastColumn="0" w:lastRowFirstColumn="0" w:lastRowLastColumn="0"/>
            <w:tcW w:w="6345" w:type="dxa"/>
            <w:tcBorders>
              <w:top w:val="none" w:color="auto" w:sz="0" w:space="0"/>
              <w:left w:val="none" w:color="auto" w:sz="0" w:space="0"/>
              <w:bottom w:val="none" w:color="auto" w:sz="0" w:space="0"/>
              <w:right w:val="none" w:color="auto" w:sz="0" w:space="0"/>
            </w:tcBorders>
          </w:tcPr>
          <w:p w:rsidRPr="007407EC" w:rsidR="00D1368E" w:rsidP="000114BA" w:rsidRDefault="00D1368E" w14:paraId="3DB2189F" w14:textId="77777777">
            <w:r w:rsidRPr="007407EC">
              <w:t>Welke specifieke diplomatieke posten worden geraakt door de additionele efficiencytaakstelling?</w:t>
            </w:r>
          </w:p>
          <w:p w:rsidRPr="007407EC" w:rsidR="00D1368E" w:rsidP="000114BA" w:rsidRDefault="00D1368E" w14:paraId="3A9DFA0E" w14:textId="77777777"/>
          <w:p w:rsidRPr="00CD3FF9" w:rsidR="00D1368E" w:rsidP="002024BA" w:rsidRDefault="00D1368E" w14:paraId="598EAEBF" w14:textId="7E041604">
            <w:pPr>
              <w:rPr>
                <w:b/>
                <w:bCs/>
              </w:rPr>
            </w:pPr>
            <w:r w:rsidRPr="00CD3FF9">
              <w:rPr>
                <w:b/>
                <w:bCs/>
              </w:rPr>
              <w:t>Antwoord</w:t>
            </w:r>
          </w:p>
          <w:p w:rsidRPr="00CD3FF9" w:rsidR="00D1368E" w:rsidP="000114BA" w:rsidRDefault="00D1368E" w14:paraId="06BD7AF9" w14:textId="17D54961">
            <w:pPr>
              <w:rPr>
                <w:b/>
                <w:bCs/>
              </w:rPr>
            </w:pPr>
            <w:r w:rsidRPr="00CD3FF9">
              <w:rPr>
                <w:b/>
                <w:bCs/>
              </w:rPr>
              <w:t xml:space="preserve">Zie </w:t>
            </w:r>
            <w:r w:rsidR="00A30F25">
              <w:rPr>
                <w:b/>
                <w:bCs/>
              </w:rPr>
              <w:t xml:space="preserve">het </w:t>
            </w:r>
            <w:r w:rsidRPr="00CD3FF9">
              <w:rPr>
                <w:b/>
                <w:bCs/>
              </w:rPr>
              <w:t xml:space="preserve">antwoord </w:t>
            </w:r>
            <w:r w:rsidR="00A30F25">
              <w:rPr>
                <w:b/>
                <w:bCs/>
              </w:rPr>
              <w:t xml:space="preserve">op </w:t>
            </w:r>
            <w:r w:rsidRPr="00CD3FF9">
              <w:rPr>
                <w:b/>
                <w:bCs/>
              </w:rPr>
              <w:t xml:space="preserve">vraag 3. </w:t>
            </w:r>
          </w:p>
          <w:p w:rsidRPr="007407EC" w:rsidR="00D1368E" w:rsidP="000114BA" w:rsidRDefault="00D1368E" w14:paraId="4A88430C" w14:textId="3EC2FDC2"/>
        </w:tc>
        <w:tc>
          <w:tcPr>
            <w:cnfStyle w:val="000010000000" w:firstRow="0" w:lastRow="0" w:firstColumn="0" w:lastColumn="0" w:oddVBand="1" w:evenVBand="0" w:oddHBand="0" w:evenHBand="0" w:firstRowFirstColumn="0" w:firstRowLastColumn="0" w:lastRowFirstColumn="0" w:lastRowLastColumn="0"/>
            <w:tcW w:w="974" w:type="dxa"/>
            <w:tcBorders>
              <w:top w:val="none" w:color="auto" w:sz="0" w:space="0"/>
              <w:left w:val="none" w:color="auto" w:sz="0" w:space="0"/>
              <w:bottom w:val="none" w:color="auto" w:sz="0" w:space="0"/>
              <w:right w:val="none" w:color="auto" w:sz="0" w:space="0"/>
            </w:tcBorders>
          </w:tcPr>
          <w:p w:rsidRPr="007407EC" w:rsidR="00D1368E" w:rsidP="000114BA" w:rsidRDefault="00D1368E" w14:paraId="36F74547" w14:textId="77777777">
            <w:pPr>
              <w:jc w:val="right"/>
            </w:pPr>
            <w:r w:rsidRPr="007407EC">
              <w:t>5</w:t>
            </w:r>
          </w:p>
        </w:tc>
        <w:tc>
          <w:tcPr>
            <w:cnfStyle w:val="000001000000" w:firstRow="0" w:lastRow="0" w:firstColumn="0" w:lastColumn="0" w:oddVBand="0" w:evenVBand="1" w:oddHBand="0" w:evenHBand="0" w:firstRowFirstColumn="0" w:firstRowLastColumn="0" w:lastRowFirstColumn="0" w:lastRowLastColumn="0"/>
            <w:tcW w:w="720" w:type="dxa"/>
            <w:tcBorders>
              <w:top w:val="none" w:color="auto" w:sz="0" w:space="0"/>
              <w:left w:val="none" w:color="auto" w:sz="0" w:space="0"/>
              <w:bottom w:val="none" w:color="auto" w:sz="0" w:space="0"/>
              <w:right w:val="none" w:color="auto" w:sz="0" w:space="0"/>
            </w:tcBorders>
          </w:tcPr>
          <w:p w:rsidRPr="007407EC" w:rsidR="00D1368E" w:rsidP="000114BA" w:rsidRDefault="00D1368E" w14:paraId="4729900E" w14:textId="77777777">
            <w:pPr>
              <w:jc w:val="right"/>
            </w:pPr>
            <w:r w:rsidRPr="007407EC">
              <w:t xml:space="preserve"> </w:t>
            </w:r>
          </w:p>
        </w:tc>
      </w:tr>
      <w:tr w:rsidRPr="007407EC" w:rsidR="00D1368E" w:rsidTr="00D1368E" w14:paraId="5886B43C" w14:textId="6CFA4DEF">
        <w:tc>
          <w:tcPr>
            <w:cnfStyle w:val="000010000000" w:firstRow="0" w:lastRow="0" w:firstColumn="0" w:lastColumn="0" w:oddVBand="1" w:evenVBand="0" w:oddHBand="0" w:evenHBand="0" w:firstRowFirstColumn="0" w:firstRowLastColumn="0" w:lastRowFirstColumn="0" w:lastRowLastColumn="0"/>
            <w:tcW w:w="709" w:type="dxa"/>
            <w:tcBorders>
              <w:left w:val="none" w:color="auto" w:sz="0" w:space="0"/>
              <w:right w:val="none" w:color="auto" w:sz="0" w:space="0"/>
            </w:tcBorders>
          </w:tcPr>
          <w:p w:rsidRPr="007407EC" w:rsidR="00D1368E" w:rsidP="000114BA" w:rsidRDefault="00D1368E" w14:paraId="27DAFFFE" w14:textId="77777777">
            <w:r w:rsidRPr="007407EC">
              <w:t>5</w:t>
            </w:r>
          </w:p>
        </w:tc>
        <w:tc>
          <w:tcPr>
            <w:cnfStyle w:val="000001000000" w:firstRow="0" w:lastRow="0" w:firstColumn="0" w:lastColumn="0" w:oddVBand="0" w:evenVBand="1" w:oddHBand="0" w:evenHBand="0" w:firstRowFirstColumn="0" w:firstRowLastColumn="0" w:lastRowFirstColumn="0" w:lastRowLastColumn="0"/>
            <w:tcW w:w="6345" w:type="dxa"/>
            <w:tcBorders>
              <w:left w:val="none" w:color="auto" w:sz="0" w:space="0"/>
              <w:right w:val="none" w:color="auto" w:sz="0" w:space="0"/>
            </w:tcBorders>
          </w:tcPr>
          <w:p w:rsidRPr="00CD3FF9" w:rsidR="00D1368E" w:rsidP="000114BA" w:rsidRDefault="00D1368E" w14:paraId="1AB8B452" w14:textId="77777777">
            <w:bookmarkStart w:name="_Hlk226712312" w:id="4"/>
            <w:r w:rsidRPr="00CD3FF9">
              <w:t>Welke specifieke diplomatieke posten worden geraakt door de bezuiniging op subsidiebudgetten?</w:t>
            </w:r>
          </w:p>
          <w:bookmarkEnd w:id="4"/>
          <w:p w:rsidRPr="00CD3FF9" w:rsidR="00D1368E" w:rsidP="000114BA" w:rsidRDefault="00D1368E" w14:paraId="514569F6" w14:textId="77777777">
            <w:pPr>
              <w:rPr>
                <w:b/>
                <w:bCs/>
              </w:rPr>
            </w:pPr>
          </w:p>
          <w:p w:rsidRPr="00CD3FF9" w:rsidR="00D1368E" w:rsidP="002024BA" w:rsidRDefault="00D1368E" w14:paraId="6EFEF41B" w14:textId="7DCDA5E3">
            <w:pPr>
              <w:rPr>
                <w:b/>
                <w:bCs/>
              </w:rPr>
            </w:pPr>
            <w:r w:rsidRPr="00CD3FF9">
              <w:rPr>
                <w:b/>
                <w:bCs/>
              </w:rPr>
              <w:t>Antwoord</w:t>
            </w:r>
          </w:p>
          <w:p w:rsidRPr="00CD3FF9" w:rsidR="00D1368E" w:rsidP="00853114" w:rsidRDefault="00C50520" w14:paraId="2672FF36" w14:textId="03BFD3C6">
            <w:pPr>
              <w:rPr>
                <w:b/>
                <w:bCs/>
              </w:rPr>
            </w:pPr>
            <w:r>
              <w:rPr>
                <w:b/>
                <w:bCs/>
              </w:rPr>
              <w:t>De s</w:t>
            </w:r>
            <w:r w:rsidRPr="00CD3FF9" w:rsidR="00D1368E">
              <w:rPr>
                <w:b/>
                <w:bCs/>
              </w:rPr>
              <w:t>ubsidietaakstelling (maatregel 63) van kabinet Jetten I wordt op deze 1</w:t>
            </w:r>
            <w:r w:rsidRPr="00CD3FF9" w:rsidR="00D1368E">
              <w:rPr>
                <w:b/>
                <w:bCs/>
                <w:vertAlign w:val="superscript"/>
              </w:rPr>
              <w:t>e</w:t>
            </w:r>
            <w:r w:rsidRPr="00CD3FF9" w:rsidR="00D1368E">
              <w:rPr>
                <w:b/>
                <w:bCs/>
              </w:rPr>
              <w:t xml:space="preserve"> suppletoire begroting 2026 van </w:t>
            </w:r>
            <w:r>
              <w:rPr>
                <w:b/>
                <w:bCs/>
              </w:rPr>
              <w:t xml:space="preserve">het ministerie van </w:t>
            </w:r>
            <w:r w:rsidRPr="00CD3FF9">
              <w:rPr>
                <w:b/>
                <w:bCs/>
              </w:rPr>
              <w:t>B</w:t>
            </w:r>
            <w:r>
              <w:rPr>
                <w:b/>
                <w:bCs/>
              </w:rPr>
              <w:t xml:space="preserve">uitenlandse </w:t>
            </w:r>
            <w:r w:rsidRPr="00CD3FF9" w:rsidR="00D1368E">
              <w:rPr>
                <w:b/>
                <w:bCs/>
              </w:rPr>
              <w:t>Z</w:t>
            </w:r>
            <w:r>
              <w:rPr>
                <w:b/>
                <w:bCs/>
              </w:rPr>
              <w:t>aken</w:t>
            </w:r>
            <w:r w:rsidRPr="00CD3FF9" w:rsidR="00D1368E">
              <w:rPr>
                <w:b/>
                <w:bCs/>
              </w:rPr>
              <w:t xml:space="preserve"> nagenoeg geheel ingevuld door het departement. </w:t>
            </w:r>
            <w:r w:rsidRPr="00CD3FF9" w:rsidR="00D1368E">
              <w:rPr>
                <w:b/>
                <w:bCs/>
              </w:rPr>
              <w:lastRenderedPageBreak/>
              <w:t xml:space="preserve">Subsidiebudgetten zoals onder andere Stabiliteitsfonds, Mensenrechtenfonds en MATRA en Shiraka worden gekort door maatregel 63 met circa EUR 915.000 structureel vanaf 2027. De betreffende taakstelling zal op een later moment verder verdeeld worden naar de specifieke posten. </w:t>
            </w:r>
          </w:p>
          <w:p w:rsidRPr="00CD3FF9" w:rsidR="00D1368E" w:rsidP="000114BA" w:rsidRDefault="00D1368E" w14:paraId="179B889F" w14:textId="1F0FBCE1">
            <w:pPr>
              <w:rPr>
                <w:b/>
                <w:bCs/>
              </w:rPr>
            </w:pPr>
          </w:p>
        </w:tc>
        <w:tc>
          <w:tcPr>
            <w:cnfStyle w:val="000010000000" w:firstRow="0" w:lastRow="0" w:firstColumn="0" w:lastColumn="0" w:oddVBand="1" w:evenVBand="0" w:oddHBand="0" w:evenHBand="0" w:firstRowFirstColumn="0" w:firstRowLastColumn="0" w:lastRowFirstColumn="0" w:lastRowLastColumn="0"/>
            <w:tcW w:w="974" w:type="dxa"/>
            <w:tcBorders>
              <w:left w:val="none" w:color="auto" w:sz="0" w:space="0"/>
              <w:right w:val="none" w:color="auto" w:sz="0" w:space="0"/>
            </w:tcBorders>
          </w:tcPr>
          <w:p w:rsidRPr="007407EC" w:rsidR="00D1368E" w:rsidP="000114BA" w:rsidRDefault="00D1368E" w14:paraId="3746F034" w14:textId="77777777">
            <w:pPr>
              <w:jc w:val="right"/>
            </w:pPr>
            <w:r w:rsidRPr="007407EC">
              <w:lastRenderedPageBreak/>
              <w:t>5</w:t>
            </w:r>
          </w:p>
        </w:tc>
        <w:tc>
          <w:tcPr>
            <w:cnfStyle w:val="000001000000" w:firstRow="0" w:lastRow="0" w:firstColumn="0" w:lastColumn="0" w:oddVBand="0" w:evenVBand="1" w:oddHBand="0" w:evenHBand="0" w:firstRowFirstColumn="0" w:firstRowLastColumn="0" w:lastRowFirstColumn="0" w:lastRowLastColumn="0"/>
            <w:tcW w:w="720" w:type="dxa"/>
            <w:tcBorders>
              <w:left w:val="none" w:color="auto" w:sz="0" w:space="0"/>
              <w:right w:val="none" w:color="auto" w:sz="0" w:space="0"/>
            </w:tcBorders>
          </w:tcPr>
          <w:p w:rsidRPr="007407EC" w:rsidR="00D1368E" w:rsidP="000114BA" w:rsidRDefault="00D1368E" w14:paraId="3779D900" w14:textId="77777777">
            <w:pPr>
              <w:jc w:val="right"/>
            </w:pPr>
            <w:r w:rsidRPr="007407EC">
              <w:t xml:space="preserve"> </w:t>
            </w:r>
          </w:p>
        </w:tc>
      </w:tr>
      <w:tr w:rsidRPr="00D1368E" w:rsidR="00D1368E" w:rsidTr="00D1368E" w14:paraId="0691D65E" w14:textId="3626D5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Borders>
              <w:top w:val="none" w:color="auto" w:sz="0" w:space="0"/>
              <w:left w:val="none" w:color="auto" w:sz="0" w:space="0"/>
              <w:bottom w:val="none" w:color="auto" w:sz="0" w:space="0"/>
              <w:right w:val="none" w:color="auto" w:sz="0" w:space="0"/>
            </w:tcBorders>
          </w:tcPr>
          <w:p w:rsidRPr="007407EC" w:rsidR="00D1368E" w:rsidP="000114BA" w:rsidRDefault="00D1368E" w14:paraId="42BD3677" w14:textId="77777777">
            <w:r w:rsidRPr="007407EC">
              <w:t>6</w:t>
            </w:r>
          </w:p>
        </w:tc>
        <w:tc>
          <w:tcPr>
            <w:cnfStyle w:val="000001000000" w:firstRow="0" w:lastRow="0" w:firstColumn="0" w:lastColumn="0" w:oddVBand="0" w:evenVBand="1" w:oddHBand="0" w:evenHBand="0" w:firstRowFirstColumn="0" w:firstRowLastColumn="0" w:lastRowFirstColumn="0" w:lastRowLastColumn="0"/>
            <w:tcW w:w="6345" w:type="dxa"/>
            <w:tcBorders>
              <w:top w:val="none" w:color="auto" w:sz="0" w:space="0"/>
              <w:left w:val="none" w:color="auto" w:sz="0" w:space="0"/>
              <w:bottom w:val="none" w:color="auto" w:sz="0" w:space="0"/>
              <w:right w:val="none" w:color="auto" w:sz="0" w:space="0"/>
            </w:tcBorders>
          </w:tcPr>
          <w:p w:rsidRPr="007407EC" w:rsidR="00D1368E" w:rsidP="000114BA" w:rsidRDefault="00D1368E" w14:paraId="69E868EB" w14:textId="77777777">
            <w:r w:rsidRPr="007407EC">
              <w:t>Welke risico’s liggen er met betrekking tot de uitvoering door de verschillende taakstellingen?</w:t>
            </w:r>
          </w:p>
          <w:p w:rsidRPr="007407EC" w:rsidR="00D1368E" w:rsidP="000114BA" w:rsidRDefault="00D1368E" w14:paraId="76748EB2" w14:textId="77777777"/>
          <w:p w:rsidRPr="00CD3FF9" w:rsidR="00D1368E" w:rsidP="00EF53E1" w:rsidRDefault="00D1368E" w14:paraId="70932E09" w14:textId="2BD51EF4">
            <w:pPr>
              <w:rPr>
                <w:b/>
                <w:bCs/>
              </w:rPr>
            </w:pPr>
            <w:r w:rsidRPr="00CD3FF9">
              <w:rPr>
                <w:b/>
                <w:bCs/>
              </w:rPr>
              <w:t>Antwoord</w:t>
            </w:r>
          </w:p>
          <w:p w:rsidRPr="00CD3FF9" w:rsidR="00D1368E" w:rsidP="00EF53E1" w:rsidRDefault="00D1368E" w14:paraId="3D5A20D6" w14:textId="28845A11">
            <w:pPr>
              <w:rPr>
                <w:b/>
                <w:bCs/>
              </w:rPr>
            </w:pPr>
            <w:r w:rsidRPr="00CD3FF9">
              <w:rPr>
                <w:b/>
                <w:bCs/>
              </w:rPr>
              <w:t>In de uitvoering van de verschillende taakstellingen bestaat er een risico op besparingsverlies, bijvoorbeeld door vertraging in de uitvoering van diverse maatregelen of door een lagere opbrengst van beoogde maatregelen. Dit risico wordt gemonitord en indien nodig bijgestuurd.</w:t>
            </w:r>
          </w:p>
          <w:p w:rsidRPr="007407EC" w:rsidR="00D1368E" w:rsidP="000114BA" w:rsidRDefault="00D1368E" w14:paraId="6FDF56CF" w14:textId="43962D0D"/>
        </w:tc>
        <w:tc>
          <w:tcPr>
            <w:cnfStyle w:val="000010000000" w:firstRow="0" w:lastRow="0" w:firstColumn="0" w:lastColumn="0" w:oddVBand="1" w:evenVBand="0" w:oddHBand="0" w:evenHBand="0" w:firstRowFirstColumn="0" w:firstRowLastColumn="0" w:lastRowFirstColumn="0" w:lastRowLastColumn="0"/>
            <w:tcW w:w="974" w:type="dxa"/>
            <w:tcBorders>
              <w:top w:val="none" w:color="auto" w:sz="0" w:space="0"/>
              <w:left w:val="none" w:color="auto" w:sz="0" w:space="0"/>
              <w:bottom w:val="none" w:color="auto" w:sz="0" w:space="0"/>
              <w:right w:val="none" w:color="auto" w:sz="0" w:space="0"/>
            </w:tcBorders>
          </w:tcPr>
          <w:p w:rsidRPr="007407EC" w:rsidR="00D1368E" w:rsidP="000114BA" w:rsidRDefault="00D1368E" w14:paraId="623E1FCB" w14:textId="77777777">
            <w:pPr>
              <w:jc w:val="right"/>
            </w:pPr>
            <w:r w:rsidRPr="007407EC">
              <w:t>5</w:t>
            </w:r>
          </w:p>
        </w:tc>
        <w:tc>
          <w:tcPr>
            <w:cnfStyle w:val="000001000000" w:firstRow="0" w:lastRow="0" w:firstColumn="0" w:lastColumn="0" w:oddVBand="0" w:evenVBand="1" w:oddHBand="0" w:evenHBand="0" w:firstRowFirstColumn="0" w:firstRowLastColumn="0" w:lastRowFirstColumn="0" w:lastRowLastColumn="0"/>
            <w:tcW w:w="720" w:type="dxa"/>
            <w:tcBorders>
              <w:top w:val="none" w:color="auto" w:sz="0" w:space="0"/>
              <w:left w:val="none" w:color="auto" w:sz="0" w:space="0"/>
              <w:bottom w:val="none" w:color="auto" w:sz="0" w:space="0"/>
              <w:right w:val="none" w:color="auto" w:sz="0" w:space="0"/>
            </w:tcBorders>
          </w:tcPr>
          <w:p w:rsidRPr="007407EC" w:rsidR="00D1368E" w:rsidP="000114BA" w:rsidRDefault="00D1368E" w14:paraId="04568751" w14:textId="77777777">
            <w:pPr>
              <w:jc w:val="right"/>
            </w:pPr>
            <w:r w:rsidRPr="007407EC">
              <w:t xml:space="preserve"> </w:t>
            </w:r>
          </w:p>
        </w:tc>
      </w:tr>
      <w:tr w:rsidRPr="007407EC" w:rsidR="00D1368E" w:rsidTr="00D1368E" w14:paraId="3E280FE4" w14:textId="782092FA">
        <w:tc>
          <w:tcPr>
            <w:cnfStyle w:val="000010000000" w:firstRow="0" w:lastRow="0" w:firstColumn="0" w:lastColumn="0" w:oddVBand="1" w:evenVBand="0" w:oddHBand="0" w:evenHBand="0" w:firstRowFirstColumn="0" w:firstRowLastColumn="0" w:lastRowFirstColumn="0" w:lastRowLastColumn="0"/>
            <w:tcW w:w="709" w:type="dxa"/>
            <w:tcBorders>
              <w:left w:val="none" w:color="auto" w:sz="0" w:space="0"/>
              <w:right w:val="none" w:color="auto" w:sz="0" w:space="0"/>
            </w:tcBorders>
          </w:tcPr>
          <w:p w:rsidRPr="007407EC" w:rsidR="00D1368E" w:rsidP="000114BA" w:rsidRDefault="00D1368E" w14:paraId="23D98082" w14:textId="77777777">
            <w:r w:rsidRPr="007407EC">
              <w:t>7</w:t>
            </w:r>
          </w:p>
        </w:tc>
        <w:tc>
          <w:tcPr>
            <w:cnfStyle w:val="000001000000" w:firstRow="0" w:lastRow="0" w:firstColumn="0" w:lastColumn="0" w:oddVBand="0" w:evenVBand="1" w:oddHBand="0" w:evenHBand="0" w:firstRowFirstColumn="0" w:firstRowLastColumn="0" w:lastRowFirstColumn="0" w:lastRowLastColumn="0"/>
            <w:tcW w:w="6345" w:type="dxa"/>
            <w:tcBorders>
              <w:left w:val="none" w:color="auto" w:sz="0" w:space="0"/>
              <w:right w:val="none" w:color="auto" w:sz="0" w:space="0"/>
            </w:tcBorders>
          </w:tcPr>
          <w:p w:rsidRPr="007407EC" w:rsidR="00D1368E" w:rsidP="000114BA" w:rsidRDefault="00D1368E" w14:paraId="5FADFCC8" w14:textId="77777777">
            <w:r w:rsidRPr="007407EC">
              <w:t>Hoeveel ambtenaren vallen bij het ministerie van Buitenlandse Zaken onder de nullijn?</w:t>
            </w:r>
          </w:p>
          <w:p w:rsidRPr="007407EC" w:rsidR="00D1368E" w:rsidP="000114BA" w:rsidRDefault="00D1368E" w14:paraId="6BB4BD7A" w14:textId="77777777"/>
          <w:p w:rsidRPr="00CD3FF9" w:rsidR="00D1368E" w:rsidP="00EF53E1" w:rsidRDefault="00D1368E" w14:paraId="3DDB6EB1" w14:textId="7324490E">
            <w:pPr>
              <w:rPr>
                <w:b/>
                <w:bCs/>
              </w:rPr>
            </w:pPr>
            <w:r w:rsidRPr="00CD3FF9">
              <w:rPr>
                <w:b/>
                <w:bCs/>
              </w:rPr>
              <w:t>Antwoord</w:t>
            </w:r>
          </w:p>
          <w:p w:rsidRPr="00CD3FF9" w:rsidR="00D1368E" w:rsidP="00EF53E1" w:rsidRDefault="00D1368E" w14:paraId="0FD5F3A0" w14:textId="542978A0">
            <w:pPr>
              <w:rPr>
                <w:b/>
                <w:bCs/>
              </w:rPr>
            </w:pPr>
            <w:r w:rsidRPr="00CD3FF9">
              <w:rPr>
                <w:b/>
                <w:bCs/>
              </w:rPr>
              <w:t xml:space="preserve">Bij </w:t>
            </w:r>
            <w:r w:rsidR="00A30F25">
              <w:rPr>
                <w:b/>
                <w:bCs/>
              </w:rPr>
              <w:t xml:space="preserve">het ministerie van </w:t>
            </w:r>
            <w:r w:rsidRPr="00CD3FF9">
              <w:rPr>
                <w:b/>
                <w:bCs/>
              </w:rPr>
              <w:t>B</w:t>
            </w:r>
            <w:r w:rsidR="00A30F25">
              <w:rPr>
                <w:b/>
                <w:bCs/>
              </w:rPr>
              <w:t xml:space="preserve">uitenlandse </w:t>
            </w:r>
            <w:r w:rsidRPr="00CD3FF9">
              <w:rPr>
                <w:b/>
                <w:bCs/>
              </w:rPr>
              <w:t>Z</w:t>
            </w:r>
            <w:r w:rsidR="00A30F25">
              <w:rPr>
                <w:b/>
                <w:bCs/>
              </w:rPr>
              <w:t>aken</w:t>
            </w:r>
            <w:r w:rsidRPr="00CD3FF9">
              <w:rPr>
                <w:b/>
                <w:bCs/>
              </w:rPr>
              <w:t xml:space="preserve"> werken 3652 ambtenaren die onder de CAO Rijk vallen.</w:t>
            </w:r>
          </w:p>
          <w:p w:rsidRPr="007407EC" w:rsidR="00D1368E" w:rsidP="000114BA" w:rsidRDefault="00D1368E" w14:paraId="6A23C315" w14:textId="734B29C1"/>
        </w:tc>
        <w:tc>
          <w:tcPr>
            <w:cnfStyle w:val="000010000000" w:firstRow="0" w:lastRow="0" w:firstColumn="0" w:lastColumn="0" w:oddVBand="1" w:evenVBand="0" w:oddHBand="0" w:evenHBand="0" w:firstRowFirstColumn="0" w:firstRowLastColumn="0" w:lastRowFirstColumn="0" w:lastRowLastColumn="0"/>
            <w:tcW w:w="974" w:type="dxa"/>
            <w:tcBorders>
              <w:left w:val="none" w:color="auto" w:sz="0" w:space="0"/>
              <w:right w:val="none" w:color="auto" w:sz="0" w:space="0"/>
            </w:tcBorders>
          </w:tcPr>
          <w:p w:rsidRPr="007407EC" w:rsidR="00D1368E" w:rsidP="000114BA" w:rsidRDefault="00D1368E" w14:paraId="0AF01E77" w14:textId="77777777">
            <w:pPr>
              <w:jc w:val="right"/>
            </w:pPr>
            <w:r w:rsidRPr="007407EC">
              <w:t>6</w:t>
            </w:r>
          </w:p>
        </w:tc>
        <w:tc>
          <w:tcPr>
            <w:cnfStyle w:val="000001000000" w:firstRow="0" w:lastRow="0" w:firstColumn="0" w:lastColumn="0" w:oddVBand="0" w:evenVBand="1" w:oddHBand="0" w:evenHBand="0" w:firstRowFirstColumn="0" w:firstRowLastColumn="0" w:lastRowFirstColumn="0" w:lastRowLastColumn="0"/>
            <w:tcW w:w="720" w:type="dxa"/>
            <w:tcBorders>
              <w:left w:val="none" w:color="auto" w:sz="0" w:space="0"/>
              <w:right w:val="none" w:color="auto" w:sz="0" w:space="0"/>
            </w:tcBorders>
          </w:tcPr>
          <w:p w:rsidRPr="007407EC" w:rsidR="00D1368E" w:rsidP="000114BA" w:rsidRDefault="00D1368E" w14:paraId="38CD7C58" w14:textId="77777777">
            <w:pPr>
              <w:jc w:val="right"/>
            </w:pPr>
            <w:r w:rsidRPr="007407EC">
              <w:t xml:space="preserve"> </w:t>
            </w:r>
          </w:p>
        </w:tc>
      </w:tr>
      <w:tr w:rsidRPr="007407EC" w:rsidR="00D1368E" w:rsidTr="00D1368E" w14:paraId="1C990D56" w14:textId="297F59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Borders>
              <w:top w:val="none" w:color="auto" w:sz="0" w:space="0"/>
              <w:left w:val="none" w:color="auto" w:sz="0" w:space="0"/>
              <w:bottom w:val="none" w:color="auto" w:sz="0" w:space="0"/>
              <w:right w:val="none" w:color="auto" w:sz="0" w:space="0"/>
            </w:tcBorders>
          </w:tcPr>
          <w:p w:rsidRPr="007407EC" w:rsidR="00D1368E" w:rsidP="000114BA" w:rsidRDefault="00D1368E" w14:paraId="21F66217" w14:textId="77777777">
            <w:r w:rsidRPr="007407EC">
              <w:t>8</w:t>
            </w:r>
          </w:p>
        </w:tc>
        <w:tc>
          <w:tcPr>
            <w:cnfStyle w:val="000001000000" w:firstRow="0" w:lastRow="0" w:firstColumn="0" w:lastColumn="0" w:oddVBand="0" w:evenVBand="1" w:oddHBand="0" w:evenHBand="0" w:firstRowFirstColumn="0" w:firstRowLastColumn="0" w:lastRowFirstColumn="0" w:lastRowLastColumn="0"/>
            <w:tcW w:w="6345" w:type="dxa"/>
            <w:tcBorders>
              <w:top w:val="none" w:color="auto" w:sz="0" w:space="0"/>
              <w:left w:val="none" w:color="auto" w:sz="0" w:space="0"/>
              <w:bottom w:val="none" w:color="auto" w:sz="0" w:space="0"/>
              <w:right w:val="none" w:color="auto" w:sz="0" w:space="0"/>
            </w:tcBorders>
          </w:tcPr>
          <w:p w:rsidRPr="00CD3FF9" w:rsidR="00D1368E" w:rsidP="000114BA" w:rsidRDefault="00D1368E" w14:paraId="18CF91E6" w14:textId="77777777">
            <w:r w:rsidRPr="00CD3FF9">
              <w:t>Hoeveel medewerkers bevinden zich in de lagere loonschalen (schaal 1 t/m 6)? Wat is het aandeel van deze groep binnen de uitvoering (uitvoeringsorganisaties versus beleid)?</w:t>
            </w:r>
          </w:p>
          <w:p w:rsidRPr="00CD3FF9" w:rsidR="00D1368E" w:rsidP="000114BA" w:rsidRDefault="00D1368E" w14:paraId="62CF45A1" w14:textId="77777777">
            <w:pPr>
              <w:rPr>
                <w:b/>
                <w:bCs/>
              </w:rPr>
            </w:pPr>
          </w:p>
          <w:p w:rsidRPr="00CD3FF9" w:rsidR="00D1368E" w:rsidP="001D00B8" w:rsidRDefault="00D1368E" w14:paraId="563DB08E" w14:textId="77777777">
            <w:pPr>
              <w:rPr>
                <w:b/>
                <w:bCs/>
              </w:rPr>
            </w:pPr>
            <w:r w:rsidRPr="00CD3FF9">
              <w:rPr>
                <w:b/>
                <w:bCs/>
              </w:rPr>
              <w:t xml:space="preserve">Antwoord: </w:t>
            </w:r>
          </w:p>
          <w:p w:rsidRPr="00CD3FF9" w:rsidR="00D1368E" w:rsidP="001D00B8" w:rsidRDefault="00D1368E" w14:paraId="27442888" w14:textId="2A8E3B55">
            <w:pPr>
              <w:rPr>
                <w:b/>
                <w:bCs/>
              </w:rPr>
            </w:pPr>
            <w:r w:rsidRPr="00CD3FF9">
              <w:rPr>
                <w:b/>
                <w:bCs/>
              </w:rPr>
              <w:t xml:space="preserve">In de loonschalen 1 t/m 6 werken er 52 ambtenaren bij </w:t>
            </w:r>
            <w:r w:rsidR="00EA51EF">
              <w:rPr>
                <w:b/>
                <w:bCs/>
              </w:rPr>
              <w:t xml:space="preserve">het ministerie van </w:t>
            </w:r>
            <w:r w:rsidRPr="00CD3FF9">
              <w:rPr>
                <w:b/>
                <w:bCs/>
              </w:rPr>
              <w:t>B</w:t>
            </w:r>
            <w:r w:rsidR="00EA51EF">
              <w:rPr>
                <w:b/>
                <w:bCs/>
              </w:rPr>
              <w:t xml:space="preserve">uitenlandse </w:t>
            </w:r>
            <w:r w:rsidRPr="00CD3FF9">
              <w:rPr>
                <w:b/>
                <w:bCs/>
              </w:rPr>
              <w:t>Z</w:t>
            </w:r>
            <w:r w:rsidR="00EA51EF">
              <w:rPr>
                <w:b/>
                <w:bCs/>
              </w:rPr>
              <w:t>aken</w:t>
            </w:r>
            <w:r w:rsidRPr="00CD3FF9">
              <w:rPr>
                <w:b/>
                <w:bCs/>
              </w:rPr>
              <w:t>.</w:t>
            </w:r>
          </w:p>
          <w:p w:rsidRPr="00CD3FF9" w:rsidR="00D1368E" w:rsidP="001D00B8" w:rsidRDefault="00D1368E" w14:paraId="7CD39FEA" w14:textId="77777777">
            <w:pPr>
              <w:rPr>
                <w:b/>
                <w:bCs/>
              </w:rPr>
            </w:pPr>
          </w:p>
          <w:tbl>
            <w:tblPr>
              <w:tblW w:w="0" w:type="auto"/>
              <w:tblCellMar>
                <w:left w:w="0" w:type="dxa"/>
                <w:right w:w="0" w:type="dxa"/>
              </w:tblCellMar>
              <w:tblLook w:val="04A0" w:firstRow="1" w:lastRow="0" w:firstColumn="1" w:lastColumn="0" w:noHBand="0" w:noVBand="1"/>
            </w:tblPr>
            <w:tblGrid>
              <w:gridCol w:w="1354"/>
              <w:gridCol w:w="2301"/>
            </w:tblGrid>
            <w:tr w:rsidRPr="00CD3FF9" w:rsidR="00D1368E" w:rsidTr="00576C51" w14:paraId="44BCDC08" w14:textId="77777777">
              <w:trPr>
                <w:trHeight w:val="309"/>
              </w:trPr>
              <w:tc>
                <w:tcPr>
                  <w:tcW w:w="13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CD3FF9" w:rsidR="00D1368E" w:rsidP="001D00B8" w:rsidRDefault="00D1368E" w14:paraId="5DAAC689" w14:textId="77777777">
                  <w:pPr>
                    <w:rPr>
                      <w:b/>
                      <w:bCs/>
                    </w:rPr>
                  </w:pPr>
                  <w:r w:rsidRPr="00CD3FF9">
                    <w:rPr>
                      <w:b/>
                      <w:bCs/>
                    </w:rPr>
                    <w:t>Schaal</w:t>
                  </w:r>
                </w:p>
              </w:tc>
              <w:tc>
                <w:tcPr>
                  <w:tcW w:w="23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D3FF9" w:rsidR="00D1368E" w:rsidP="001D00B8" w:rsidRDefault="00D1368E" w14:paraId="7B8F5500" w14:textId="77777777">
                  <w:pPr>
                    <w:rPr>
                      <w:b/>
                      <w:bCs/>
                    </w:rPr>
                  </w:pPr>
                  <w:r w:rsidRPr="00CD3FF9">
                    <w:rPr>
                      <w:b/>
                      <w:bCs/>
                    </w:rPr>
                    <w:t>Aantal medewerkers</w:t>
                  </w:r>
                </w:p>
              </w:tc>
            </w:tr>
            <w:tr w:rsidRPr="00CD3FF9" w:rsidR="00D1368E" w:rsidTr="00576C51" w14:paraId="44A57768" w14:textId="77777777">
              <w:trPr>
                <w:trHeight w:val="319"/>
              </w:trPr>
              <w:tc>
                <w:tcPr>
                  <w:tcW w:w="13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D3FF9" w:rsidR="00D1368E" w:rsidP="001D00B8" w:rsidRDefault="00D1368E" w14:paraId="1C5202A3" w14:textId="77777777">
                  <w:pPr>
                    <w:rPr>
                      <w:b/>
                      <w:bCs/>
                    </w:rPr>
                  </w:pPr>
                  <w:r w:rsidRPr="00CD3FF9">
                    <w:rPr>
                      <w:b/>
                      <w:bCs/>
                    </w:rPr>
                    <w:t>3</w:t>
                  </w:r>
                </w:p>
              </w:tc>
              <w:tc>
                <w:tcPr>
                  <w:tcW w:w="2301" w:type="dxa"/>
                  <w:tcBorders>
                    <w:top w:val="nil"/>
                    <w:left w:val="nil"/>
                    <w:bottom w:val="single" w:color="auto" w:sz="8" w:space="0"/>
                    <w:right w:val="single" w:color="auto" w:sz="8" w:space="0"/>
                  </w:tcBorders>
                  <w:tcMar>
                    <w:top w:w="0" w:type="dxa"/>
                    <w:left w:w="108" w:type="dxa"/>
                    <w:bottom w:w="0" w:type="dxa"/>
                    <w:right w:w="108" w:type="dxa"/>
                  </w:tcMar>
                  <w:hideMark/>
                </w:tcPr>
                <w:p w:rsidRPr="00CD3FF9" w:rsidR="00D1368E" w:rsidP="001D00B8" w:rsidRDefault="00D1368E" w14:paraId="113BF7FE" w14:textId="77777777">
                  <w:pPr>
                    <w:rPr>
                      <w:b/>
                      <w:bCs/>
                    </w:rPr>
                  </w:pPr>
                  <w:r w:rsidRPr="00CD3FF9">
                    <w:rPr>
                      <w:b/>
                      <w:bCs/>
                    </w:rPr>
                    <w:t>3</w:t>
                  </w:r>
                </w:p>
              </w:tc>
            </w:tr>
            <w:tr w:rsidRPr="00CD3FF9" w:rsidR="00D1368E" w:rsidTr="00576C51" w14:paraId="2D78017B" w14:textId="77777777">
              <w:trPr>
                <w:trHeight w:val="309"/>
              </w:trPr>
              <w:tc>
                <w:tcPr>
                  <w:tcW w:w="13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D3FF9" w:rsidR="00D1368E" w:rsidP="001D00B8" w:rsidRDefault="00D1368E" w14:paraId="1AE2AA19" w14:textId="77777777">
                  <w:pPr>
                    <w:rPr>
                      <w:b/>
                      <w:bCs/>
                    </w:rPr>
                  </w:pPr>
                  <w:r w:rsidRPr="00CD3FF9">
                    <w:rPr>
                      <w:b/>
                      <w:bCs/>
                    </w:rPr>
                    <w:t>4</w:t>
                  </w:r>
                </w:p>
              </w:tc>
              <w:tc>
                <w:tcPr>
                  <w:tcW w:w="2301" w:type="dxa"/>
                  <w:tcBorders>
                    <w:top w:val="nil"/>
                    <w:left w:val="nil"/>
                    <w:bottom w:val="single" w:color="auto" w:sz="8" w:space="0"/>
                    <w:right w:val="single" w:color="auto" w:sz="8" w:space="0"/>
                  </w:tcBorders>
                  <w:tcMar>
                    <w:top w:w="0" w:type="dxa"/>
                    <w:left w:w="108" w:type="dxa"/>
                    <w:bottom w:w="0" w:type="dxa"/>
                    <w:right w:w="108" w:type="dxa"/>
                  </w:tcMar>
                  <w:hideMark/>
                </w:tcPr>
                <w:p w:rsidRPr="00CD3FF9" w:rsidR="00D1368E" w:rsidP="001D00B8" w:rsidRDefault="00D1368E" w14:paraId="04A44858" w14:textId="77777777">
                  <w:pPr>
                    <w:rPr>
                      <w:b/>
                      <w:bCs/>
                    </w:rPr>
                  </w:pPr>
                  <w:r w:rsidRPr="00CD3FF9">
                    <w:rPr>
                      <w:b/>
                      <w:bCs/>
                    </w:rPr>
                    <w:t>13</w:t>
                  </w:r>
                </w:p>
              </w:tc>
            </w:tr>
            <w:tr w:rsidRPr="00CD3FF9" w:rsidR="00D1368E" w:rsidTr="00576C51" w14:paraId="12C6D9DD" w14:textId="77777777">
              <w:trPr>
                <w:trHeight w:val="319"/>
              </w:trPr>
              <w:tc>
                <w:tcPr>
                  <w:tcW w:w="13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D3FF9" w:rsidR="00D1368E" w:rsidP="001D00B8" w:rsidRDefault="00D1368E" w14:paraId="6FDD9749" w14:textId="77777777">
                  <w:pPr>
                    <w:rPr>
                      <w:b/>
                      <w:bCs/>
                    </w:rPr>
                  </w:pPr>
                  <w:r w:rsidRPr="00CD3FF9">
                    <w:rPr>
                      <w:b/>
                      <w:bCs/>
                    </w:rPr>
                    <w:t>5</w:t>
                  </w:r>
                </w:p>
              </w:tc>
              <w:tc>
                <w:tcPr>
                  <w:tcW w:w="2301" w:type="dxa"/>
                  <w:tcBorders>
                    <w:top w:val="nil"/>
                    <w:left w:val="nil"/>
                    <w:bottom w:val="single" w:color="auto" w:sz="8" w:space="0"/>
                    <w:right w:val="single" w:color="auto" w:sz="8" w:space="0"/>
                  </w:tcBorders>
                  <w:tcMar>
                    <w:top w:w="0" w:type="dxa"/>
                    <w:left w:w="108" w:type="dxa"/>
                    <w:bottom w:w="0" w:type="dxa"/>
                    <w:right w:w="108" w:type="dxa"/>
                  </w:tcMar>
                  <w:hideMark/>
                </w:tcPr>
                <w:p w:rsidRPr="00CD3FF9" w:rsidR="00D1368E" w:rsidP="001D00B8" w:rsidRDefault="00D1368E" w14:paraId="2301AFED" w14:textId="77777777">
                  <w:pPr>
                    <w:rPr>
                      <w:b/>
                      <w:bCs/>
                    </w:rPr>
                  </w:pPr>
                  <w:r w:rsidRPr="00CD3FF9">
                    <w:rPr>
                      <w:b/>
                      <w:bCs/>
                    </w:rPr>
                    <w:t>1</w:t>
                  </w:r>
                </w:p>
              </w:tc>
            </w:tr>
            <w:tr w:rsidRPr="00CD3FF9" w:rsidR="00D1368E" w:rsidTr="00576C51" w14:paraId="7E4AF1E8" w14:textId="77777777">
              <w:trPr>
                <w:trHeight w:val="309"/>
              </w:trPr>
              <w:tc>
                <w:tcPr>
                  <w:tcW w:w="13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D3FF9" w:rsidR="00D1368E" w:rsidP="001D00B8" w:rsidRDefault="00D1368E" w14:paraId="71A0A0B0" w14:textId="77777777">
                  <w:pPr>
                    <w:rPr>
                      <w:b/>
                      <w:bCs/>
                    </w:rPr>
                  </w:pPr>
                  <w:r w:rsidRPr="00CD3FF9">
                    <w:rPr>
                      <w:b/>
                      <w:bCs/>
                    </w:rPr>
                    <w:t>6</w:t>
                  </w:r>
                </w:p>
              </w:tc>
              <w:tc>
                <w:tcPr>
                  <w:tcW w:w="2301" w:type="dxa"/>
                  <w:tcBorders>
                    <w:top w:val="nil"/>
                    <w:left w:val="nil"/>
                    <w:bottom w:val="single" w:color="auto" w:sz="8" w:space="0"/>
                    <w:right w:val="single" w:color="auto" w:sz="8" w:space="0"/>
                  </w:tcBorders>
                  <w:tcMar>
                    <w:top w:w="0" w:type="dxa"/>
                    <w:left w:w="108" w:type="dxa"/>
                    <w:bottom w:w="0" w:type="dxa"/>
                    <w:right w:w="108" w:type="dxa"/>
                  </w:tcMar>
                  <w:hideMark/>
                </w:tcPr>
                <w:p w:rsidRPr="00CD3FF9" w:rsidR="00D1368E" w:rsidP="001D00B8" w:rsidRDefault="00D1368E" w14:paraId="3A4182FD" w14:textId="77777777">
                  <w:pPr>
                    <w:rPr>
                      <w:b/>
                      <w:bCs/>
                    </w:rPr>
                  </w:pPr>
                  <w:r w:rsidRPr="00CD3FF9">
                    <w:rPr>
                      <w:b/>
                      <w:bCs/>
                    </w:rPr>
                    <w:t>35</w:t>
                  </w:r>
                </w:p>
              </w:tc>
            </w:tr>
            <w:tr w:rsidRPr="00CD3FF9" w:rsidR="00D1368E" w:rsidTr="00576C51" w14:paraId="0008B051" w14:textId="77777777">
              <w:trPr>
                <w:trHeight w:val="309"/>
              </w:trPr>
              <w:tc>
                <w:tcPr>
                  <w:tcW w:w="13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D3FF9" w:rsidR="00D1368E" w:rsidP="001D00B8" w:rsidRDefault="00D1368E" w14:paraId="1C2F54DC" w14:textId="77777777">
                  <w:pPr>
                    <w:rPr>
                      <w:b/>
                      <w:bCs/>
                    </w:rPr>
                  </w:pPr>
                  <w:r w:rsidRPr="00CD3FF9">
                    <w:rPr>
                      <w:b/>
                      <w:bCs/>
                    </w:rPr>
                    <w:t>Totaal</w:t>
                  </w:r>
                </w:p>
              </w:tc>
              <w:tc>
                <w:tcPr>
                  <w:tcW w:w="2301" w:type="dxa"/>
                  <w:tcBorders>
                    <w:top w:val="nil"/>
                    <w:left w:val="nil"/>
                    <w:bottom w:val="single" w:color="auto" w:sz="8" w:space="0"/>
                    <w:right w:val="single" w:color="auto" w:sz="8" w:space="0"/>
                  </w:tcBorders>
                  <w:tcMar>
                    <w:top w:w="0" w:type="dxa"/>
                    <w:left w:w="108" w:type="dxa"/>
                    <w:bottom w:w="0" w:type="dxa"/>
                    <w:right w:w="108" w:type="dxa"/>
                  </w:tcMar>
                  <w:hideMark/>
                </w:tcPr>
                <w:p w:rsidRPr="00CD3FF9" w:rsidR="00D1368E" w:rsidP="001D00B8" w:rsidRDefault="00D1368E" w14:paraId="5ED72DE6" w14:textId="77777777">
                  <w:pPr>
                    <w:rPr>
                      <w:b/>
                      <w:bCs/>
                    </w:rPr>
                  </w:pPr>
                  <w:r w:rsidRPr="00CD3FF9">
                    <w:rPr>
                      <w:b/>
                      <w:bCs/>
                    </w:rPr>
                    <w:t>52</w:t>
                  </w:r>
                </w:p>
              </w:tc>
            </w:tr>
          </w:tbl>
          <w:p w:rsidRPr="00CD3FF9" w:rsidR="00D1368E" w:rsidP="001D00B8" w:rsidRDefault="00D1368E" w14:paraId="6860CC25" w14:textId="77777777">
            <w:pPr>
              <w:rPr>
                <w:b/>
                <w:bCs/>
              </w:rPr>
            </w:pPr>
          </w:p>
          <w:p w:rsidRPr="00CD3FF9" w:rsidR="00D1368E" w:rsidP="001D00B8" w:rsidRDefault="00D1368E" w14:paraId="4D43453A" w14:textId="112073A7">
            <w:pPr>
              <w:rPr>
                <w:b/>
                <w:bCs/>
              </w:rPr>
            </w:pPr>
            <w:r w:rsidRPr="00CD3FF9">
              <w:rPr>
                <w:b/>
                <w:bCs/>
              </w:rPr>
              <w:t xml:space="preserve">Een exacte verhouding van de loonschalen binnen de uitvoering is niet bekend. </w:t>
            </w:r>
          </w:p>
          <w:p w:rsidRPr="00CD3FF9" w:rsidR="00D1368E" w:rsidP="000114BA" w:rsidRDefault="00D1368E" w14:paraId="041DD20B" w14:textId="258DCFBE">
            <w:pPr>
              <w:rPr>
                <w:b/>
                <w:bCs/>
              </w:rPr>
            </w:pPr>
          </w:p>
        </w:tc>
        <w:tc>
          <w:tcPr>
            <w:cnfStyle w:val="000010000000" w:firstRow="0" w:lastRow="0" w:firstColumn="0" w:lastColumn="0" w:oddVBand="1" w:evenVBand="0" w:oddHBand="0" w:evenHBand="0" w:firstRowFirstColumn="0" w:firstRowLastColumn="0" w:lastRowFirstColumn="0" w:lastRowLastColumn="0"/>
            <w:tcW w:w="974" w:type="dxa"/>
            <w:tcBorders>
              <w:top w:val="none" w:color="auto" w:sz="0" w:space="0"/>
              <w:left w:val="none" w:color="auto" w:sz="0" w:space="0"/>
              <w:bottom w:val="none" w:color="auto" w:sz="0" w:space="0"/>
              <w:right w:val="none" w:color="auto" w:sz="0" w:space="0"/>
            </w:tcBorders>
          </w:tcPr>
          <w:p w:rsidRPr="007407EC" w:rsidR="00D1368E" w:rsidP="000114BA" w:rsidRDefault="00D1368E" w14:paraId="7D91EF8A" w14:textId="77777777">
            <w:pPr>
              <w:jc w:val="right"/>
            </w:pPr>
            <w:r w:rsidRPr="007407EC">
              <w:t>6</w:t>
            </w:r>
          </w:p>
        </w:tc>
        <w:tc>
          <w:tcPr>
            <w:cnfStyle w:val="000001000000" w:firstRow="0" w:lastRow="0" w:firstColumn="0" w:lastColumn="0" w:oddVBand="0" w:evenVBand="1" w:oddHBand="0" w:evenHBand="0" w:firstRowFirstColumn="0" w:firstRowLastColumn="0" w:lastRowFirstColumn="0" w:lastRowLastColumn="0"/>
            <w:tcW w:w="720" w:type="dxa"/>
            <w:tcBorders>
              <w:top w:val="none" w:color="auto" w:sz="0" w:space="0"/>
              <w:left w:val="none" w:color="auto" w:sz="0" w:space="0"/>
              <w:bottom w:val="none" w:color="auto" w:sz="0" w:space="0"/>
              <w:right w:val="none" w:color="auto" w:sz="0" w:space="0"/>
            </w:tcBorders>
          </w:tcPr>
          <w:p w:rsidRPr="007407EC" w:rsidR="00D1368E" w:rsidP="000114BA" w:rsidRDefault="00D1368E" w14:paraId="629F8408" w14:textId="77777777">
            <w:pPr>
              <w:jc w:val="right"/>
            </w:pPr>
            <w:r w:rsidRPr="007407EC">
              <w:t xml:space="preserve"> </w:t>
            </w:r>
          </w:p>
        </w:tc>
      </w:tr>
      <w:tr w:rsidRPr="007407EC" w:rsidR="00D1368E" w:rsidTr="00D1368E" w14:paraId="243864D9" w14:textId="64E35897">
        <w:tc>
          <w:tcPr>
            <w:cnfStyle w:val="000010000000" w:firstRow="0" w:lastRow="0" w:firstColumn="0" w:lastColumn="0" w:oddVBand="1" w:evenVBand="0" w:oddHBand="0" w:evenHBand="0" w:firstRowFirstColumn="0" w:firstRowLastColumn="0" w:lastRowFirstColumn="0" w:lastRowLastColumn="0"/>
            <w:tcW w:w="709" w:type="dxa"/>
            <w:tcBorders>
              <w:left w:val="none" w:color="auto" w:sz="0" w:space="0"/>
              <w:right w:val="none" w:color="auto" w:sz="0" w:space="0"/>
            </w:tcBorders>
          </w:tcPr>
          <w:p w:rsidRPr="007407EC" w:rsidR="00D1368E" w:rsidP="000114BA" w:rsidRDefault="00D1368E" w14:paraId="36A15B55" w14:textId="77777777">
            <w:r w:rsidRPr="007407EC">
              <w:t>9</w:t>
            </w:r>
          </w:p>
        </w:tc>
        <w:tc>
          <w:tcPr>
            <w:cnfStyle w:val="000001000000" w:firstRow="0" w:lastRow="0" w:firstColumn="0" w:lastColumn="0" w:oddVBand="0" w:evenVBand="1" w:oddHBand="0" w:evenHBand="0" w:firstRowFirstColumn="0" w:firstRowLastColumn="0" w:lastRowFirstColumn="0" w:lastRowLastColumn="0"/>
            <w:tcW w:w="6345" w:type="dxa"/>
            <w:tcBorders>
              <w:left w:val="none" w:color="auto" w:sz="0" w:space="0"/>
              <w:right w:val="none" w:color="auto" w:sz="0" w:space="0"/>
            </w:tcBorders>
          </w:tcPr>
          <w:p w:rsidR="00D1368E" w:rsidP="000114BA" w:rsidRDefault="00D1368E" w14:paraId="15D10167" w14:textId="77777777">
            <w:r w:rsidRPr="007407EC">
              <w:t>Welke functies/beroepen vallen voornamelijk binnen de lagere loonschalen (schalen 1 t/m 6)? Wat is de huidige en verwachte personeelskrapte binnen deze functies?</w:t>
            </w:r>
          </w:p>
          <w:p w:rsidR="00C50520" w:rsidP="000114BA" w:rsidRDefault="00C50520" w14:paraId="42B94189" w14:textId="77777777"/>
          <w:p w:rsidR="00C50520" w:rsidP="000114BA" w:rsidRDefault="00C50520" w14:paraId="14AADADC" w14:textId="77777777"/>
          <w:p w:rsidR="00C50520" w:rsidP="000114BA" w:rsidRDefault="00C50520" w14:paraId="480682E1" w14:textId="77777777"/>
          <w:p w:rsidRPr="007407EC" w:rsidR="00C50520" w:rsidP="000114BA" w:rsidRDefault="00C50520" w14:paraId="3BF4D218" w14:textId="77777777"/>
          <w:p w:rsidRPr="007407EC" w:rsidR="00D1368E" w:rsidP="000114BA" w:rsidRDefault="00D1368E" w14:paraId="50A61637" w14:textId="77777777"/>
          <w:p w:rsidRPr="007407EC" w:rsidR="00D1368E" w:rsidP="00EF53E1" w:rsidRDefault="00D1368E" w14:paraId="0EAF1573" w14:textId="52138B55">
            <w:pPr>
              <w:rPr>
                <w:b/>
                <w:bCs/>
              </w:rPr>
            </w:pPr>
            <w:r w:rsidRPr="007407EC">
              <w:rPr>
                <w:b/>
                <w:bCs/>
              </w:rPr>
              <w:t>Antwoord</w:t>
            </w:r>
          </w:p>
          <w:p w:rsidRPr="007407EC" w:rsidR="00D1368E" w:rsidP="00CA01D4" w:rsidRDefault="00D1368E" w14:paraId="187A8B36" w14:textId="77777777">
            <w:pPr>
              <w:spacing w:before="0" w:after="0"/>
              <w:rPr>
                <w:rFonts w:ascii="Aptos" w:hAnsi="Aptos" w:eastAsia="Aptos" w:cs="Aptos"/>
                <w:b/>
                <w:bCs/>
                <w:sz w:val="22"/>
                <w:szCs w:val="22"/>
              </w:rPr>
            </w:pPr>
          </w:p>
          <w:tbl>
            <w:tblPr>
              <w:tblW w:w="0" w:type="auto"/>
              <w:tblCellMar>
                <w:left w:w="0" w:type="dxa"/>
                <w:right w:w="0" w:type="dxa"/>
              </w:tblCellMar>
              <w:tblLook w:val="04A0" w:firstRow="1" w:lastRow="0" w:firstColumn="1" w:lastColumn="0" w:noHBand="0" w:noVBand="1"/>
            </w:tblPr>
            <w:tblGrid>
              <w:gridCol w:w="3676"/>
              <w:gridCol w:w="858"/>
              <w:gridCol w:w="1418"/>
            </w:tblGrid>
            <w:tr w:rsidRPr="007407EC" w:rsidR="00D1368E" w:rsidTr="00CA01D4" w14:paraId="69131098" w14:textId="77777777">
              <w:tc>
                <w:tcPr>
                  <w:tcW w:w="36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303B6704" w14:textId="77777777">
                  <w:pPr>
                    <w:spacing w:before="0" w:after="0"/>
                    <w:rPr>
                      <w:rFonts w:eastAsia="Aptos"/>
                      <w:b/>
                      <w:bCs/>
                    </w:rPr>
                  </w:pPr>
                  <w:r w:rsidRPr="007407EC">
                    <w:rPr>
                      <w:rFonts w:eastAsia="Aptos"/>
                      <w:b/>
                      <w:bCs/>
                    </w:rPr>
                    <w:t>Functie</w:t>
                  </w:r>
                </w:p>
              </w:tc>
              <w:tc>
                <w:tcPr>
                  <w:tcW w:w="85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71EBDA78" w14:textId="77777777">
                  <w:pPr>
                    <w:spacing w:before="0" w:after="0"/>
                    <w:jc w:val="center"/>
                    <w:rPr>
                      <w:rFonts w:eastAsia="Aptos"/>
                      <w:b/>
                      <w:bCs/>
                    </w:rPr>
                  </w:pPr>
                  <w:r w:rsidRPr="007407EC">
                    <w:rPr>
                      <w:rFonts w:eastAsia="Aptos"/>
                      <w:b/>
                      <w:bCs/>
                    </w:rPr>
                    <w:t>Schaal</w:t>
                  </w:r>
                </w:p>
              </w:tc>
              <w:tc>
                <w:tcPr>
                  <w:tcW w:w="141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00291B85" w14:textId="77777777">
                  <w:pPr>
                    <w:spacing w:before="0" w:after="0"/>
                    <w:jc w:val="center"/>
                    <w:rPr>
                      <w:rFonts w:eastAsia="Aptos"/>
                      <w:b/>
                      <w:bCs/>
                    </w:rPr>
                  </w:pPr>
                  <w:r w:rsidRPr="007407EC">
                    <w:rPr>
                      <w:rFonts w:eastAsia="Aptos"/>
                      <w:b/>
                      <w:bCs/>
                    </w:rPr>
                    <w:t xml:space="preserve">Aantal </w:t>
                  </w:r>
                </w:p>
                <w:p w:rsidRPr="007407EC" w:rsidR="00D1368E" w:rsidP="00CA01D4" w:rsidRDefault="00D1368E" w14:paraId="44115C69" w14:textId="77777777">
                  <w:pPr>
                    <w:spacing w:before="0" w:after="0"/>
                    <w:jc w:val="center"/>
                    <w:rPr>
                      <w:rFonts w:eastAsia="Aptos"/>
                      <w:b/>
                      <w:bCs/>
                    </w:rPr>
                  </w:pPr>
                  <w:r w:rsidRPr="007407EC">
                    <w:rPr>
                      <w:rFonts w:eastAsia="Aptos"/>
                      <w:b/>
                      <w:bCs/>
                    </w:rPr>
                    <w:t>medewerkers</w:t>
                  </w:r>
                </w:p>
              </w:tc>
            </w:tr>
            <w:tr w:rsidRPr="007407EC" w:rsidR="00D1368E" w:rsidTr="00CA01D4" w14:paraId="71E58551" w14:textId="77777777">
              <w:tc>
                <w:tcPr>
                  <w:tcW w:w="36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1B708764" w14:textId="77777777">
                  <w:pPr>
                    <w:spacing w:before="0" w:after="0"/>
                    <w:rPr>
                      <w:rFonts w:eastAsia="Aptos"/>
                    </w:rPr>
                  </w:pPr>
                  <w:r w:rsidRPr="007407EC">
                    <w:rPr>
                      <w:rFonts w:eastAsia="Aptos"/>
                    </w:rPr>
                    <w:t>Assistent Medewerker Administratie</w:t>
                  </w:r>
                </w:p>
              </w:tc>
              <w:tc>
                <w:tcPr>
                  <w:tcW w:w="85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4706B795" w14:textId="77777777">
                  <w:pPr>
                    <w:spacing w:before="0" w:after="0"/>
                    <w:jc w:val="center"/>
                    <w:rPr>
                      <w:rFonts w:eastAsia="Aptos"/>
                    </w:rPr>
                  </w:pPr>
                  <w:r w:rsidRPr="007407EC">
                    <w:rPr>
                      <w:rFonts w:eastAsia="Aptos"/>
                    </w:rPr>
                    <w:t>3</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67BDA811" w14:textId="58915AFC">
                  <w:pPr>
                    <w:spacing w:before="0" w:after="0"/>
                    <w:jc w:val="center"/>
                    <w:rPr>
                      <w:rFonts w:eastAsia="Aptos"/>
                    </w:rPr>
                  </w:pPr>
                  <w:r w:rsidRPr="007407EC">
                    <w:rPr>
                      <w:rFonts w:eastAsia="Aptos"/>
                    </w:rPr>
                    <w:t>&lt;5</w:t>
                  </w:r>
                </w:p>
              </w:tc>
            </w:tr>
            <w:tr w:rsidRPr="007407EC" w:rsidR="00D1368E" w:rsidTr="00CA01D4" w14:paraId="0A12C99E" w14:textId="77777777">
              <w:tc>
                <w:tcPr>
                  <w:tcW w:w="36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0D3858E8" w14:textId="77777777">
                  <w:pPr>
                    <w:spacing w:before="0" w:after="0"/>
                    <w:rPr>
                      <w:rFonts w:eastAsia="Aptos"/>
                    </w:rPr>
                  </w:pPr>
                  <w:r w:rsidRPr="007407EC">
                    <w:rPr>
                      <w:rFonts w:eastAsia="Aptos"/>
                    </w:rPr>
                    <w:t>Medewerker Administratie</w:t>
                  </w:r>
                </w:p>
              </w:tc>
              <w:tc>
                <w:tcPr>
                  <w:tcW w:w="85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45B78616" w14:textId="77777777">
                  <w:pPr>
                    <w:spacing w:before="0" w:after="0"/>
                    <w:jc w:val="center"/>
                    <w:rPr>
                      <w:rFonts w:eastAsia="Aptos"/>
                    </w:rPr>
                  </w:pPr>
                  <w:r w:rsidRPr="007407EC">
                    <w:rPr>
                      <w:rFonts w:eastAsia="Aptos"/>
                    </w:rPr>
                    <w:t>4</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2C9FD09C" w14:textId="59358E27">
                  <w:pPr>
                    <w:spacing w:before="0" w:after="0"/>
                    <w:jc w:val="center"/>
                    <w:rPr>
                      <w:rFonts w:eastAsia="Aptos"/>
                    </w:rPr>
                  </w:pPr>
                  <w:r w:rsidRPr="007407EC">
                    <w:rPr>
                      <w:rFonts w:eastAsia="Aptos"/>
                    </w:rPr>
                    <w:t>&lt;5</w:t>
                  </w:r>
                </w:p>
              </w:tc>
            </w:tr>
            <w:tr w:rsidRPr="007407EC" w:rsidR="00D1368E" w:rsidTr="00CA01D4" w14:paraId="737C4037" w14:textId="77777777">
              <w:tc>
                <w:tcPr>
                  <w:tcW w:w="36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0DCD56D1" w14:textId="77777777">
                  <w:pPr>
                    <w:spacing w:before="0" w:after="0"/>
                    <w:rPr>
                      <w:rFonts w:eastAsia="Aptos"/>
                    </w:rPr>
                  </w:pPr>
                  <w:r w:rsidRPr="007407EC">
                    <w:rPr>
                      <w:rFonts w:eastAsia="Aptos"/>
                    </w:rPr>
                    <w:t>Medewerker Facilitair Management</w:t>
                  </w:r>
                </w:p>
              </w:tc>
              <w:tc>
                <w:tcPr>
                  <w:tcW w:w="85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19884E0B" w14:textId="77777777">
                  <w:pPr>
                    <w:spacing w:before="0" w:after="0"/>
                    <w:jc w:val="center"/>
                    <w:rPr>
                      <w:rFonts w:eastAsia="Aptos"/>
                    </w:rPr>
                  </w:pPr>
                  <w:r w:rsidRPr="007407EC">
                    <w:rPr>
                      <w:rFonts w:eastAsia="Aptos"/>
                    </w:rPr>
                    <w:t>4</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1D26C5BA" w14:textId="113CD7EF">
                  <w:pPr>
                    <w:spacing w:before="0" w:after="0"/>
                    <w:jc w:val="center"/>
                    <w:rPr>
                      <w:rFonts w:eastAsia="Aptos"/>
                    </w:rPr>
                  </w:pPr>
                  <w:r w:rsidRPr="007407EC">
                    <w:rPr>
                      <w:rFonts w:eastAsia="Aptos"/>
                    </w:rPr>
                    <w:t>&lt;5</w:t>
                  </w:r>
                </w:p>
              </w:tc>
            </w:tr>
            <w:tr w:rsidRPr="007407EC" w:rsidR="00D1368E" w:rsidTr="00CA01D4" w14:paraId="1B77C27C" w14:textId="77777777">
              <w:tc>
                <w:tcPr>
                  <w:tcW w:w="36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00B88169" w14:textId="77777777">
                  <w:pPr>
                    <w:spacing w:before="0" w:after="0"/>
                    <w:rPr>
                      <w:rFonts w:eastAsia="Aptos"/>
                    </w:rPr>
                  </w:pPr>
                  <w:r w:rsidRPr="007407EC">
                    <w:rPr>
                      <w:rFonts w:eastAsia="Aptos"/>
                    </w:rPr>
                    <w:t>Medewerker Vervoer</w:t>
                  </w:r>
                </w:p>
              </w:tc>
              <w:tc>
                <w:tcPr>
                  <w:tcW w:w="85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41493D56" w14:textId="77777777">
                  <w:pPr>
                    <w:spacing w:before="0" w:after="0"/>
                    <w:jc w:val="center"/>
                    <w:rPr>
                      <w:rFonts w:eastAsia="Aptos"/>
                    </w:rPr>
                  </w:pPr>
                  <w:r w:rsidRPr="007407EC">
                    <w:rPr>
                      <w:rFonts w:eastAsia="Aptos"/>
                    </w:rPr>
                    <w:t>4</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31C2DBD2" w14:textId="77777777">
                  <w:pPr>
                    <w:spacing w:before="0" w:after="0"/>
                    <w:jc w:val="center"/>
                    <w:rPr>
                      <w:rFonts w:eastAsia="Aptos"/>
                    </w:rPr>
                  </w:pPr>
                  <w:r w:rsidRPr="007407EC">
                    <w:rPr>
                      <w:rFonts w:eastAsia="Aptos"/>
                    </w:rPr>
                    <w:t>9</w:t>
                  </w:r>
                </w:p>
              </w:tc>
            </w:tr>
            <w:tr w:rsidRPr="007407EC" w:rsidR="00D1368E" w:rsidTr="00CA01D4" w14:paraId="7E6F4BB7" w14:textId="77777777">
              <w:tc>
                <w:tcPr>
                  <w:tcW w:w="36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5C6CD58E" w14:textId="52FA15C8">
                  <w:pPr>
                    <w:spacing w:before="0" w:after="0"/>
                    <w:rPr>
                      <w:rFonts w:eastAsia="Aptos"/>
                    </w:rPr>
                  </w:pPr>
                  <w:r w:rsidRPr="007407EC">
                    <w:rPr>
                      <w:rFonts w:eastAsia="Aptos"/>
                    </w:rPr>
                    <w:t>Medewerker Verwerken en Behandelen</w:t>
                  </w:r>
                </w:p>
              </w:tc>
              <w:tc>
                <w:tcPr>
                  <w:tcW w:w="85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56497F80" w14:textId="77777777">
                  <w:pPr>
                    <w:spacing w:before="0" w:after="0"/>
                    <w:jc w:val="center"/>
                    <w:rPr>
                      <w:rFonts w:eastAsia="Aptos"/>
                    </w:rPr>
                  </w:pPr>
                  <w:r w:rsidRPr="007407EC">
                    <w:rPr>
                      <w:rFonts w:eastAsia="Aptos"/>
                    </w:rPr>
                    <w:t>4</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5CAD4650" w14:textId="25BB79D1">
                  <w:pPr>
                    <w:spacing w:before="0" w:after="0"/>
                    <w:jc w:val="center"/>
                    <w:rPr>
                      <w:rFonts w:eastAsia="Aptos"/>
                    </w:rPr>
                  </w:pPr>
                  <w:r w:rsidRPr="007407EC">
                    <w:rPr>
                      <w:rFonts w:eastAsia="Aptos"/>
                    </w:rPr>
                    <w:t>&lt;5</w:t>
                  </w:r>
                </w:p>
              </w:tc>
            </w:tr>
            <w:tr w:rsidRPr="007407EC" w:rsidR="00D1368E" w:rsidTr="00CA01D4" w14:paraId="1FB778C2" w14:textId="77777777">
              <w:tc>
                <w:tcPr>
                  <w:tcW w:w="36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0EB8B7D3" w14:textId="77777777">
                  <w:pPr>
                    <w:spacing w:before="0" w:after="0"/>
                    <w:rPr>
                      <w:rFonts w:eastAsia="Aptos"/>
                    </w:rPr>
                  </w:pPr>
                  <w:r w:rsidRPr="007407EC">
                    <w:rPr>
                      <w:rFonts w:eastAsia="Aptos"/>
                    </w:rPr>
                    <w:t>Managementondersteuner</w:t>
                  </w:r>
                </w:p>
              </w:tc>
              <w:tc>
                <w:tcPr>
                  <w:tcW w:w="85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5F70D55E" w14:textId="77777777">
                  <w:pPr>
                    <w:spacing w:before="0" w:after="0"/>
                    <w:jc w:val="center"/>
                    <w:rPr>
                      <w:rFonts w:eastAsia="Aptos"/>
                    </w:rPr>
                  </w:pPr>
                  <w:r w:rsidRPr="007407EC">
                    <w:rPr>
                      <w:rFonts w:eastAsia="Aptos"/>
                    </w:rPr>
                    <w:t>5</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06B66E70" w14:textId="682F6F3A">
                  <w:pPr>
                    <w:spacing w:before="0" w:after="0"/>
                    <w:jc w:val="center"/>
                    <w:rPr>
                      <w:rFonts w:eastAsia="Aptos"/>
                    </w:rPr>
                  </w:pPr>
                  <w:r w:rsidRPr="007407EC">
                    <w:rPr>
                      <w:rFonts w:eastAsia="Aptos"/>
                    </w:rPr>
                    <w:t>&lt;5</w:t>
                  </w:r>
                </w:p>
              </w:tc>
            </w:tr>
            <w:tr w:rsidRPr="007407EC" w:rsidR="00D1368E" w:rsidTr="00CA01D4" w14:paraId="65917175" w14:textId="77777777">
              <w:tc>
                <w:tcPr>
                  <w:tcW w:w="36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5CA07B8C" w14:textId="77777777">
                  <w:pPr>
                    <w:spacing w:before="0" w:after="0"/>
                    <w:rPr>
                      <w:rFonts w:eastAsia="Aptos"/>
                    </w:rPr>
                  </w:pPr>
                  <w:r w:rsidRPr="007407EC">
                    <w:rPr>
                      <w:rFonts w:eastAsia="Aptos"/>
                    </w:rPr>
                    <w:t>Managementondersteuner</w:t>
                  </w:r>
                </w:p>
              </w:tc>
              <w:tc>
                <w:tcPr>
                  <w:tcW w:w="85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13B0983B" w14:textId="77777777">
                  <w:pPr>
                    <w:spacing w:before="0" w:after="0"/>
                    <w:jc w:val="center"/>
                    <w:rPr>
                      <w:rFonts w:eastAsia="Aptos"/>
                    </w:rPr>
                  </w:pPr>
                  <w:r w:rsidRPr="007407EC">
                    <w:rPr>
                      <w:rFonts w:eastAsia="Aptos"/>
                    </w:rPr>
                    <w:t>6</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78CCD843" w14:textId="77777777">
                  <w:pPr>
                    <w:spacing w:before="0" w:after="0"/>
                    <w:jc w:val="center"/>
                    <w:rPr>
                      <w:rFonts w:eastAsia="Aptos"/>
                    </w:rPr>
                  </w:pPr>
                  <w:r w:rsidRPr="007407EC">
                    <w:rPr>
                      <w:rFonts w:eastAsia="Aptos"/>
                    </w:rPr>
                    <w:t>28</w:t>
                  </w:r>
                </w:p>
              </w:tc>
            </w:tr>
            <w:tr w:rsidRPr="007407EC" w:rsidR="00D1368E" w:rsidTr="00CA01D4" w14:paraId="52924F40" w14:textId="77777777">
              <w:tc>
                <w:tcPr>
                  <w:tcW w:w="36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17BA7DBB" w14:textId="77777777">
                  <w:pPr>
                    <w:spacing w:before="0" w:after="0"/>
                    <w:rPr>
                      <w:rFonts w:eastAsia="Aptos"/>
                    </w:rPr>
                  </w:pPr>
                  <w:r w:rsidRPr="007407EC">
                    <w:rPr>
                      <w:rFonts w:eastAsia="Aptos"/>
                    </w:rPr>
                    <w:t>Medewerker Administratie</w:t>
                  </w:r>
                </w:p>
              </w:tc>
              <w:tc>
                <w:tcPr>
                  <w:tcW w:w="85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68763BCF" w14:textId="77777777">
                  <w:pPr>
                    <w:spacing w:before="0" w:after="0"/>
                    <w:jc w:val="center"/>
                    <w:rPr>
                      <w:rFonts w:eastAsia="Aptos"/>
                    </w:rPr>
                  </w:pPr>
                  <w:r w:rsidRPr="007407EC">
                    <w:rPr>
                      <w:rFonts w:eastAsia="Aptos"/>
                    </w:rPr>
                    <w:t>6</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1AE15BFA" w14:textId="30170E02">
                  <w:pPr>
                    <w:spacing w:before="0" w:after="0"/>
                    <w:jc w:val="center"/>
                    <w:rPr>
                      <w:rFonts w:eastAsia="Aptos"/>
                    </w:rPr>
                  </w:pPr>
                  <w:r w:rsidRPr="007407EC">
                    <w:rPr>
                      <w:rFonts w:eastAsia="Aptos"/>
                    </w:rPr>
                    <w:t>&lt;5</w:t>
                  </w:r>
                </w:p>
              </w:tc>
            </w:tr>
            <w:tr w:rsidRPr="007407EC" w:rsidR="00D1368E" w:rsidTr="00CA01D4" w14:paraId="645928DC" w14:textId="77777777">
              <w:tc>
                <w:tcPr>
                  <w:tcW w:w="36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51F72463" w14:textId="77777777">
                  <w:pPr>
                    <w:spacing w:before="0" w:after="0"/>
                    <w:rPr>
                      <w:rFonts w:eastAsia="Aptos"/>
                    </w:rPr>
                  </w:pPr>
                  <w:r w:rsidRPr="007407EC">
                    <w:rPr>
                      <w:rFonts w:eastAsia="Aptos"/>
                    </w:rPr>
                    <w:t>Medewerker Facilitair Management</w:t>
                  </w:r>
                </w:p>
              </w:tc>
              <w:tc>
                <w:tcPr>
                  <w:tcW w:w="85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113BD783" w14:textId="77777777">
                  <w:pPr>
                    <w:spacing w:before="0" w:after="0"/>
                    <w:jc w:val="center"/>
                    <w:rPr>
                      <w:rFonts w:eastAsia="Aptos"/>
                    </w:rPr>
                  </w:pPr>
                  <w:r w:rsidRPr="007407EC">
                    <w:rPr>
                      <w:rFonts w:eastAsia="Aptos"/>
                    </w:rPr>
                    <w:t>6</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3FC7857F" w14:textId="769598B5">
                  <w:pPr>
                    <w:spacing w:before="0" w:after="0"/>
                    <w:jc w:val="center"/>
                    <w:rPr>
                      <w:rFonts w:eastAsia="Aptos"/>
                    </w:rPr>
                  </w:pPr>
                  <w:r w:rsidRPr="007407EC">
                    <w:rPr>
                      <w:rFonts w:eastAsia="Aptos"/>
                    </w:rPr>
                    <w:t>&lt;5</w:t>
                  </w:r>
                </w:p>
              </w:tc>
            </w:tr>
            <w:tr w:rsidRPr="007407EC" w:rsidR="00D1368E" w:rsidTr="00CA01D4" w14:paraId="3E17EFFC" w14:textId="77777777">
              <w:tc>
                <w:tcPr>
                  <w:tcW w:w="36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4B8163F3" w14:textId="4C6A2E70">
                  <w:pPr>
                    <w:spacing w:before="0" w:after="0"/>
                    <w:rPr>
                      <w:rFonts w:eastAsia="Aptos"/>
                    </w:rPr>
                  </w:pPr>
                  <w:r w:rsidRPr="007407EC">
                    <w:rPr>
                      <w:rFonts w:eastAsia="Aptos"/>
                    </w:rPr>
                    <w:t>Onbekend/</w:t>
                  </w:r>
                  <w:r w:rsidRPr="007407EC" w:rsidR="00C50520">
                    <w:rPr>
                      <w:rFonts w:eastAsia="Aptos"/>
                    </w:rPr>
                    <w:t>n.v.t.</w:t>
                  </w:r>
                </w:p>
              </w:tc>
              <w:tc>
                <w:tcPr>
                  <w:tcW w:w="85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3DE44DEC" w14:textId="77777777">
                  <w:pPr>
                    <w:spacing w:before="0" w:after="0"/>
                    <w:jc w:val="center"/>
                    <w:rPr>
                      <w:rFonts w:eastAsia="Aptos"/>
                    </w:rPr>
                  </w:pPr>
                  <w:r w:rsidRPr="007407EC">
                    <w:rPr>
                      <w:rFonts w:eastAsia="Aptos"/>
                    </w:rPr>
                    <w:t>6</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7A8E3F1B" w14:textId="6D592A73">
                  <w:pPr>
                    <w:spacing w:before="0" w:after="0"/>
                    <w:jc w:val="center"/>
                    <w:rPr>
                      <w:rFonts w:eastAsia="Aptos"/>
                    </w:rPr>
                  </w:pPr>
                  <w:r w:rsidRPr="007407EC">
                    <w:rPr>
                      <w:rFonts w:eastAsia="Aptos"/>
                    </w:rPr>
                    <w:t>&lt;5</w:t>
                  </w:r>
                </w:p>
              </w:tc>
            </w:tr>
            <w:tr w:rsidRPr="007407EC" w:rsidR="00D1368E" w:rsidTr="00CA01D4" w14:paraId="731394F1" w14:textId="77777777">
              <w:tc>
                <w:tcPr>
                  <w:tcW w:w="36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375E7615" w14:textId="77777777">
                  <w:pPr>
                    <w:spacing w:before="0" w:after="0"/>
                    <w:rPr>
                      <w:rFonts w:eastAsia="Aptos"/>
                      <w:b/>
                      <w:bCs/>
                    </w:rPr>
                  </w:pPr>
                  <w:r w:rsidRPr="007407EC">
                    <w:rPr>
                      <w:rFonts w:eastAsia="Aptos"/>
                      <w:b/>
                      <w:bCs/>
                    </w:rPr>
                    <w:t>Totaal</w:t>
                  </w:r>
                </w:p>
              </w:tc>
              <w:tc>
                <w:tcPr>
                  <w:tcW w:w="858" w:type="dxa"/>
                  <w:tcBorders>
                    <w:top w:val="nil"/>
                    <w:left w:val="nil"/>
                    <w:bottom w:val="single" w:color="auto" w:sz="8" w:space="0"/>
                    <w:right w:val="single" w:color="auto" w:sz="8" w:space="0"/>
                  </w:tcBorders>
                  <w:tcMar>
                    <w:top w:w="0" w:type="dxa"/>
                    <w:left w:w="108" w:type="dxa"/>
                    <w:bottom w:w="0" w:type="dxa"/>
                    <w:right w:w="108" w:type="dxa"/>
                  </w:tcMar>
                </w:tcPr>
                <w:p w:rsidRPr="007407EC" w:rsidR="00D1368E" w:rsidP="00CA01D4" w:rsidRDefault="00D1368E" w14:paraId="3DE4CDCF" w14:textId="77777777">
                  <w:pPr>
                    <w:spacing w:before="0" w:after="0"/>
                    <w:jc w:val="center"/>
                    <w:rPr>
                      <w:rFonts w:eastAsia="Aptos"/>
                      <w:b/>
                      <w:bCs/>
                    </w:rPr>
                  </w:pP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7407EC" w:rsidR="00D1368E" w:rsidP="00CA01D4" w:rsidRDefault="00D1368E" w14:paraId="0DB8514C" w14:textId="77777777">
                  <w:pPr>
                    <w:spacing w:before="0" w:after="0"/>
                    <w:jc w:val="center"/>
                    <w:rPr>
                      <w:rFonts w:eastAsia="Aptos"/>
                      <w:b/>
                      <w:bCs/>
                    </w:rPr>
                  </w:pPr>
                  <w:r w:rsidRPr="007407EC">
                    <w:rPr>
                      <w:rFonts w:eastAsia="Aptos"/>
                      <w:b/>
                      <w:bCs/>
                    </w:rPr>
                    <w:t>52</w:t>
                  </w:r>
                </w:p>
              </w:tc>
            </w:tr>
          </w:tbl>
          <w:p w:rsidRPr="007407EC" w:rsidR="00D1368E" w:rsidP="00CA01D4" w:rsidRDefault="00D1368E" w14:paraId="5145D491" w14:textId="77777777">
            <w:pPr>
              <w:spacing w:before="0" w:after="0"/>
              <w:rPr>
                <w:rFonts w:eastAsia="Aptos"/>
                <w:b/>
                <w:bCs/>
              </w:rPr>
            </w:pPr>
          </w:p>
          <w:p w:rsidRPr="00CD3FF9" w:rsidR="00D1368E" w:rsidP="00CA01D4" w:rsidRDefault="00D1368E" w14:paraId="7EF8919E" w14:textId="5C27E03C">
            <w:pPr>
              <w:spacing w:before="0" w:after="0"/>
              <w:rPr>
                <w:rFonts w:eastAsia="Aptos"/>
                <w:b/>
                <w:bCs/>
              </w:rPr>
            </w:pPr>
            <w:r w:rsidRPr="00CD3FF9">
              <w:rPr>
                <w:rFonts w:eastAsia="Aptos"/>
                <w:b/>
                <w:bCs/>
              </w:rPr>
              <w:t>Wat betreft de huidige personeelskrapte heeft</w:t>
            </w:r>
            <w:r w:rsidR="00576C51">
              <w:rPr>
                <w:rFonts w:eastAsia="Aptos"/>
                <w:b/>
                <w:bCs/>
              </w:rPr>
              <w:t xml:space="preserve"> het ministerie van </w:t>
            </w:r>
            <w:r w:rsidRPr="00CD3FF9">
              <w:rPr>
                <w:rFonts w:eastAsia="Aptos"/>
                <w:b/>
                <w:bCs/>
              </w:rPr>
              <w:t>B</w:t>
            </w:r>
            <w:r w:rsidR="00576C51">
              <w:rPr>
                <w:rFonts w:eastAsia="Aptos"/>
                <w:b/>
                <w:bCs/>
              </w:rPr>
              <w:t xml:space="preserve">uitenlandse </w:t>
            </w:r>
            <w:r w:rsidRPr="00CD3FF9">
              <w:rPr>
                <w:rFonts w:eastAsia="Aptos"/>
                <w:b/>
                <w:bCs/>
              </w:rPr>
              <w:t>Z</w:t>
            </w:r>
            <w:r w:rsidR="00576C51">
              <w:rPr>
                <w:rFonts w:eastAsia="Aptos"/>
                <w:b/>
                <w:bCs/>
              </w:rPr>
              <w:t>aken</w:t>
            </w:r>
            <w:r w:rsidRPr="00CD3FF9">
              <w:rPr>
                <w:rFonts w:eastAsia="Aptos"/>
                <w:b/>
                <w:bCs/>
              </w:rPr>
              <w:t xml:space="preserve"> al langere tijd moeite om de functie van Managementondersteuner goed in te vullen. Begin 2026 waren er 48 Management</w:t>
            </w:r>
            <w:r w:rsidR="00C50520">
              <w:rPr>
                <w:rFonts w:eastAsia="Aptos"/>
                <w:b/>
                <w:bCs/>
              </w:rPr>
              <w:t>o</w:t>
            </w:r>
            <w:r w:rsidRPr="00CD3FF9">
              <w:rPr>
                <w:rFonts w:eastAsia="Aptos"/>
                <w:b/>
                <w:bCs/>
              </w:rPr>
              <w:t>ndersteuner functies tot met schaal 6, waarvan er 29 door ambtenaren bezet zijn.    </w:t>
            </w:r>
          </w:p>
          <w:p w:rsidRPr="007407EC" w:rsidR="00D1368E" w:rsidP="000114BA" w:rsidRDefault="00D1368E" w14:paraId="6739A378" w14:textId="4C6784F6"/>
        </w:tc>
        <w:tc>
          <w:tcPr>
            <w:cnfStyle w:val="000010000000" w:firstRow="0" w:lastRow="0" w:firstColumn="0" w:lastColumn="0" w:oddVBand="1" w:evenVBand="0" w:oddHBand="0" w:evenHBand="0" w:firstRowFirstColumn="0" w:firstRowLastColumn="0" w:lastRowFirstColumn="0" w:lastRowLastColumn="0"/>
            <w:tcW w:w="974" w:type="dxa"/>
            <w:tcBorders>
              <w:left w:val="none" w:color="auto" w:sz="0" w:space="0"/>
              <w:right w:val="none" w:color="auto" w:sz="0" w:space="0"/>
            </w:tcBorders>
          </w:tcPr>
          <w:p w:rsidRPr="007407EC" w:rsidR="00D1368E" w:rsidP="000114BA" w:rsidRDefault="00D1368E" w14:paraId="4178199F" w14:textId="77777777">
            <w:pPr>
              <w:jc w:val="right"/>
            </w:pPr>
            <w:r w:rsidRPr="007407EC">
              <w:lastRenderedPageBreak/>
              <w:t>6</w:t>
            </w:r>
          </w:p>
        </w:tc>
        <w:tc>
          <w:tcPr>
            <w:cnfStyle w:val="000001000000" w:firstRow="0" w:lastRow="0" w:firstColumn="0" w:lastColumn="0" w:oddVBand="0" w:evenVBand="1" w:oddHBand="0" w:evenHBand="0" w:firstRowFirstColumn="0" w:firstRowLastColumn="0" w:lastRowFirstColumn="0" w:lastRowLastColumn="0"/>
            <w:tcW w:w="720" w:type="dxa"/>
            <w:tcBorders>
              <w:left w:val="none" w:color="auto" w:sz="0" w:space="0"/>
              <w:right w:val="none" w:color="auto" w:sz="0" w:space="0"/>
            </w:tcBorders>
          </w:tcPr>
          <w:p w:rsidRPr="007407EC" w:rsidR="00D1368E" w:rsidP="000114BA" w:rsidRDefault="00D1368E" w14:paraId="377BD21D" w14:textId="77777777">
            <w:pPr>
              <w:jc w:val="right"/>
            </w:pPr>
            <w:r w:rsidRPr="007407EC">
              <w:t xml:space="preserve"> </w:t>
            </w:r>
          </w:p>
        </w:tc>
      </w:tr>
      <w:tr w:rsidRPr="007407EC" w:rsidR="00D1368E" w:rsidTr="00D1368E" w14:paraId="40D17D1F" w14:textId="16D546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Borders>
              <w:top w:val="none" w:color="auto" w:sz="0" w:space="0"/>
              <w:left w:val="none" w:color="auto" w:sz="0" w:space="0"/>
              <w:bottom w:val="none" w:color="auto" w:sz="0" w:space="0"/>
              <w:right w:val="none" w:color="auto" w:sz="0" w:space="0"/>
            </w:tcBorders>
          </w:tcPr>
          <w:p w:rsidRPr="007407EC" w:rsidR="00D1368E" w:rsidP="000114BA" w:rsidRDefault="00D1368E" w14:paraId="2281A928" w14:textId="77777777">
            <w:r w:rsidRPr="007407EC">
              <w:t>10</w:t>
            </w:r>
          </w:p>
        </w:tc>
        <w:tc>
          <w:tcPr>
            <w:cnfStyle w:val="000001000000" w:firstRow="0" w:lastRow="0" w:firstColumn="0" w:lastColumn="0" w:oddVBand="0" w:evenVBand="1" w:oddHBand="0" w:evenHBand="0" w:firstRowFirstColumn="0" w:firstRowLastColumn="0" w:lastRowFirstColumn="0" w:lastRowLastColumn="0"/>
            <w:tcW w:w="6345" w:type="dxa"/>
            <w:tcBorders>
              <w:top w:val="none" w:color="auto" w:sz="0" w:space="0"/>
              <w:left w:val="none" w:color="auto" w:sz="0" w:space="0"/>
              <w:bottom w:val="none" w:color="auto" w:sz="0" w:space="0"/>
              <w:right w:val="none" w:color="auto" w:sz="0" w:space="0"/>
            </w:tcBorders>
          </w:tcPr>
          <w:p w:rsidRPr="007407EC" w:rsidR="00D1368E" w:rsidP="000114BA" w:rsidRDefault="00D1368E" w14:paraId="5AB6A74D" w14:textId="77777777">
            <w:r w:rsidRPr="007407EC">
              <w:t>Zijn er interne analyses of risico-inschattingen gemaakt van de effecten van de nullijn, bijvoorbeeld op de instroom of uitstroom? Zo ja, kunnen deze worden gedeeld?</w:t>
            </w:r>
          </w:p>
          <w:p w:rsidRPr="007407EC" w:rsidR="00D1368E" w:rsidP="000114BA" w:rsidRDefault="00D1368E" w14:paraId="4128684C" w14:textId="77777777"/>
          <w:p w:rsidRPr="00CD3FF9" w:rsidR="00D1368E" w:rsidP="00EF53E1" w:rsidRDefault="00D1368E" w14:paraId="463611E3" w14:textId="52D50F6C">
            <w:pPr>
              <w:rPr>
                <w:b/>
                <w:bCs/>
              </w:rPr>
            </w:pPr>
            <w:r w:rsidRPr="00CD3FF9">
              <w:rPr>
                <w:b/>
                <w:bCs/>
              </w:rPr>
              <w:t>Antwoord</w:t>
            </w:r>
          </w:p>
          <w:p w:rsidRPr="00CD3FF9" w:rsidR="00D1368E" w:rsidP="00EF53E1" w:rsidRDefault="00D1368E" w14:paraId="574CC6F7" w14:textId="6EC7C781">
            <w:pPr>
              <w:rPr>
                <w:b/>
                <w:bCs/>
              </w:rPr>
            </w:pPr>
            <w:r w:rsidRPr="00CD3FF9">
              <w:rPr>
                <w:b/>
                <w:bCs/>
              </w:rPr>
              <w:t xml:space="preserve">Deze analyses of risico-inschattingen zijn niet </w:t>
            </w:r>
            <w:proofErr w:type="spellStart"/>
            <w:r w:rsidRPr="00CD3FF9">
              <w:rPr>
                <w:b/>
                <w:bCs/>
              </w:rPr>
              <w:t>rijksbreed</w:t>
            </w:r>
            <w:proofErr w:type="spellEnd"/>
            <w:r w:rsidRPr="00CD3FF9">
              <w:rPr>
                <w:b/>
                <w:bCs/>
              </w:rPr>
              <w:t xml:space="preserve"> gemaakt.</w:t>
            </w:r>
          </w:p>
          <w:p w:rsidRPr="007407EC" w:rsidR="00D1368E" w:rsidP="000114BA" w:rsidRDefault="00D1368E" w14:paraId="63433294" w14:textId="3A64C282"/>
        </w:tc>
        <w:tc>
          <w:tcPr>
            <w:cnfStyle w:val="000010000000" w:firstRow="0" w:lastRow="0" w:firstColumn="0" w:lastColumn="0" w:oddVBand="1" w:evenVBand="0" w:oddHBand="0" w:evenHBand="0" w:firstRowFirstColumn="0" w:firstRowLastColumn="0" w:lastRowFirstColumn="0" w:lastRowLastColumn="0"/>
            <w:tcW w:w="974" w:type="dxa"/>
            <w:tcBorders>
              <w:top w:val="none" w:color="auto" w:sz="0" w:space="0"/>
              <w:left w:val="none" w:color="auto" w:sz="0" w:space="0"/>
              <w:bottom w:val="none" w:color="auto" w:sz="0" w:space="0"/>
              <w:right w:val="none" w:color="auto" w:sz="0" w:space="0"/>
            </w:tcBorders>
          </w:tcPr>
          <w:p w:rsidRPr="007407EC" w:rsidR="00D1368E" w:rsidP="000114BA" w:rsidRDefault="00D1368E" w14:paraId="07344F36" w14:textId="77777777">
            <w:pPr>
              <w:jc w:val="right"/>
            </w:pPr>
            <w:r w:rsidRPr="007407EC">
              <w:t>6</w:t>
            </w:r>
          </w:p>
        </w:tc>
        <w:tc>
          <w:tcPr>
            <w:cnfStyle w:val="000001000000" w:firstRow="0" w:lastRow="0" w:firstColumn="0" w:lastColumn="0" w:oddVBand="0" w:evenVBand="1" w:oddHBand="0" w:evenHBand="0" w:firstRowFirstColumn="0" w:firstRowLastColumn="0" w:lastRowFirstColumn="0" w:lastRowLastColumn="0"/>
            <w:tcW w:w="720" w:type="dxa"/>
            <w:tcBorders>
              <w:top w:val="none" w:color="auto" w:sz="0" w:space="0"/>
              <w:left w:val="none" w:color="auto" w:sz="0" w:space="0"/>
              <w:bottom w:val="none" w:color="auto" w:sz="0" w:space="0"/>
              <w:right w:val="none" w:color="auto" w:sz="0" w:space="0"/>
            </w:tcBorders>
          </w:tcPr>
          <w:p w:rsidRPr="007407EC" w:rsidR="00D1368E" w:rsidP="000114BA" w:rsidRDefault="00D1368E" w14:paraId="7CCF8941" w14:textId="77777777">
            <w:pPr>
              <w:jc w:val="right"/>
            </w:pPr>
            <w:r w:rsidRPr="007407EC">
              <w:t xml:space="preserve"> </w:t>
            </w:r>
          </w:p>
        </w:tc>
      </w:tr>
      <w:tr w:rsidRPr="007407EC" w:rsidR="00D1368E" w:rsidTr="00D1368E" w14:paraId="7B64D5D2" w14:textId="4425FAD8">
        <w:tc>
          <w:tcPr>
            <w:cnfStyle w:val="000010000000" w:firstRow="0" w:lastRow="0" w:firstColumn="0" w:lastColumn="0" w:oddVBand="1" w:evenVBand="0" w:oddHBand="0" w:evenHBand="0" w:firstRowFirstColumn="0" w:firstRowLastColumn="0" w:lastRowFirstColumn="0" w:lastRowLastColumn="0"/>
            <w:tcW w:w="709" w:type="dxa"/>
            <w:tcBorders>
              <w:left w:val="none" w:color="auto" w:sz="0" w:space="0"/>
              <w:right w:val="none" w:color="auto" w:sz="0" w:space="0"/>
            </w:tcBorders>
          </w:tcPr>
          <w:p w:rsidRPr="007407EC" w:rsidR="00D1368E" w:rsidP="000114BA" w:rsidRDefault="00D1368E" w14:paraId="3FB9E780" w14:textId="77777777">
            <w:r w:rsidRPr="007407EC">
              <w:t>11</w:t>
            </w:r>
          </w:p>
        </w:tc>
        <w:tc>
          <w:tcPr>
            <w:cnfStyle w:val="000001000000" w:firstRow="0" w:lastRow="0" w:firstColumn="0" w:lastColumn="0" w:oddVBand="0" w:evenVBand="1" w:oddHBand="0" w:evenHBand="0" w:firstRowFirstColumn="0" w:firstRowLastColumn="0" w:lastRowFirstColumn="0" w:lastRowLastColumn="0"/>
            <w:tcW w:w="6345" w:type="dxa"/>
            <w:tcBorders>
              <w:left w:val="none" w:color="auto" w:sz="0" w:space="0"/>
              <w:right w:val="none" w:color="auto" w:sz="0" w:space="0"/>
            </w:tcBorders>
          </w:tcPr>
          <w:p w:rsidRPr="00CD3FF9" w:rsidR="00D1368E" w:rsidP="000114BA" w:rsidRDefault="00D1368E" w14:paraId="29BA6505" w14:textId="77777777">
            <w:r w:rsidRPr="00CD3FF9">
              <w:t>Op basis van welke criteria is in 55 landen het decentrale budget uit het mensenrechtenfonds beëindigd? En waarom is ervoor gekozen in 2026 meerjarige verplichtingen aan te gaan?</w:t>
            </w:r>
          </w:p>
          <w:p w:rsidRPr="00CD3FF9" w:rsidR="00D1368E" w:rsidP="000114BA" w:rsidRDefault="00D1368E" w14:paraId="2ACBADD7" w14:textId="77777777">
            <w:pPr>
              <w:rPr>
                <w:b/>
                <w:bCs/>
              </w:rPr>
            </w:pPr>
          </w:p>
          <w:p w:rsidRPr="00CD3FF9" w:rsidR="00D1368E" w:rsidP="00EF53E1" w:rsidRDefault="00D1368E" w14:paraId="7217611D" w14:textId="43EFD9D5">
            <w:pPr>
              <w:rPr>
                <w:b/>
                <w:bCs/>
              </w:rPr>
            </w:pPr>
            <w:r w:rsidRPr="00CD3FF9">
              <w:rPr>
                <w:b/>
                <w:bCs/>
              </w:rPr>
              <w:t>Antwoord</w:t>
            </w:r>
          </w:p>
          <w:p w:rsidRPr="00CD3FF9" w:rsidR="00D1368E" w:rsidP="00B26AF7" w:rsidRDefault="00D1368E" w14:paraId="4B18EA6E" w14:textId="098C956C">
            <w:pPr>
              <w:rPr>
                <w:b/>
                <w:bCs/>
              </w:rPr>
            </w:pPr>
            <w:r w:rsidRPr="00CD3FF9">
              <w:rPr>
                <w:b/>
                <w:bCs/>
              </w:rPr>
              <w:t xml:space="preserve">De IOB-evaluatie van het mensenrechtenbeleid (2017-2022) constateerde dat het mensenrechtenfonds (MRF) te versnipperd was en deed de aanbeveling om het fonds strategischer te focussen op prioritaire thema’s en landen. Destijds maakten 84 Nederlandse ambassades gebruik van het MRF. </w:t>
            </w:r>
          </w:p>
          <w:p w:rsidRPr="00CD3FF9" w:rsidR="00D1368E" w:rsidP="00B26AF7" w:rsidRDefault="00D1368E" w14:paraId="15E65136" w14:textId="77777777">
            <w:pPr>
              <w:rPr>
                <w:b/>
                <w:bCs/>
              </w:rPr>
            </w:pPr>
          </w:p>
          <w:p w:rsidRPr="00CD3FF9" w:rsidR="00D1368E" w:rsidP="00B26AF7" w:rsidRDefault="00D1368E" w14:paraId="3FC63087" w14:textId="0E9C73F5">
            <w:pPr>
              <w:rPr>
                <w:b/>
                <w:bCs/>
              </w:rPr>
            </w:pPr>
            <w:r w:rsidRPr="00CD3FF9">
              <w:rPr>
                <w:b/>
                <w:bCs/>
              </w:rPr>
              <w:t xml:space="preserve">Gelet op de IOB evaluatie en aanbeveling alsmede de bezuinigingen van het vorige kabinet is een intern traject opgestart om te komen tot een kortere en meer strategische landenlijst. Hierbij zijn inhoudelijke criteria gehanteerd, waaronder de mensenrechtensituatie in het land, de beschikbare Nederlandse invloed en expertise, de verwachte impact van de inzet alsmede de Nederlandse belangen in het land. Voor de regionale verdeling is ook rekening gehouden met de geografische proximiteit (ring rondom Europa) en de overlap met andere beschikbare fondsen (bijv. het nieuwe Focus-kader, Shiraka, Matra). Ook is er rekening gehouden met de consequenties van de taakstelling op de beschikbare capaciteit. Dit heeft geleid tot een nieuwe landenlijst van in totaal 36 ambassades. </w:t>
            </w:r>
          </w:p>
          <w:p w:rsidRPr="00CD3FF9" w:rsidR="00D1368E" w:rsidP="00B26AF7" w:rsidRDefault="00D1368E" w14:paraId="31406F74" w14:textId="77777777">
            <w:pPr>
              <w:rPr>
                <w:b/>
                <w:bCs/>
              </w:rPr>
            </w:pPr>
          </w:p>
          <w:p w:rsidRPr="00CD3FF9" w:rsidR="00D1368E" w:rsidP="00B26AF7" w:rsidRDefault="00D1368E" w14:paraId="385632A7" w14:textId="457778AD">
            <w:pPr>
              <w:rPr>
                <w:b/>
                <w:bCs/>
              </w:rPr>
            </w:pPr>
            <w:r w:rsidRPr="00CD3FF9">
              <w:rPr>
                <w:b/>
                <w:bCs/>
              </w:rPr>
              <w:lastRenderedPageBreak/>
              <w:t>Naast meer focus is ook het doel om ervoor te zorgen dat Nederlandse ambassades die middelen uit het MRF ontvangen, structureel meer budgettaire ruimte krijgen zodat meerjarige programma’s kunnen worden ondersteund. Door een gerichtere lange termijn aanpak is de verwachting dat de mensenrechteninzet in deze landen kan worden geïntensiveerd en de impact vergroot.</w:t>
            </w:r>
          </w:p>
          <w:p w:rsidRPr="00CD3FF9" w:rsidR="00D1368E" w:rsidP="001F757B" w:rsidRDefault="00D1368E" w14:paraId="59F30027" w14:textId="77777777">
            <w:pPr>
              <w:rPr>
                <w:b/>
                <w:bCs/>
              </w:rPr>
            </w:pPr>
          </w:p>
        </w:tc>
        <w:tc>
          <w:tcPr>
            <w:cnfStyle w:val="000010000000" w:firstRow="0" w:lastRow="0" w:firstColumn="0" w:lastColumn="0" w:oddVBand="1" w:evenVBand="0" w:oddHBand="0" w:evenHBand="0" w:firstRowFirstColumn="0" w:firstRowLastColumn="0" w:lastRowFirstColumn="0" w:lastRowLastColumn="0"/>
            <w:tcW w:w="974" w:type="dxa"/>
            <w:tcBorders>
              <w:left w:val="none" w:color="auto" w:sz="0" w:space="0"/>
              <w:right w:val="none" w:color="auto" w:sz="0" w:space="0"/>
            </w:tcBorders>
          </w:tcPr>
          <w:p w:rsidRPr="007407EC" w:rsidR="00D1368E" w:rsidP="000114BA" w:rsidRDefault="00D1368E" w14:paraId="3D2E927C" w14:textId="77777777">
            <w:pPr>
              <w:jc w:val="right"/>
            </w:pPr>
            <w:r w:rsidRPr="007407EC">
              <w:lastRenderedPageBreak/>
              <w:t>8</w:t>
            </w:r>
          </w:p>
        </w:tc>
        <w:tc>
          <w:tcPr>
            <w:cnfStyle w:val="000001000000" w:firstRow="0" w:lastRow="0" w:firstColumn="0" w:lastColumn="0" w:oddVBand="0" w:evenVBand="1" w:oddHBand="0" w:evenHBand="0" w:firstRowFirstColumn="0" w:firstRowLastColumn="0" w:lastRowFirstColumn="0" w:lastRowLastColumn="0"/>
            <w:tcW w:w="720" w:type="dxa"/>
            <w:tcBorders>
              <w:left w:val="none" w:color="auto" w:sz="0" w:space="0"/>
              <w:right w:val="none" w:color="auto" w:sz="0" w:space="0"/>
            </w:tcBorders>
          </w:tcPr>
          <w:p w:rsidRPr="007407EC" w:rsidR="00D1368E" w:rsidP="000114BA" w:rsidRDefault="00D1368E" w14:paraId="3EB686F9" w14:textId="77777777">
            <w:pPr>
              <w:jc w:val="right"/>
            </w:pPr>
            <w:r w:rsidRPr="007407EC">
              <w:t xml:space="preserve"> </w:t>
            </w:r>
          </w:p>
        </w:tc>
      </w:tr>
      <w:tr w:rsidRPr="007407EC" w:rsidR="00D1368E" w:rsidTr="00D1368E" w14:paraId="40DCD9CF" w14:textId="4C09D1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Borders>
              <w:top w:val="none" w:color="auto" w:sz="0" w:space="0"/>
              <w:left w:val="none" w:color="auto" w:sz="0" w:space="0"/>
              <w:bottom w:val="none" w:color="auto" w:sz="0" w:space="0"/>
              <w:right w:val="none" w:color="auto" w:sz="0" w:space="0"/>
            </w:tcBorders>
          </w:tcPr>
          <w:p w:rsidRPr="007407EC" w:rsidR="00D1368E" w:rsidP="000114BA" w:rsidRDefault="00D1368E" w14:paraId="666BD18C" w14:textId="77777777">
            <w:r w:rsidRPr="007407EC">
              <w:t>12</w:t>
            </w:r>
          </w:p>
        </w:tc>
        <w:tc>
          <w:tcPr>
            <w:cnfStyle w:val="000001000000" w:firstRow="0" w:lastRow="0" w:firstColumn="0" w:lastColumn="0" w:oddVBand="0" w:evenVBand="1" w:oddHBand="0" w:evenHBand="0" w:firstRowFirstColumn="0" w:firstRowLastColumn="0" w:lastRowFirstColumn="0" w:lastRowLastColumn="0"/>
            <w:tcW w:w="6345" w:type="dxa"/>
            <w:tcBorders>
              <w:top w:val="none" w:color="auto" w:sz="0" w:space="0"/>
              <w:left w:val="none" w:color="auto" w:sz="0" w:space="0"/>
              <w:bottom w:val="none" w:color="auto" w:sz="0" w:space="0"/>
              <w:right w:val="none" w:color="auto" w:sz="0" w:space="0"/>
            </w:tcBorders>
          </w:tcPr>
          <w:p w:rsidRPr="007407EC" w:rsidR="00D1368E" w:rsidP="000114BA" w:rsidRDefault="00D1368E" w14:paraId="06FDA7F8" w14:textId="77777777">
            <w:r w:rsidRPr="007407EC">
              <w:t>Waaruit bestaan de inkomsten uit consulaire dienstverlening aan Nederlanders in het buitenland?</w:t>
            </w:r>
          </w:p>
          <w:p w:rsidRPr="007407EC" w:rsidR="00D1368E" w:rsidP="000114BA" w:rsidRDefault="00D1368E" w14:paraId="3E13B41E" w14:textId="77777777"/>
          <w:p w:rsidRPr="00CD3FF9" w:rsidR="00D1368E" w:rsidP="00EF53E1" w:rsidRDefault="00D1368E" w14:paraId="14F1A9EF" w14:textId="38F9A7EF">
            <w:pPr>
              <w:rPr>
                <w:b/>
                <w:bCs/>
              </w:rPr>
            </w:pPr>
            <w:r w:rsidRPr="00CD3FF9">
              <w:rPr>
                <w:b/>
                <w:bCs/>
              </w:rPr>
              <w:t>Antwoord</w:t>
            </w:r>
          </w:p>
          <w:p w:rsidRPr="00CD3FF9" w:rsidR="00D1368E" w:rsidP="000114BA" w:rsidRDefault="00D1368E" w14:paraId="471678A0" w14:textId="77777777">
            <w:pPr>
              <w:rPr>
                <w:b/>
                <w:bCs/>
              </w:rPr>
            </w:pPr>
            <w:bookmarkStart w:name="_Hlk226712925" w:id="5"/>
            <w:r w:rsidRPr="00CD3FF9">
              <w:rPr>
                <w:b/>
                <w:bCs/>
              </w:rPr>
              <w:t>De inkomsten uit consulaire dienstverlening aan Nederlanders in het buitenland bestaat voornamelijk uit het verstrekken van reisdocumenten aan Nederlanders in het buitenland. Daarnaast zijn er een aantal andere ontvangsten, zoals het legaliseren van Nederlandse documenten in het buitenland.</w:t>
            </w:r>
            <w:bookmarkEnd w:id="5"/>
          </w:p>
          <w:p w:rsidRPr="007407EC" w:rsidR="00D1368E" w:rsidP="000114BA" w:rsidRDefault="00D1368E" w14:paraId="5152D63A" w14:textId="218AA8FA"/>
        </w:tc>
        <w:tc>
          <w:tcPr>
            <w:cnfStyle w:val="000010000000" w:firstRow="0" w:lastRow="0" w:firstColumn="0" w:lastColumn="0" w:oddVBand="1" w:evenVBand="0" w:oddHBand="0" w:evenHBand="0" w:firstRowFirstColumn="0" w:firstRowLastColumn="0" w:lastRowFirstColumn="0" w:lastRowLastColumn="0"/>
            <w:tcW w:w="974" w:type="dxa"/>
            <w:tcBorders>
              <w:top w:val="none" w:color="auto" w:sz="0" w:space="0"/>
              <w:left w:val="none" w:color="auto" w:sz="0" w:space="0"/>
              <w:bottom w:val="none" w:color="auto" w:sz="0" w:space="0"/>
              <w:right w:val="none" w:color="auto" w:sz="0" w:space="0"/>
            </w:tcBorders>
          </w:tcPr>
          <w:p w:rsidRPr="007407EC" w:rsidR="00D1368E" w:rsidP="000114BA" w:rsidRDefault="00D1368E" w14:paraId="53BA1F75" w14:textId="77777777">
            <w:pPr>
              <w:jc w:val="right"/>
            </w:pPr>
            <w:r w:rsidRPr="007407EC">
              <w:t>22</w:t>
            </w:r>
          </w:p>
        </w:tc>
        <w:tc>
          <w:tcPr>
            <w:cnfStyle w:val="000001000000" w:firstRow="0" w:lastRow="0" w:firstColumn="0" w:lastColumn="0" w:oddVBand="0" w:evenVBand="1" w:oddHBand="0" w:evenHBand="0" w:firstRowFirstColumn="0" w:firstRowLastColumn="0" w:lastRowFirstColumn="0" w:lastRowLastColumn="0"/>
            <w:tcW w:w="720" w:type="dxa"/>
            <w:tcBorders>
              <w:top w:val="none" w:color="auto" w:sz="0" w:space="0"/>
              <w:left w:val="none" w:color="auto" w:sz="0" w:space="0"/>
              <w:bottom w:val="none" w:color="auto" w:sz="0" w:space="0"/>
              <w:right w:val="none" w:color="auto" w:sz="0" w:space="0"/>
            </w:tcBorders>
          </w:tcPr>
          <w:p w:rsidRPr="007407EC" w:rsidR="00D1368E" w:rsidP="000114BA" w:rsidRDefault="00D1368E" w14:paraId="2655B3BB" w14:textId="77777777">
            <w:pPr>
              <w:jc w:val="right"/>
            </w:pPr>
            <w:r w:rsidRPr="007407EC">
              <w:t xml:space="preserve"> </w:t>
            </w:r>
          </w:p>
        </w:tc>
      </w:tr>
      <w:tr w:rsidRPr="007407EC" w:rsidR="00D1368E" w:rsidTr="00D1368E" w14:paraId="7CC45699" w14:textId="7D2FBB79">
        <w:tc>
          <w:tcPr>
            <w:cnfStyle w:val="000010000000" w:firstRow="0" w:lastRow="0" w:firstColumn="0" w:lastColumn="0" w:oddVBand="1" w:evenVBand="0" w:oddHBand="0" w:evenHBand="0" w:firstRowFirstColumn="0" w:firstRowLastColumn="0" w:lastRowFirstColumn="0" w:lastRowLastColumn="0"/>
            <w:tcW w:w="709" w:type="dxa"/>
            <w:tcBorders>
              <w:left w:val="none" w:color="auto" w:sz="0" w:space="0"/>
              <w:right w:val="none" w:color="auto" w:sz="0" w:space="0"/>
            </w:tcBorders>
          </w:tcPr>
          <w:p w:rsidRPr="007407EC" w:rsidR="00D1368E" w:rsidP="000114BA" w:rsidRDefault="00D1368E" w14:paraId="739CC1F9" w14:textId="77777777">
            <w:r w:rsidRPr="007407EC">
              <w:t>13</w:t>
            </w:r>
          </w:p>
        </w:tc>
        <w:tc>
          <w:tcPr>
            <w:cnfStyle w:val="000001000000" w:firstRow="0" w:lastRow="0" w:firstColumn="0" w:lastColumn="0" w:oddVBand="0" w:evenVBand="1" w:oddHBand="0" w:evenHBand="0" w:firstRowFirstColumn="0" w:firstRowLastColumn="0" w:lastRowFirstColumn="0" w:lastRowLastColumn="0"/>
            <w:tcW w:w="6345" w:type="dxa"/>
            <w:tcBorders>
              <w:left w:val="none" w:color="auto" w:sz="0" w:space="0"/>
              <w:right w:val="none" w:color="auto" w:sz="0" w:space="0"/>
            </w:tcBorders>
          </w:tcPr>
          <w:p w:rsidRPr="007407EC" w:rsidR="00D1368E" w:rsidP="000114BA" w:rsidRDefault="00D1368E" w14:paraId="22F273B7" w14:textId="77777777">
            <w:r w:rsidRPr="007407EC">
              <w:t>Hoe kan het dat door de doorgeschoven onderuitputting door betalingskredieten voor de Oekraïne-faciliteit in 2025, Nederland meer moet gaan afdragen aan de Europese Commissie? Hoe verhoudt dat zich tot de financiële middelen die Nederland al betaalt, bilateraal dan wel multilateraal, aan Oekraïne?</w:t>
            </w:r>
          </w:p>
          <w:p w:rsidRPr="007407EC" w:rsidR="00D1368E" w:rsidP="000114BA" w:rsidRDefault="00D1368E" w14:paraId="048B9E9C" w14:textId="77777777"/>
          <w:p w:rsidRPr="00CD3FF9" w:rsidR="00D1368E" w:rsidP="00EF53E1" w:rsidRDefault="00D1368E" w14:paraId="10F4E277" w14:textId="5CAC469A">
            <w:pPr>
              <w:rPr>
                <w:b/>
                <w:bCs/>
              </w:rPr>
            </w:pPr>
            <w:r w:rsidRPr="00CD3FF9">
              <w:rPr>
                <w:b/>
                <w:bCs/>
              </w:rPr>
              <w:t>Antwoord</w:t>
            </w:r>
          </w:p>
          <w:p w:rsidRPr="00CD3FF9" w:rsidR="00D1368E" w:rsidP="005844CC" w:rsidRDefault="00D1368E" w14:paraId="77F4CFD5" w14:textId="6DFA5479">
            <w:pPr>
              <w:rPr>
                <w:b/>
                <w:bCs/>
              </w:rPr>
            </w:pPr>
            <w:r w:rsidRPr="00CD3FF9">
              <w:rPr>
                <w:b/>
                <w:bCs/>
              </w:rPr>
              <w:t xml:space="preserve">De Europese Commissie heeft vastgesteld dat niet alle betalingskredieten voor de Oekraïne-faciliteit in 2025 zijn benut. Deze onderuitputting die als gevolg hiervan is opgetreden wordt doorgeschoven van 2025 naar 2027 en dat leidde tot een verlaging van de afdracht in 2025 en een verhoging van de Nederlandse bni-afdracht van EUR 131 miljoen in 2027. </w:t>
            </w:r>
          </w:p>
          <w:p w:rsidRPr="00CD3FF9" w:rsidR="00D1368E" w:rsidP="005844CC" w:rsidRDefault="00D1368E" w14:paraId="05D60E40" w14:textId="77777777">
            <w:pPr>
              <w:rPr>
                <w:b/>
                <w:bCs/>
              </w:rPr>
            </w:pPr>
            <w:r w:rsidRPr="00CD3FF9">
              <w:rPr>
                <w:b/>
                <w:bCs/>
              </w:rPr>
              <w:t xml:space="preserve"> </w:t>
            </w:r>
          </w:p>
          <w:p w:rsidRPr="00CD3FF9" w:rsidR="00D1368E" w:rsidP="000114BA" w:rsidRDefault="00D1368E" w14:paraId="423F1140" w14:textId="44AABF2A">
            <w:pPr>
              <w:rPr>
                <w:b/>
                <w:bCs/>
              </w:rPr>
            </w:pPr>
            <w:r w:rsidRPr="00CD3FF9">
              <w:rPr>
                <w:b/>
                <w:bCs/>
              </w:rPr>
              <w:t xml:space="preserve">Door deze schuif stijgen de Rijksbrede steunuitgaven aan Oekraïne in 2027. Hiermee komen de geraamde niet-militaire steunuitgaven uit op EUR 880 miljoen in 2027. Dat is ook zichtbaar in tabel 6 van de Voorjaarsnota 2026.  </w:t>
            </w:r>
          </w:p>
          <w:p w:rsidRPr="007407EC" w:rsidR="00D1368E" w:rsidP="000114BA" w:rsidRDefault="00D1368E" w14:paraId="5FCA5D40" w14:textId="5F814075"/>
        </w:tc>
        <w:tc>
          <w:tcPr>
            <w:cnfStyle w:val="000010000000" w:firstRow="0" w:lastRow="0" w:firstColumn="0" w:lastColumn="0" w:oddVBand="1" w:evenVBand="0" w:oddHBand="0" w:evenHBand="0" w:firstRowFirstColumn="0" w:firstRowLastColumn="0" w:lastRowFirstColumn="0" w:lastRowLastColumn="0"/>
            <w:tcW w:w="974" w:type="dxa"/>
            <w:tcBorders>
              <w:left w:val="none" w:color="auto" w:sz="0" w:space="0"/>
              <w:right w:val="none" w:color="auto" w:sz="0" w:space="0"/>
            </w:tcBorders>
          </w:tcPr>
          <w:p w:rsidRPr="007407EC" w:rsidR="00D1368E" w:rsidP="000114BA" w:rsidRDefault="00D1368E" w14:paraId="4694D583" w14:textId="77777777">
            <w:pPr>
              <w:jc w:val="right"/>
            </w:pPr>
            <w:r w:rsidRPr="007407EC">
              <w:t>23</w:t>
            </w:r>
          </w:p>
        </w:tc>
        <w:tc>
          <w:tcPr>
            <w:cnfStyle w:val="000001000000" w:firstRow="0" w:lastRow="0" w:firstColumn="0" w:lastColumn="0" w:oddVBand="0" w:evenVBand="1" w:oddHBand="0" w:evenHBand="0" w:firstRowFirstColumn="0" w:firstRowLastColumn="0" w:lastRowFirstColumn="0" w:lastRowLastColumn="0"/>
            <w:tcW w:w="720" w:type="dxa"/>
            <w:tcBorders>
              <w:left w:val="none" w:color="auto" w:sz="0" w:space="0"/>
              <w:right w:val="none" w:color="auto" w:sz="0" w:space="0"/>
            </w:tcBorders>
          </w:tcPr>
          <w:p w:rsidRPr="007407EC" w:rsidR="00D1368E" w:rsidP="000114BA" w:rsidRDefault="00D1368E" w14:paraId="56CFCBA5" w14:textId="77777777">
            <w:pPr>
              <w:jc w:val="right"/>
            </w:pPr>
            <w:r w:rsidRPr="007407EC">
              <w:t xml:space="preserve"> </w:t>
            </w:r>
          </w:p>
        </w:tc>
      </w:tr>
      <w:tr w:rsidRPr="007407EC" w:rsidR="00D1368E" w:rsidTr="00D1368E" w14:paraId="4BECBD06" w14:textId="27D62E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Borders>
              <w:top w:val="none" w:color="auto" w:sz="0" w:space="0"/>
              <w:left w:val="none" w:color="auto" w:sz="0" w:space="0"/>
              <w:bottom w:val="none" w:color="auto" w:sz="0" w:space="0"/>
              <w:right w:val="none" w:color="auto" w:sz="0" w:space="0"/>
            </w:tcBorders>
          </w:tcPr>
          <w:p w:rsidRPr="007407EC" w:rsidR="00D1368E" w:rsidP="000114BA" w:rsidRDefault="00D1368E" w14:paraId="133B2DBC" w14:textId="77777777">
            <w:r w:rsidRPr="007407EC">
              <w:t>14</w:t>
            </w:r>
          </w:p>
        </w:tc>
        <w:tc>
          <w:tcPr>
            <w:cnfStyle w:val="000001000000" w:firstRow="0" w:lastRow="0" w:firstColumn="0" w:lastColumn="0" w:oddVBand="0" w:evenVBand="1" w:oddHBand="0" w:evenHBand="0" w:firstRowFirstColumn="0" w:firstRowLastColumn="0" w:lastRowFirstColumn="0" w:lastRowLastColumn="0"/>
            <w:tcW w:w="6345" w:type="dxa"/>
            <w:tcBorders>
              <w:top w:val="none" w:color="auto" w:sz="0" w:space="0"/>
              <w:left w:val="none" w:color="auto" w:sz="0" w:space="0"/>
              <w:bottom w:val="none" w:color="auto" w:sz="0" w:space="0"/>
              <w:right w:val="none" w:color="auto" w:sz="0" w:space="0"/>
            </w:tcBorders>
          </w:tcPr>
          <w:p w:rsidRPr="007407EC" w:rsidR="00D1368E" w:rsidP="000114BA" w:rsidRDefault="00D1368E" w14:paraId="36247036" w14:textId="77777777">
            <w:r w:rsidRPr="007407EC">
              <w:t>Wordt er voor kosten die gemaakt worden in het kader van crisisbeheersing, bijvoorbeeld in het geval van evacuaties, ook een eigen bijdrage gevraagd? Zo nee, waarom niet?</w:t>
            </w:r>
          </w:p>
          <w:p w:rsidRPr="007407EC" w:rsidR="00D1368E" w:rsidP="000114BA" w:rsidRDefault="00D1368E" w14:paraId="069539A3" w14:textId="77777777"/>
          <w:p w:rsidRPr="00CD3FF9" w:rsidR="00D1368E" w:rsidP="00EF53E1" w:rsidRDefault="00D1368E" w14:paraId="25D0D6D1" w14:textId="65748B64">
            <w:pPr>
              <w:rPr>
                <w:b/>
                <w:bCs/>
              </w:rPr>
            </w:pPr>
            <w:r w:rsidRPr="00CD3FF9">
              <w:rPr>
                <w:b/>
                <w:bCs/>
              </w:rPr>
              <w:t>Antwoord</w:t>
            </w:r>
          </w:p>
          <w:p w:rsidR="00D1368E" w:rsidP="00C27F05" w:rsidRDefault="00D1368E" w14:paraId="06CFA8D5" w14:textId="69081E2A">
            <w:pPr>
              <w:rPr>
                <w:b/>
                <w:bCs/>
              </w:rPr>
            </w:pPr>
            <w:r w:rsidRPr="00CD3FF9">
              <w:rPr>
                <w:b/>
                <w:bCs/>
              </w:rPr>
              <w:t xml:space="preserve">Het uitgangspunt van het kabinet is dat bij consulaire crises waar een repatriëringen of evacuatie (mede) door de Rijksoverheid wordt georganiseerd een financiële bijdrage in rekening wordt gebracht. Het organiseren van een (consulaire) repatriërings- of evacuatieoperatie is immers complex, kostbaar en geen vanzelfsprekendheid. Zo is ook in maart 2026 een financiële bijdrage van zeshonderd euro gevraagd aan in het Midden-Oosten gestrande Nederlandse reizigers die gebruikmaakten van repatriëringsvluchten georganiseerd door het ministerie van Buitenlandse Zaken, in samenwerking met het ministerie van Defensie, de Nederlandse reis- en verzekeringsbranche en luchtvaartmaatschappijen. </w:t>
            </w:r>
          </w:p>
          <w:p w:rsidR="00C50520" w:rsidP="00C27F05" w:rsidRDefault="00C50520" w14:paraId="1C3733AE" w14:textId="77777777">
            <w:pPr>
              <w:rPr>
                <w:b/>
                <w:bCs/>
              </w:rPr>
            </w:pPr>
          </w:p>
          <w:p w:rsidRPr="00CD3FF9" w:rsidR="00C50520" w:rsidP="00C27F05" w:rsidRDefault="00C50520" w14:paraId="3367BF05" w14:textId="77777777">
            <w:pPr>
              <w:rPr>
                <w:b/>
                <w:bCs/>
              </w:rPr>
            </w:pPr>
          </w:p>
          <w:p w:rsidRPr="007407EC" w:rsidR="00D1368E" w:rsidP="000114BA" w:rsidRDefault="00D1368E" w14:paraId="60564C67" w14:textId="7C92A6D6"/>
        </w:tc>
        <w:tc>
          <w:tcPr>
            <w:cnfStyle w:val="000010000000" w:firstRow="0" w:lastRow="0" w:firstColumn="0" w:lastColumn="0" w:oddVBand="1" w:evenVBand="0" w:oddHBand="0" w:evenHBand="0" w:firstRowFirstColumn="0" w:firstRowLastColumn="0" w:lastRowFirstColumn="0" w:lastRowLastColumn="0"/>
            <w:tcW w:w="974" w:type="dxa"/>
            <w:tcBorders>
              <w:top w:val="none" w:color="auto" w:sz="0" w:space="0"/>
              <w:left w:val="none" w:color="auto" w:sz="0" w:space="0"/>
              <w:bottom w:val="none" w:color="auto" w:sz="0" w:space="0"/>
              <w:right w:val="none" w:color="auto" w:sz="0" w:space="0"/>
            </w:tcBorders>
          </w:tcPr>
          <w:p w:rsidRPr="007407EC" w:rsidR="00D1368E" w:rsidP="000114BA" w:rsidRDefault="00D1368E" w14:paraId="373BADB0" w14:textId="77777777">
            <w:pPr>
              <w:jc w:val="right"/>
            </w:pPr>
            <w:r w:rsidRPr="007407EC">
              <w:lastRenderedPageBreak/>
              <w:t>25</w:t>
            </w:r>
          </w:p>
        </w:tc>
        <w:tc>
          <w:tcPr>
            <w:cnfStyle w:val="000001000000" w:firstRow="0" w:lastRow="0" w:firstColumn="0" w:lastColumn="0" w:oddVBand="0" w:evenVBand="1" w:oddHBand="0" w:evenHBand="0" w:firstRowFirstColumn="0" w:firstRowLastColumn="0" w:lastRowFirstColumn="0" w:lastRowLastColumn="0"/>
            <w:tcW w:w="720" w:type="dxa"/>
            <w:tcBorders>
              <w:top w:val="none" w:color="auto" w:sz="0" w:space="0"/>
              <w:left w:val="none" w:color="auto" w:sz="0" w:space="0"/>
              <w:bottom w:val="none" w:color="auto" w:sz="0" w:space="0"/>
              <w:right w:val="none" w:color="auto" w:sz="0" w:space="0"/>
            </w:tcBorders>
          </w:tcPr>
          <w:p w:rsidRPr="007407EC" w:rsidR="00D1368E" w:rsidP="000114BA" w:rsidRDefault="00D1368E" w14:paraId="07831C99" w14:textId="77777777">
            <w:pPr>
              <w:jc w:val="right"/>
            </w:pPr>
            <w:r w:rsidRPr="007407EC">
              <w:t xml:space="preserve"> </w:t>
            </w:r>
          </w:p>
        </w:tc>
      </w:tr>
      <w:tr w:rsidRPr="00CD3FF9" w:rsidR="00D1368E" w:rsidTr="00D1368E" w14:paraId="16019DA9" w14:textId="2D9DB6C4">
        <w:tc>
          <w:tcPr>
            <w:cnfStyle w:val="000010000000" w:firstRow="0" w:lastRow="0" w:firstColumn="0" w:lastColumn="0" w:oddVBand="1" w:evenVBand="0" w:oddHBand="0" w:evenHBand="0" w:firstRowFirstColumn="0" w:firstRowLastColumn="0" w:lastRowFirstColumn="0" w:lastRowLastColumn="0"/>
            <w:tcW w:w="709" w:type="dxa"/>
            <w:tcBorders>
              <w:left w:val="none" w:color="auto" w:sz="0" w:space="0"/>
              <w:right w:val="none" w:color="auto" w:sz="0" w:space="0"/>
            </w:tcBorders>
          </w:tcPr>
          <w:p w:rsidRPr="00CD3FF9" w:rsidR="00D1368E" w:rsidP="000114BA" w:rsidRDefault="00D1368E" w14:paraId="541C65CC" w14:textId="77777777">
            <w:pPr>
              <w:rPr>
                <w:b/>
                <w:bCs/>
              </w:rPr>
            </w:pPr>
            <w:r w:rsidRPr="00CD3FF9">
              <w:rPr>
                <w:b/>
                <w:bCs/>
              </w:rPr>
              <w:t>15</w:t>
            </w:r>
          </w:p>
        </w:tc>
        <w:tc>
          <w:tcPr>
            <w:cnfStyle w:val="000001000000" w:firstRow="0" w:lastRow="0" w:firstColumn="0" w:lastColumn="0" w:oddVBand="0" w:evenVBand="1" w:oddHBand="0" w:evenHBand="0" w:firstRowFirstColumn="0" w:firstRowLastColumn="0" w:lastRowFirstColumn="0" w:lastRowLastColumn="0"/>
            <w:tcW w:w="6345" w:type="dxa"/>
            <w:tcBorders>
              <w:left w:val="none" w:color="auto" w:sz="0" w:space="0"/>
              <w:right w:val="none" w:color="auto" w:sz="0" w:space="0"/>
            </w:tcBorders>
          </w:tcPr>
          <w:p w:rsidRPr="00CD3FF9" w:rsidR="00D1368E" w:rsidP="000114BA" w:rsidRDefault="00D1368E" w14:paraId="0EBF3636" w14:textId="77777777">
            <w:bookmarkStart w:name="_Hlk226987943" w:id="6"/>
            <w:r w:rsidRPr="00CD3FF9">
              <w:t>Wat is de bedoeling van de extra bijdrage dit jaar uit het stabiliteitsfonds ten behoeve van de Lebanese Armed Forces?</w:t>
            </w:r>
          </w:p>
          <w:p w:rsidRPr="00CD3FF9" w:rsidR="00D1368E" w:rsidP="000114BA" w:rsidRDefault="00D1368E" w14:paraId="0FD999BD" w14:textId="77777777"/>
          <w:p w:rsidRPr="00CD3FF9" w:rsidR="00D1368E" w:rsidP="00EF53E1" w:rsidRDefault="00D1368E" w14:paraId="29EBB177" w14:textId="43147310">
            <w:pPr>
              <w:rPr>
                <w:b/>
                <w:bCs/>
              </w:rPr>
            </w:pPr>
            <w:r w:rsidRPr="00CD3FF9">
              <w:rPr>
                <w:b/>
                <w:bCs/>
              </w:rPr>
              <w:t>Antwoord</w:t>
            </w:r>
          </w:p>
          <w:p w:rsidR="00D1368E" w:rsidP="00C50520" w:rsidRDefault="00D1368E" w14:paraId="0936C3A2" w14:textId="77777777">
            <w:pPr>
              <w:rPr>
                <w:b/>
                <w:bCs/>
              </w:rPr>
            </w:pPr>
            <w:r w:rsidRPr="00CD3FF9">
              <w:rPr>
                <w:b/>
                <w:bCs/>
              </w:rPr>
              <w:t>Gezien de Nederlandse belangen in Libanon op het gebied van veiligheid, stabiliteit en migratie, draagt Nederland al meerdere jaren bij aan het versterken van de Lebanese Armed Forces (LAF). Het momentum voor additionele LAF-steun is groot, gezien de hoge noden van de LAF. Met het a.s. vertrek van UNIFIL, moet de LAF moet op korte termijn UNIFIL-posities in Zuid-Libanon kunnen overnemen, naast de uitvoering van de ontwapening van Hezbollah en het versterken van de bewaking van landsgrenzen ter bestrijding van (wapen)smokkel, irreguliere migratie en externe dreigingen. Dit zijn ook cruciale voorwaarden voor de geloofwaardigheid van het LBN-staatsgezag en het verminderen van de veiligheidsrol van niet-statelijke actoren.  </w:t>
            </w:r>
          </w:p>
          <w:p w:rsidRPr="00CD3FF9" w:rsidR="00C50520" w:rsidP="00C50520" w:rsidRDefault="00C50520" w14:paraId="3E693BCA" w14:textId="77777777">
            <w:pPr>
              <w:rPr>
                <w:b/>
                <w:bCs/>
              </w:rPr>
            </w:pPr>
          </w:p>
          <w:p w:rsidR="00D1368E" w:rsidP="00C50520" w:rsidRDefault="00D1368E" w14:paraId="14FBD1A1" w14:textId="0BD43176">
            <w:pPr>
              <w:rPr>
                <w:b/>
                <w:bCs/>
              </w:rPr>
            </w:pPr>
            <w:r w:rsidRPr="00CD3FF9">
              <w:rPr>
                <w:b/>
                <w:bCs/>
              </w:rPr>
              <w:t xml:space="preserve">De additionele bijdrage is via de eindejaarsmarge van de HGIS overgeheveld naar het Stabiliteitsfonds. Hiermee tracht Nederland de LAF te ondersteunen in hun rol ter bevordering van de interne en regionale stabiliteit. </w:t>
            </w:r>
          </w:p>
          <w:p w:rsidRPr="00CD3FF9" w:rsidR="00C50520" w:rsidP="00C50520" w:rsidRDefault="00C50520" w14:paraId="5DEFC1AE" w14:textId="77777777">
            <w:pPr>
              <w:rPr>
                <w:b/>
                <w:bCs/>
              </w:rPr>
            </w:pPr>
          </w:p>
          <w:p w:rsidRPr="00CD3FF9" w:rsidR="00D1368E" w:rsidP="00C50520" w:rsidRDefault="00D1368E" w14:paraId="1BA5D4AC" w14:textId="77777777">
            <w:pPr>
              <w:rPr>
                <w:b/>
                <w:bCs/>
              </w:rPr>
            </w:pPr>
            <w:r w:rsidRPr="00CD3FF9">
              <w:rPr>
                <w:b/>
                <w:bCs/>
              </w:rPr>
              <w:t>De nadere invulling van de Nederlandse steun wordt op dit moment door Nederland – in overleg met de LAF – bezien, met inachtneming van de huidige ontwikkelingen in Libanon en de behoeften van de LAF. Nadere Nederlandse besluitvorming over de exacte invulling van deze steun volgt nog. Eerdere Nederlandse steun via het Stabiliteitsfonds droeg onder meer bij aan de realisatie van een trainingscentrum voor de LAF, civiel-militaire samenwerking, ontmijning en grensmanagement.</w:t>
            </w:r>
          </w:p>
          <w:bookmarkEnd w:id="6"/>
          <w:p w:rsidRPr="00CD3FF9" w:rsidR="00D1368E" w:rsidP="001F757B" w:rsidRDefault="00D1368E" w14:paraId="607A1C0C" w14:textId="77777777">
            <w:pPr>
              <w:rPr>
                <w:b/>
                <w:bCs/>
              </w:rPr>
            </w:pPr>
          </w:p>
        </w:tc>
        <w:tc>
          <w:tcPr>
            <w:cnfStyle w:val="000010000000" w:firstRow="0" w:lastRow="0" w:firstColumn="0" w:lastColumn="0" w:oddVBand="1" w:evenVBand="0" w:oddHBand="0" w:evenHBand="0" w:firstRowFirstColumn="0" w:firstRowLastColumn="0" w:lastRowFirstColumn="0" w:lastRowLastColumn="0"/>
            <w:tcW w:w="974" w:type="dxa"/>
            <w:tcBorders>
              <w:left w:val="none" w:color="auto" w:sz="0" w:space="0"/>
              <w:right w:val="none" w:color="auto" w:sz="0" w:space="0"/>
            </w:tcBorders>
          </w:tcPr>
          <w:p w:rsidRPr="00CD3FF9" w:rsidR="00D1368E" w:rsidP="000114BA" w:rsidRDefault="00D1368E" w14:paraId="6A14B7FA" w14:textId="77777777">
            <w:pPr>
              <w:jc w:val="right"/>
              <w:rPr>
                <w:b/>
                <w:bCs/>
              </w:rPr>
            </w:pPr>
            <w:r w:rsidRPr="00CD3FF9">
              <w:rPr>
                <w:b/>
                <w:bCs/>
              </w:rPr>
              <w:t>25</w:t>
            </w:r>
          </w:p>
        </w:tc>
        <w:tc>
          <w:tcPr>
            <w:cnfStyle w:val="000001000000" w:firstRow="0" w:lastRow="0" w:firstColumn="0" w:lastColumn="0" w:oddVBand="0" w:evenVBand="1" w:oddHBand="0" w:evenHBand="0" w:firstRowFirstColumn="0" w:firstRowLastColumn="0" w:lastRowFirstColumn="0" w:lastRowLastColumn="0"/>
            <w:tcW w:w="720" w:type="dxa"/>
            <w:tcBorders>
              <w:left w:val="none" w:color="auto" w:sz="0" w:space="0"/>
              <w:right w:val="none" w:color="auto" w:sz="0" w:space="0"/>
            </w:tcBorders>
          </w:tcPr>
          <w:p w:rsidRPr="00CD3FF9" w:rsidR="00D1368E" w:rsidP="000114BA" w:rsidRDefault="00D1368E" w14:paraId="37E2E1EA" w14:textId="77777777">
            <w:pPr>
              <w:jc w:val="right"/>
              <w:rPr>
                <w:b/>
                <w:bCs/>
              </w:rPr>
            </w:pPr>
            <w:r w:rsidRPr="00CD3FF9">
              <w:rPr>
                <w:b/>
                <w:bCs/>
              </w:rPr>
              <w:t xml:space="preserve">26 </w:t>
            </w:r>
          </w:p>
        </w:tc>
      </w:tr>
    </w:tbl>
    <w:p w:rsidRPr="00CD3FF9" w:rsidR="00C8128C" w:rsidRDefault="00C8128C" w14:paraId="570A1317" w14:textId="77777777">
      <w:pPr>
        <w:rPr>
          <w:b/>
          <w:bCs/>
        </w:rPr>
      </w:pPr>
    </w:p>
    <w:p w:rsidRPr="00CD3FF9" w:rsidR="000114BA" w:rsidRDefault="000114BA" w14:paraId="050B3397" w14:textId="77777777">
      <w:pPr>
        <w:rPr>
          <w:b/>
          <w:bCs/>
        </w:rPr>
      </w:pPr>
    </w:p>
    <w:p w:rsidRPr="00CD3FF9" w:rsidR="000114BA" w:rsidRDefault="000114BA" w14:paraId="7D93F524" w14:textId="77777777">
      <w:pPr>
        <w:rPr>
          <w:b/>
          <w:bCs/>
        </w:rPr>
      </w:pPr>
    </w:p>
    <w:sectPr w:rsidRPr="00CD3FF9" w:rsidR="000114BA" w:rsidSect="00CC2F5C">
      <w:footerReference w:type="default" r:id="rId13"/>
      <w:pgSz w:w="11900" w:h="16840"/>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64AA" w14:textId="77777777" w:rsidR="00046734" w:rsidRDefault="00046734">
      <w:pPr>
        <w:spacing w:before="0" w:after="0"/>
      </w:pPr>
      <w:r>
        <w:separator/>
      </w:r>
    </w:p>
  </w:endnote>
  <w:endnote w:type="continuationSeparator" w:id="0">
    <w:p w14:paraId="017ABC0C" w14:textId="77777777" w:rsidR="00046734" w:rsidRDefault="000467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550A" w14:textId="77777777" w:rsidR="00C8128C" w:rsidRDefault="001856D0">
    <w:pPr>
      <w:pStyle w:val="Footer"/>
    </w:pPr>
    <w:r>
      <w:t xml:space="preserve">Totaallijst feitelijke vragen Wijziging van de begrotingsstaat van het Ministerie van Buitenlandse Zaken (V) voor het jaar 2026 (wijziging samenhangende met de Voorjaarsnota) (36915-1)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0F90" w14:textId="77777777" w:rsidR="00046734" w:rsidRDefault="00046734">
      <w:pPr>
        <w:spacing w:before="0" w:after="0"/>
      </w:pPr>
      <w:r>
        <w:separator/>
      </w:r>
    </w:p>
  </w:footnote>
  <w:footnote w:type="continuationSeparator" w:id="0">
    <w:p w14:paraId="4EB31E3F" w14:textId="77777777" w:rsidR="00046734" w:rsidRDefault="0004673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E42D5"/>
    <w:multiLevelType w:val="multilevel"/>
    <w:tmpl w:val="3E62C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25513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14BA"/>
    <w:rsid w:val="00020668"/>
    <w:rsid w:val="00022077"/>
    <w:rsid w:val="00022C63"/>
    <w:rsid w:val="00027506"/>
    <w:rsid w:val="000334AC"/>
    <w:rsid w:val="00046734"/>
    <w:rsid w:val="000565B9"/>
    <w:rsid w:val="0006521F"/>
    <w:rsid w:val="000653BF"/>
    <w:rsid w:val="00076284"/>
    <w:rsid w:val="0008288E"/>
    <w:rsid w:val="00095437"/>
    <w:rsid w:val="000A7F21"/>
    <w:rsid w:val="000B21D6"/>
    <w:rsid w:val="000B4018"/>
    <w:rsid w:val="000C3908"/>
    <w:rsid w:val="000D25EB"/>
    <w:rsid w:val="000E10DB"/>
    <w:rsid w:val="000E6CD0"/>
    <w:rsid w:val="000F23E5"/>
    <w:rsid w:val="000F54CC"/>
    <w:rsid w:val="00100406"/>
    <w:rsid w:val="00104563"/>
    <w:rsid w:val="00116500"/>
    <w:rsid w:val="00136F79"/>
    <w:rsid w:val="001618CE"/>
    <w:rsid w:val="0017143C"/>
    <w:rsid w:val="001856D0"/>
    <w:rsid w:val="0019118B"/>
    <w:rsid w:val="00193668"/>
    <w:rsid w:val="00197E53"/>
    <w:rsid w:val="001A1E6D"/>
    <w:rsid w:val="001A3C86"/>
    <w:rsid w:val="001A47AF"/>
    <w:rsid w:val="001A56AB"/>
    <w:rsid w:val="001A79FC"/>
    <w:rsid w:val="001B4170"/>
    <w:rsid w:val="001C4AB5"/>
    <w:rsid w:val="001D00B8"/>
    <w:rsid w:val="001D27CE"/>
    <w:rsid w:val="001E0FE6"/>
    <w:rsid w:val="001E497F"/>
    <w:rsid w:val="001E551F"/>
    <w:rsid w:val="001E6FD1"/>
    <w:rsid w:val="001E767B"/>
    <w:rsid w:val="001F493A"/>
    <w:rsid w:val="001F757B"/>
    <w:rsid w:val="002024BA"/>
    <w:rsid w:val="002100E9"/>
    <w:rsid w:val="00213D91"/>
    <w:rsid w:val="002257D0"/>
    <w:rsid w:val="0023033E"/>
    <w:rsid w:val="002313BE"/>
    <w:rsid w:val="00234347"/>
    <w:rsid w:val="00234C52"/>
    <w:rsid w:val="0025006A"/>
    <w:rsid w:val="00257C88"/>
    <w:rsid w:val="00262C6B"/>
    <w:rsid w:val="00265E45"/>
    <w:rsid w:val="00272405"/>
    <w:rsid w:val="00280E0A"/>
    <w:rsid w:val="00285F87"/>
    <w:rsid w:val="00287B56"/>
    <w:rsid w:val="00291C55"/>
    <w:rsid w:val="0029504F"/>
    <w:rsid w:val="002C180C"/>
    <w:rsid w:val="002C2243"/>
    <w:rsid w:val="002D5C34"/>
    <w:rsid w:val="002D5E7C"/>
    <w:rsid w:val="002E1941"/>
    <w:rsid w:val="002E2070"/>
    <w:rsid w:val="00304BFC"/>
    <w:rsid w:val="00316927"/>
    <w:rsid w:val="00320980"/>
    <w:rsid w:val="003307C1"/>
    <w:rsid w:val="00331EFD"/>
    <w:rsid w:val="00357187"/>
    <w:rsid w:val="00365D36"/>
    <w:rsid w:val="00376080"/>
    <w:rsid w:val="00381F6E"/>
    <w:rsid w:val="003879AD"/>
    <w:rsid w:val="00394F63"/>
    <w:rsid w:val="003C551D"/>
    <w:rsid w:val="003D012A"/>
    <w:rsid w:val="003D0C07"/>
    <w:rsid w:val="003D3D20"/>
    <w:rsid w:val="003D44DD"/>
    <w:rsid w:val="003D4FD3"/>
    <w:rsid w:val="003E0048"/>
    <w:rsid w:val="003E46A9"/>
    <w:rsid w:val="003F1503"/>
    <w:rsid w:val="003F3B2D"/>
    <w:rsid w:val="003F4059"/>
    <w:rsid w:val="003F67D8"/>
    <w:rsid w:val="00404EBC"/>
    <w:rsid w:val="00410E14"/>
    <w:rsid w:val="004130BD"/>
    <w:rsid w:val="00417C30"/>
    <w:rsid w:val="00423D41"/>
    <w:rsid w:val="0043130B"/>
    <w:rsid w:val="004415E2"/>
    <w:rsid w:val="00442988"/>
    <w:rsid w:val="00443411"/>
    <w:rsid w:val="004449D2"/>
    <w:rsid w:val="00457657"/>
    <w:rsid w:val="00474034"/>
    <w:rsid w:val="00490D17"/>
    <w:rsid w:val="004A288B"/>
    <w:rsid w:val="004B0962"/>
    <w:rsid w:val="004B73A6"/>
    <w:rsid w:val="004C785C"/>
    <w:rsid w:val="004D52B7"/>
    <w:rsid w:val="004D6140"/>
    <w:rsid w:val="004E2C5F"/>
    <w:rsid w:val="004E4775"/>
    <w:rsid w:val="004F0A3E"/>
    <w:rsid w:val="004F2504"/>
    <w:rsid w:val="004F7247"/>
    <w:rsid w:val="005160DC"/>
    <w:rsid w:val="0052131E"/>
    <w:rsid w:val="005240CF"/>
    <w:rsid w:val="0053386F"/>
    <w:rsid w:val="00546781"/>
    <w:rsid w:val="005543A7"/>
    <w:rsid w:val="0056240E"/>
    <w:rsid w:val="00563C4F"/>
    <w:rsid w:val="00566DBB"/>
    <w:rsid w:val="0057054E"/>
    <w:rsid w:val="00576C51"/>
    <w:rsid w:val="00577514"/>
    <w:rsid w:val="00581580"/>
    <w:rsid w:val="005844CC"/>
    <w:rsid w:val="00586AA4"/>
    <w:rsid w:val="00590E42"/>
    <w:rsid w:val="00591C59"/>
    <w:rsid w:val="005D3421"/>
    <w:rsid w:val="005D4C80"/>
    <w:rsid w:val="005E012E"/>
    <w:rsid w:val="00623A00"/>
    <w:rsid w:val="00624D8D"/>
    <w:rsid w:val="00634EBC"/>
    <w:rsid w:val="0063738F"/>
    <w:rsid w:val="006406E0"/>
    <w:rsid w:val="00657F6F"/>
    <w:rsid w:val="006640B1"/>
    <w:rsid w:val="006676CE"/>
    <w:rsid w:val="00677EAB"/>
    <w:rsid w:val="006A6B38"/>
    <w:rsid w:val="006B6D84"/>
    <w:rsid w:val="006C2F9D"/>
    <w:rsid w:val="006D0DE6"/>
    <w:rsid w:val="006D5A90"/>
    <w:rsid w:val="006E27F2"/>
    <w:rsid w:val="006E520A"/>
    <w:rsid w:val="0070387B"/>
    <w:rsid w:val="00704851"/>
    <w:rsid w:val="007077A3"/>
    <w:rsid w:val="00707E7D"/>
    <w:rsid w:val="00711F44"/>
    <w:rsid w:val="0071651F"/>
    <w:rsid w:val="00717761"/>
    <w:rsid w:val="00722592"/>
    <w:rsid w:val="00734136"/>
    <w:rsid w:val="007407EC"/>
    <w:rsid w:val="00740BCF"/>
    <w:rsid w:val="00747874"/>
    <w:rsid w:val="00752388"/>
    <w:rsid w:val="00760B5B"/>
    <w:rsid w:val="007619C8"/>
    <w:rsid w:val="00761FC5"/>
    <w:rsid w:val="0076299A"/>
    <w:rsid w:val="00783033"/>
    <w:rsid w:val="00792D49"/>
    <w:rsid w:val="00794A9A"/>
    <w:rsid w:val="007A0EF3"/>
    <w:rsid w:val="007A2528"/>
    <w:rsid w:val="007A77B6"/>
    <w:rsid w:val="007B0458"/>
    <w:rsid w:val="007B2A51"/>
    <w:rsid w:val="007C074A"/>
    <w:rsid w:val="007C0A2A"/>
    <w:rsid w:val="007C55A6"/>
    <w:rsid w:val="007C7624"/>
    <w:rsid w:val="007C7AE9"/>
    <w:rsid w:val="007E14BF"/>
    <w:rsid w:val="007E2084"/>
    <w:rsid w:val="007E6CC9"/>
    <w:rsid w:val="007E7CDD"/>
    <w:rsid w:val="007F460E"/>
    <w:rsid w:val="008100B3"/>
    <w:rsid w:val="008215B4"/>
    <w:rsid w:val="00826748"/>
    <w:rsid w:val="00830754"/>
    <w:rsid w:val="00842899"/>
    <w:rsid w:val="00853114"/>
    <w:rsid w:val="008644DD"/>
    <w:rsid w:val="00876A1F"/>
    <w:rsid w:val="008942DD"/>
    <w:rsid w:val="00894624"/>
    <w:rsid w:val="008A25A2"/>
    <w:rsid w:val="008C342B"/>
    <w:rsid w:val="008D0B24"/>
    <w:rsid w:val="008D1599"/>
    <w:rsid w:val="008D69BE"/>
    <w:rsid w:val="008E021B"/>
    <w:rsid w:val="008E2652"/>
    <w:rsid w:val="008E3A9D"/>
    <w:rsid w:val="008E7A6C"/>
    <w:rsid w:val="00901DF9"/>
    <w:rsid w:val="009030BA"/>
    <w:rsid w:val="00910DBE"/>
    <w:rsid w:val="00915B0A"/>
    <w:rsid w:val="0095132A"/>
    <w:rsid w:val="00957F4C"/>
    <w:rsid w:val="00963380"/>
    <w:rsid w:val="009647E3"/>
    <w:rsid w:val="009732A8"/>
    <w:rsid w:val="00974F64"/>
    <w:rsid w:val="00997A5B"/>
    <w:rsid w:val="009A3E0C"/>
    <w:rsid w:val="009B0B05"/>
    <w:rsid w:val="009B329D"/>
    <w:rsid w:val="009B736D"/>
    <w:rsid w:val="009C7B27"/>
    <w:rsid w:val="009D3CBD"/>
    <w:rsid w:val="009F6A72"/>
    <w:rsid w:val="00A005DB"/>
    <w:rsid w:val="00A078B8"/>
    <w:rsid w:val="00A12EDB"/>
    <w:rsid w:val="00A1304D"/>
    <w:rsid w:val="00A1421C"/>
    <w:rsid w:val="00A217B8"/>
    <w:rsid w:val="00A30F25"/>
    <w:rsid w:val="00A34263"/>
    <w:rsid w:val="00A40BE9"/>
    <w:rsid w:val="00A461CD"/>
    <w:rsid w:val="00A5640E"/>
    <w:rsid w:val="00A651BB"/>
    <w:rsid w:val="00A66832"/>
    <w:rsid w:val="00A70081"/>
    <w:rsid w:val="00A7080A"/>
    <w:rsid w:val="00A759CC"/>
    <w:rsid w:val="00A77C3E"/>
    <w:rsid w:val="00A84ED9"/>
    <w:rsid w:val="00A85F50"/>
    <w:rsid w:val="00A92D8E"/>
    <w:rsid w:val="00A9555F"/>
    <w:rsid w:val="00AB683F"/>
    <w:rsid w:val="00AD274C"/>
    <w:rsid w:val="00AE4C85"/>
    <w:rsid w:val="00AE6E5A"/>
    <w:rsid w:val="00AF568A"/>
    <w:rsid w:val="00AF7FFE"/>
    <w:rsid w:val="00B02E6A"/>
    <w:rsid w:val="00B055D0"/>
    <w:rsid w:val="00B05ABD"/>
    <w:rsid w:val="00B0638B"/>
    <w:rsid w:val="00B1114B"/>
    <w:rsid w:val="00B22283"/>
    <w:rsid w:val="00B26AF7"/>
    <w:rsid w:val="00B2779B"/>
    <w:rsid w:val="00B27918"/>
    <w:rsid w:val="00B428B8"/>
    <w:rsid w:val="00B47093"/>
    <w:rsid w:val="00B63FCF"/>
    <w:rsid w:val="00B66B99"/>
    <w:rsid w:val="00B8747E"/>
    <w:rsid w:val="00B915EC"/>
    <w:rsid w:val="00B91EB8"/>
    <w:rsid w:val="00B94D31"/>
    <w:rsid w:val="00BA0C8A"/>
    <w:rsid w:val="00BA7075"/>
    <w:rsid w:val="00BB4B34"/>
    <w:rsid w:val="00BB5D6F"/>
    <w:rsid w:val="00BD782C"/>
    <w:rsid w:val="00BE1228"/>
    <w:rsid w:val="00BF1083"/>
    <w:rsid w:val="00C008AC"/>
    <w:rsid w:val="00C051B7"/>
    <w:rsid w:val="00C068F2"/>
    <w:rsid w:val="00C06D5C"/>
    <w:rsid w:val="00C154FC"/>
    <w:rsid w:val="00C231FD"/>
    <w:rsid w:val="00C236D7"/>
    <w:rsid w:val="00C27F05"/>
    <w:rsid w:val="00C27FE4"/>
    <w:rsid w:val="00C408FD"/>
    <w:rsid w:val="00C457E4"/>
    <w:rsid w:val="00C50520"/>
    <w:rsid w:val="00C52AB0"/>
    <w:rsid w:val="00C569D6"/>
    <w:rsid w:val="00C575B2"/>
    <w:rsid w:val="00C615F9"/>
    <w:rsid w:val="00C747DD"/>
    <w:rsid w:val="00C775AB"/>
    <w:rsid w:val="00C8128C"/>
    <w:rsid w:val="00C83919"/>
    <w:rsid w:val="00C87EB6"/>
    <w:rsid w:val="00C94F9C"/>
    <w:rsid w:val="00C97873"/>
    <w:rsid w:val="00CA01D4"/>
    <w:rsid w:val="00CB1077"/>
    <w:rsid w:val="00CC0E4E"/>
    <w:rsid w:val="00CC2F5C"/>
    <w:rsid w:val="00CC3C1C"/>
    <w:rsid w:val="00CC416C"/>
    <w:rsid w:val="00CC52F8"/>
    <w:rsid w:val="00CC5556"/>
    <w:rsid w:val="00CD12F8"/>
    <w:rsid w:val="00CD3FF9"/>
    <w:rsid w:val="00CE3349"/>
    <w:rsid w:val="00CE596E"/>
    <w:rsid w:val="00CF4B6C"/>
    <w:rsid w:val="00CF4E52"/>
    <w:rsid w:val="00CF66AB"/>
    <w:rsid w:val="00CF6D1C"/>
    <w:rsid w:val="00CF79FC"/>
    <w:rsid w:val="00D01379"/>
    <w:rsid w:val="00D0213E"/>
    <w:rsid w:val="00D1368E"/>
    <w:rsid w:val="00D22707"/>
    <w:rsid w:val="00D23760"/>
    <w:rsid w:val="00D245B4"/>
    <w:rsid w:val="00D248D0"/>
    <w:rsid w:val="00D26AC8"/>
    <w:rsid w:val="00D34A07"/>
    <w:rsid w:val="00D35A58"/>
    <w:rsid w:val="00D36632"/>
    <w:rsid w:val="00D431D4"/>
    <w:rsid w:val="00D5078B"/>
    <w:rsid w:val="00D51C0C"/>
    <w:rsid w:val="00D56222"/>
    <w:rsid w:val="00D628EF"/>
    <w:rsid w:val="00D76DE1"/>
    <w:rsid w:val="00D82E99"/>
    <w:rsid w:val="00D87E87"/>
    <w:rsid w:val="00D90D4E"/>
    <w:rsid w:val="00D950BC"/>
    <w:rsid w:val="00DA331E"/>
    <w:rsid w:val="00DA6D46"/>
    <w:rsid w:val="00DB22CE"/>
    <w:rsid w:val="00DC6B16"/>
    <w:rsid w:val="00DD0B5F"/>
    <w:rsid w:val="00DD0F20"/>
    <w:rsid w:val="00DE2C37"/>
    <w:rsid w:val="00DF4DA0"/>
    <w:rsid w:val="00DF7F17"/>
    <w:rsid w:val="00E07D7D"/>
    <w:rsid w:val="00E10D95"/>
    <w:rsid w:val="00E1299C"/>
    <w:rsid w:val="00E20D7C"/>
    <w:rsid w:val="00E43ED0"/>
    <w:rsid w:val="00E5170F"/>
    <w:rsid w:val="00E5728F"/>
    <w:rsid w:val="00E61338"/>
    <w:rsid w:val="00E628FC"/>
    <w:rsid w:val="00E7153D"/>
    <w:rsid w:val="00E80C7E"/>
    <w:rsid w:val="00E81F1E"/>
    <w:rsid w:val="00E92EB8"/>
    <w:rsid w:val="00EA51EF"/>
    <w:rsid w:val="00EB12CA"/>
    <w:rsid w:val="00EB1A43"/>
    <w:rsid w:val="00EC1935"/>
    <w:rsid w:val="00EC2EA1"/>
    <w:rsid w:val="00EC7CCF"/>
    <w:rsid w:val="00ED23C5"/>
    <w:rsid w:val="00ED3B51"/>
    <w:rsid w:val="00EE07F5"/>
    <w:rsid w:val="00EE45B4"/>
    <w:rsid w:val="00EE5F21"/>
    <w:rsid w:val="00EE70B1"/>
    <w:rsid w:val="00EF15E2"/>
    <w:rsid w:val="00EF2E18"/>
    <w:rsid w:val="00EF53E1"/>
    <w:rsid w:val="00F01D80"/>
    <w:rsid w:val="00F072E0"/>
    <w:rsid w:val="00F17AD1"/>
    <w:rsid w:val="00F453C5"/>
    <w:rsid w:val="00F45D8E"/>
    <w:rsid w:val="00F53A96"/>
    <w:rsid w:val="00F53BF1"/>
    <w:rsid w:val="00F5417A"/>
    <w:rsid w:val="00F55B82"/>
    <w:rsid w:val="00F613AB"/>
    <w:rsid w:val="00F615B8"/>
    <w:rsid w:val="00F618C0"/>
    <w:rsid w:val="00F64A45"/>
    <w:rsid w:val="00F662C1"/>
    <w:rsid w:val="00F8213A"/>
    <w:rsid w:val="00F851C6"/>
    <w:rsid w:val="00FA4C8C"/>
    <w:rsid w:val="00FC6C39"/>
    <w:rsid w:val="00FC6ED7"/>
    <w:rsid w:val="00FD2CE6"/>
    <w:rsid w:val="00FE51C2"/>
    <w:rsid w:val="00FE58C1"/>
    <w:rsid w:val="00FF6CE1"/>
    <w:rsid w:val="03BF13DC"/>
    <w:rsid w:val="04388D32"/>
    <w:rsid w:val="057C64BB"/>
    <w:rsid w:val="07C03A9F"/>
    <w:rsid w:val="07CEA970"/>
    <w:rsid w:val="09862515"/>
    <w:rsid w:val="09CCF63E"/>
    <w:rsid w:val="0AC37F4C"/>
    <w:rsid w:val="0ADC558A"/>
    <w:rsid w:val="172EC2F8"/>
    <w:rsid w:val="18383B55"/>
    <w:rsid w:val="1BEE5A05"/>
    <w:rsid w:val="1E9692B0"/>
    <w:rsid w:val="21E7E487"/>
    <w:rsid w:val="24C5B928"/>
    <w:rsid w:val="2BA3625A"/>
    <w:rsid w:val="2DA5A3DD"/>
    <w:rsid w:val="31AA072C"/>
    <w:rsid w:val="31E9379B"/>
    <w:rsid w:val="3FC93EBE"/>
    <w:rsid w:val="40B96AB1"/>
    <w:rsid w:val="416BF57C"/>
    <w:rsid w:val="4347B4C1"/>
    <w:rsid w:val="446DAF37"/>
    <w:rsid w:val="48E67129"/>
    <w:rsid w:val="4A15F09D"/>
    <w:rsid w:val="4A3404A2"/>
    <w:rsid w:val="4C4BC9E2"/>
    <w:rsid w:val="4EDA726E"/>
    <w:rsid w:val="57DF68CD"/>
    <w:rsid w:val="59E70038"/>
    <w:rsid w:val="5B3E1B0E"/>
    <w:rsid w:val="5D79D2AD"/>
    <w:rsid w:val="6035893E"/>
    <w:rsid w:val="604C6DAF"/>
    <w:rsid w:val="609B2217"/>
    <w:rsid w:val="61D78713"/>
    <w:rsid w:val="6AA0841A"/>
    <w:rsid w:val="6DBC2E12"/>
    <w:rsid w:val="6E2465CB"/>
    <w:rsid w:val="6E7472B2"/>
    <w:rsid w:val="6E759E73"/>
    <w:rsid w:val="7718B279"/>
    <w:rsid w:val="7819E20A"/>
    <w:rsid w:val="78446EBE"/>
    <w:rsid w:val="78743FE8"/>
    <w:rsid w:val="78ABA7FD"/>
    <w:rsid w:val="79E43E5D"/>
    <w:rsid w:val="7C381B26"/>
    <w:rsid w:val="7EA3C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876854"/>
  <w15:docId w15:val="{12B2538E-FC94-4212-97B2-1D785393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table" w:styleId="TableGrid">
    <w:name w:val="Table Grid"/>
    <w:basedOn w:val="TableNormal"/>
    <w:uiPriority w:val="59"/>
    <w:rsid w:val="00011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024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2024BA"/>
    <w:rPr>
      <w:color w:val="666666"/>
    </w:rPr>
  </w:style>
  <w:style w:type="paragraph" w:styleId="NoSpacing">
    <w:name w:val="No Spacing"/>
    <w:uiPriority w:val="1"/>
    <w:qFormat/>
    <w:rsid w:val="007077A3"/>
    <w:rPr>
      <w:rFonts w:eastAsiaTheme="minorHAnsi"/>
      <w:kern w:val="2"/>
      <w:lang w:val="nl-NL"/>
    </w:rPr>
  </w:style>
  <w:style w:type="character" w:styleId="Hyperlink">
    <w:name w:val="Hyperlink"/>
    <w:basedOn w:val="DefaultParagraphFont"/>
    <w:uiPriority w:val="99"/>
    <w:unhideWhenUsed/>
    <w:rsid w:val="007077A3"/>
    <w:rPr>
      <w:color w:val="0000FF" w:themeColor="hyperlink"/>
      <w:u w:val="single"/>
    </w:rPr>
  </w:style>
  <w:style w:type="character" w:styleId="CommentReference">
    <w:name w:val="annotation reference"/>
    <w:basedOn w:val="DefaultParagraphFont"/>
    <w:uiPriority w:val="99"/>
    <w:semiHidden/>
    <w:unhideWhenUsed/>
    <w:rsid w:val="007077A3"/>
    <w:rPr>
      <w:sz w:val="16"/>
      <w:szCs w:val="16"/>
    </w:rPr>
  </w:style>
  <w:style w:type="paragraph" w:styleId="CommentText">
    <w:name w:val="annotation text"/>
    <w:basedOn w:val="Normal"/>
    <w:link w:val="CommentTextChar"/>
    <w:uiPriority w:val="99"/>
    <w:unhideWhenUsed/>
    <w:rsid w:val="007077A3"/>
    <w:pPr>
      <w:spacing w:before="0" w:after="160"/>
    </w:pPr>
    <w:rPr>
      <w:rFonts w:asciiTheme="minorHAnsi" w:eastAsiaTheme="minorHAnsi" w:hAnsiTheme="minorHAnsi" w:cstheme="minorBidi"/>
      <w:kern w:val="2"/>
      <w:lang w:eastAsia="en-US"/>
    </w:rPr>
  </w:style>
  <w:style w:type="character" w:customStyle="1" w:styleId="CommentTextChar">
    <w:name w:val="Comment Text Char"/>
    <w:basedOn w:val="DefaultParagraphFont"/>
    <w:link w:val="CommentText"/>
    <w:uiPriority w:val="99"/>
    <w:rsid w:val="007077A3"/>
    <w:rPr>
      <w:rFonts w:eastAsiaTheme="minorHAnsi"/>
      <w:kern w:val="2"/>
      <w:sz w:val="20"/>
      <w:szCs w:val="20"/>
      <w:lang w:val="nl-NL"/>
    </w:rPr>
  </w:style>
  <w:style w:type="paragraph" w:styleId="CommentSubject">
    <w:name w:val="annotation subject"/>
    <w:basedOn w:val="CommentText"/>
    <w:next w:val="CommentText"/>
    <w:link w:val="CommentSubjectChar"/>
    <w:uiPriority w:val="99"/>
    <w:semiHidden/>
    <w:unhideWhenUsed/>
    <w:rsid w:val="00442988"/>
    <w:pPr>
      <w:spacing w:before="60" w:after="60"/>
    </w:pPr>
    <w:rPr>
      <w:rFonts w:ascii="Times New Roman" w:eastAsia="Times New Roman" w:hAnsi="Times New Roman" w:cs="Times New Roman"/>
      <w:b/>
      <w:bCs/>
      <w:kern w:val="0"/>
      <w:lang w:eastAsia="nl-NL"/>
    </w:rPr>
  </w:style>
  <w:style w:type="character" w:customStyle="1" w:styleId="CommentSubjectChar">
    <w:name w:val="Comment Subject Char"/>
    <w:basedOn w:val="CommentTextChar"/>
    <w:link w:val="CommentSubject"/>
    <w:uiPriority w:val="99"/>
    <w:semiHidden/>
    <w:rsid w:val="00442988"/>
    <w:rPr>
      <w:rFonts w:ascii="Times New Roman" w:eastAsia="Times New Roman" w:hAnsi="Times New Roman" w:cs="Times New Roman"/>
      <w:b/>
      <w:bCs/>
      <w:kern w:val="2"/>
      <w:sz w:val="20"/>
      <w:szCs w:val="20"/>
      <w:lang w:val="nl-NL" w:eastAsia="nl-NL"/>
    </w:rPr>
  </w:style>
  <w:style w:type="paragraph" w:styleId="Revision">
    <w:name w:val="Revision"/>
    <w:hidden/>
    <w:uiPriority w:val="99"/>
    <w:semiHidden/>
    <w:rsid w:val="00BE1228"/>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2237">
      <w:bodyDiv w:val="1"/>
      <w:marLeft w:val="0"/>
      <w:marRight w:val="0"/>
      <w:marTop w:val="0"/>
      <w:marBottom w:val="0"/>
      <w:divBdr>
        <w:top w:val="none" w:sz="0" w:space="0" w:color="auto"/>
        <w:left w:val="none" w:sz="0" w:space="0" w:color="auto"/>
        <w:bottom w:val="none" w:sz="0" w:space="0" w:color="auto"/>
        <w:right w:val="none" w:sz="0" w:space="0" w:color="auto"/>
      </w:divBdr>
    </w:div>
    <w:div w:id="181626168">
      <w:bodyDiv w:val="1"/>
      <w:marLeft w:val="0"/>
      <w:marRight w:val="0"/>
      <w:marTop w:val="0"/>
      <w:marBottom w:val="0"/>
      <w:divBdr>
        <w:top w:val="none" w:sz="0" w:space="0" w:color="auto"/>
        <w:left w:val="none" w:sz="0" w:space="0" w:color="auto"/>
        <w:bottom w:val="none" w:sz="0" w:space="0" w:color="auto"/>
        <w:right w:val="none" w:sz="0" w:space="0" w:color="auto"/>
      </w:divBdr>
    </w:div>
    <w:div w:id="776409497">
      <w:bodyDiv w:val="1"/>
      <w:marLeft w:val="0"/>
      <w:marRight w:val="0"/>
      <w:marTop w:val="0"/>
      <w:marBottom w:val="0"/>
      <w:divBdr>
        <w:top w:val="none" w:sz="0" w:space="0" w:color="auto"/>
        <w:left w:val="none" w:sz="0" w:space="0" w:color="auto"/>
        <w:bottom w:val="none" w:sz="0" w:space="0" w:color="auto"/>
        <w:right w:val="none" w:sz="0" w:space="0" w:color="auto"/>
      </w:divBdr>
    </w:div>
    <w:div w:id="1106583606">
      <w:bodyDiv w:val="1"/>
      <w:marLeft w:val="0"/>
      <w:marRight w:val="0"/>
      <w:marTop w:val="0"/>
      <w:marBottom w:val="0"/>
      <w:divBdr>
        <w:top w:val="none" w:sz="0" w:space="0" w:color="auto"/>
        <w:left w:val="none" w:sz="0" w:space="0" w:color="auto"/>
        <w:bottom w:val="none" w:sz="0" w:space="0" w:color="auto"/>
        <w:right w:val="none" w:sz="0" w:space="0" w:color="auto"/>
      </w:divBdr>
    </w:div>
    <w:div w:id="1310598982">
      <w:bodyDiv w:val="1"/>
      <w:marLeft w:val="0"/>
      <w:marRight w:val="0"/>
      <w:marTop w:val="0"/>
      <w:marBottom w:val="0"/>
      <w:divBdr>
        <w:top w:val="none" w:sz="0" w:space="0" w:color="auto"/>
        <w:left w:val="none" w:sz="0" w:space="0" w:color="auto"/>
        <w:bottom w:val="none" w:sz="0" w:space="0" w:color="auto"/>
        <w:right w:val="none" w:sz="0" w:space="0" w:color="auto"/>
      </w:divBdr>
    </w:div>
    <w:div w:id="1466581619">
      <w:bodyDiv w:val="1"/>
      <w:marLeft w:val="0"/>
      <w:marRight w:val="0"/>
      <w:marTop w:val="0"/>
      <w:marBottom w:val="0"/>
      <w:divBdr>
        <w:top w:val="none" w:sz="0" w:space="0" w:color="auto"/>
        <w:left w:val="none" w:sz="0" w:space="0" w:color="auto"/>
        <w:bottom w:val="none" w:sz="0" w:space="0" w:color="auto"/>
        <w:right w:val="none" w:sz="0" w:space="0" w:color="auto"/>
      </w:divBdr>
    </w:div>
    <w:div w:id="1480413895">
      <w:bodyDiv w:val="1"/>
      <w:marLeft w:val="0"/>
      <w:marRight w:val="0"/>
      <w:marTop w:val="0"/>
      <w:marBottom w:val="0"/>
      <w:divBdr>
        <w:top w:val="none" w:sz="0" w:space="0" w:color="auto"/>
        <w:left w:val="none" w:sz="0" w:space="0" w:color="auto"/>
        <w:bottom w:val="none" w:sz="0" w:space="0" w:color="auto"/>
        <w:right w:val="none" w:sz="0" w:space="0" w:color="auto"/>
      </w:divBdr>
    </w:div>
    <w:div w:id="1677733631">
      <w:bodyDiv w:val="1"/>
      <w:marLeft w:val="0"/>
      <w:marRight w:val="0"/>
      <w:marTop w:val="0"/>
      <w:marBottom w:val="0"/>
      <w:divBdr>
        <w:top w:val="none" w:sz="0" w:space="0" w:color="auto"/>
        <w:left w:val="none" w:sz="0" w:space="0" w:color="auto"/>
        <w:bottom w:val="none" w:sz="0" w:space="0" w:color="auto"/>
        <w:right w:val="none" w:sz="0" w:space="0" w:color="auto"/>
      </w:divBdr>
    </w:div>
    <w:div w:id="1752463271">
      <w:bodyDiv w:val="1"/>
      <w:marLeft w:val="0"/>
      <w:marRight w:val="0"/>
      <w:marTop w:val="0"/>
      <w:marBottom w:val="0"/>
      <w:divBdr>
        <w:top w:val="none" w:sz="0" w:space="0" w:color="auto"/>
        <w:left w:val="none" w:sz="0" w:space="0" w:color="auto"/>
        <w:bottom w:val="none" w:sz="0" w:space="0" w:color="auto"/>
        <w:right w:val="none" w:sz="0" w:space="0" w:color="auto"/>
      </w:divBdr>
    </w:div>
    <w:div w:id="1848252150">
      <w:bodyDiv w:val="1"/>
      <w:marLeft w:val="0"/>
      <w:marRight w:val="0"/>
      <w:marTop w:val="0"/>
      <w:marBottom w:val="0"/>
      <w:divBdr>
        <w:top w:val="none" w:sz="0" w:space="0" w:color="auto"/>
        <w:left w:val="none" w:sz="0" w:space="0" w:color="auto"/>
        <w:bottom w:val="none" w:sz="0" w:space="0" w:color="auto"/>
        <w:right w:val="none" w:sz="0" w:space="0" w:color="auto"/>
      </w:divBdr>
    </w:div>
    <w:div w:id="2043707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yperlink" Target="https://wetten.overheid.nl/BWBR0033004/2025-11-07?g=2026-04-01&amp;z=2026-04-01" TargetMode="External" Id="rId12" /><Relationship Type="http://schemas.openxmlformats.org/officeDocument/2006/relationships/styles" Target="styles.xml" Id="rId6" /><Relationship Type="http://schemas.openxmlformats.org/officeDocument/2006/relationships/hyperlink" Target="https://wetten.overheid.nl/BWBR0033004/2025-11-07?g=2026-04-01&amp;z=2026-04-01"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6</ap:Pages>
  <ap:Words>2032</ap:Words>
  <ap:Characters>11182</ap:Characters>
  <ap:DocSecurity>0</ap:DocSecurity>
  <ap:Lines>93</ap:Lines>
  <ap:Paragraphs>26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13188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2026-04-15T09:46:00.0000000Z</lastPrinted>
  <dcterms:created xsi:type="dcterms:W3CDTF">2026-04-17T08:49:00.0000000Z</dcterms:created>
  <dcterms:modified xsi:type="dcterms:W3CDTF">2026-04-17T08:49:00.0000000Z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MediaServiceImageTags">
    <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_dlc_DocIdItemGuid">
    <vt:lpwstr>a4dcf612-1eb8-4c83-8332-220adb98c154</vt:lpwstr>
  </property>
  <property fmtid="{D5CDD505-2E9C-101B-9397-08002B2CF9AE}" pid="18" name="f8e003236e1c4ac2ab9051d5d8789bbb">
    <vt:lpwstr/>
  </property>
  <property fmtid="{D5CDD505-2E9C-101B-9397-08002B2CF9AE}" pid="19" name="BZClassification">
    <vt:lpwstr>4;#UNCLASSIFIED (U)|284e6a62-15ab-4017-be27-a1e965f4e940</vt:lpwstr>
  </property>
  <property fmtid="{D5CDD505-2E9C-101B-9397-08002B2CF9AE}" pid="20" name="p29721a54a5c4bbe9786e930fc91e270">
    <vt:lpwstr/>
  </property>
  <property fmtid="{D5CDD505-2E9C-101B-9397-08002B2CF9AE}" pid="21" name="BZDossierTemplate">
    <vt:lpwstr>Verzoek</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URL">
    <vt:lpwstr>https://247.plaza.buzaservices.nl/subject/PV-VZ2026022026/BZ2626970/GRT-Regering-BuZa-36915-V.docx, </vt:lpwstr>
  </property>
</Properties>
</file>