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C76AD8" w:rsidR="003D0E7A" w14:paraId="6E78E7B8" w14:textId="77777777">
      <w:pPr>
        <w:autoSpaceDE w:val="0"/>
        <w:autoSpaceDN w:val="0"/>
        <w:adjustRightInd w:val="0"/>
        <w:spacing w:before="0" w:after="0"/>
        <w:ind w:left="1416" w:hanging="1371"/>
        <w:rPr>
          <w:rFonts w:ascii="Verdana" w:hAnsi="Verdana"/>
          <w:b/>
          <w:bCs/>
          <w:sz w:val="22"/>
          <w:szCs w:val="22"/>
        </w:rPr>
      </w:pPr>
      <w:r w:rsidRPr="00C76AD8">
        <w:rPr>
          <w:rFonts w:ascii="Verdana" w:hAnsi="Verdana"/>
          <w:b/>
          <w:bCs/>
          <w:sz w:val="22"/>
          <w:szCs w:val="22"/>
        </w:rPr>
        <w:t>36915-VII</w:t>
      </w:r>
      <w:r w:rsidRPr="00C76AD8">
        <w:rPr>
          <w:rFonts w:ascii="Verdana" w:hAnsi="Verdana"/>
          <w:b/>
          <w:bCs/>
          <w:sz w:val="22"/>
          <w:szCs w:val="22"/>
        </w:rPr>
        <w:tab/>
        <w:t>Wijziging van de begrotingsstaten van het Ministerie van Binnenlandse Zaken en Koninkrijksrelaties (VII) voor het jaar 2026 (wijziging samenhangende met de Voorjaarsnota)</w:t>
      </w:r>
    </w:p>
    <w:p w:rsidRPr="00C76AD8" w:rsidR="003D0E7A" w14:paraId="2F5E7A00" w14:textId="77777777">
      <w:pPr>
        <w:autoSpaceDE w:val="0"/>
        <w:autoSpaceDN w:val="0"/>
        <w:adjustRightInd w:val="0"/>
        <w:spacing w:before="0" w:after="0"/>
        <w:ind w:left="1416" w:hanging="1371"/>
        <w:rPr>
          <w:rFonts w:ascii="Verdana" w:hAnsi="Verdana"/>
          <w:b/>
          <w:sz w:val="18"/>
          <w:szCs w:val="18"/>
        </w:rPr>
      </w:pPr>
    </w:p>
    <w:p w:rsidRPr="00C76AD8" w:rsidR="003D0E7A" w14:paraId="567B2B17" w14:textId="42C29C8F">
      <w:pPr>
        <w:rPr>
          <w:rFonts w:ascii="Verdana" w:hAnsi="Verdana"/>
          <w:b/>
          <w:bCs/>
          <w:sz w:val="18"/>
          <w:szCs w:val="18"/>
        </w:rPr>
      </w:pPr>
      <w:r w:rsidRPr="00C76AD8">
        <w:rPr>
          <w:rFonts w:ascii="Verdana" w:hAnsi="Verdana"/>
          <w:b/>
          <w:bCs/>
          <w:sz w:val="18"/>
          <w:szCs w:val="18"/>
        </w:rPr>
        <w:t xml:space="preserve">nr. </w:t>
      </w:r>
      <w:r w:rsidRPr="00C76AD8">
        <w:rPr>
          <w:rFonts w:ascii="Verdana" w:hAnsi="Verdana"/>
          <w:b/>
          <w:sz w:val="18"/>
          <w:szCs w:val="18"/>
        </w:rPr>
        <w:tab/>
      </w:r>
      <w:r w:rsidRPr="00C76AD8">
        <w:rPr>
          <w:rFonts w:ascii="Verdana" w:hAnsi="Verdana"/>
          <w:b/>
          <w:sz w:val="18"/>
          <w:szCs w:val="18"/>
        </w:rPr>
        <w:tab/>
      </w:r>
      <w:r w:rsidRPr="00C76AD8" w:rsidR="00266D47">
        <w:rPr>
          <w:rFonts w:ascii="Verdana" w:hAnsi="Verdana"/>
          <w:b/>
          <w:bCs/>
          <w:sz w:val="18"/>
          <w:szCs w:val="18"/>
        </w:rPr>
        <w:t>Verslag houdende een l</w:t>
      </w:r>
      <w:r w:rsidRPr="00C76AD8">
        <w:rPr>
          <w:rFonts w:ascii="Verdana" w:hAnsi="Verdana"/>
          <w:b/>
          <w:bCs/>
          <w:sz w:val="18"/>
          <w:szCs w:val="18"/>
        </w:rPr>
        <w:t>ijst van vragen</w:t>
      </w:r>
    </w:p>
    <w:p w:rsidRPr="00C76AD8" w:rsidR="00947386" w:rsidP="0087620B" w14:paraId="08503606" w14:textId="6BE8736A">
      <w:pPr>
        <w:rPr>
          <w:rFonts w:ascii="Verdana" w:hAnsi="Verdana"/>
          <w:sz w:val="18"/>
          <w:szCs w:val="18"/>
        </w:rPr>
      </w:pPr>
      <w:r w:rsidRPr="00C76AD8">
        <w:rPr>
          <w:rFonts w:ascii="Verdana" w:hAnsi="Verdana"/>
          <w:sz w:val="18"/>
          <w:szCs w:val="18"/>
        </w:rPr>
        <w:tab/>
      </w:r>
      <w:r w:rsidRPr="00C76AD8">
        <w:rPr>
          <w:rFonts w:ascii="Verdana" w:hAnsi="Verdana"/>
          <w:sz w:val="18"/>
          <w:szCs w:val="18"/>
        </w:rPr>
        <w:tab/>
      </w:r>
      <w:r w:rsidRPr="00C76AD8">
        <w:rPr>
          <w:rFonts w:ascii="Verdana" w:hAnsi="Verdana"/>
          <w:sz w:val="18"/>
          <w:szCs w:val="18"/>
        </w:rPr>
        <w:t>Vastgesteld </w:t>
      </w:r>
      <w:r w:rsidRPr="00C76AD8">
        <w:rPr>
          <w:rFonts w:ascii="Verdana" w:hAnsi="Verdana"/>
          <w:i/>
          <w:iCs/>
          <w:sz w:val="18"/>
          <w:szCs w:val="18"/>
        </w:rPr>
        <w:t>(wordt door griffie ingevuld als antwoorden er zijn)</w:t>
      </w:r>
      <w:r w:rsidRPr="00C76AD8">
        <w:rPr>
          <w:rFonts w:ascii="Verdana" w:hAnsi="Verdana"/>
          <w:sz w:val="18"/>
          <w:szCs w:val="18"/>
        </w:rPr>
        <w:t> </w:t>
      </w:r>
    </w:p>
    <w:p w:rsidRPr="00C76AD8" w:rsidR="0087620B" w:rsidP="00947386" w14:paraId="62001869" w14:textId="77777777">
      <w:pPr>
        <w:spacing w:before="0" w:after="0"/>
        <w:ind w:left="1440"/>
        <w:rPr>
          <w:rFonts w:ascii="Verdana" w:hAnsi="Verdana"/>
          <w:sz w:val="18"/>
          <w:szCs w:val="18"/>
        </w:rPr>
      </w:pPr>
    </w:p>
    <w:p w:rsidRPr="00C76AD8" w:rsidR="00947386" w:rsidP="00947386" w14:paraId="08353D5B" w14:textId="7B0BA7E0">
      <w:pPr>
        <w:spacing w:before="0" w:after="0"/>
        <w:ind w:left="1440"/>
        <w:rPr>
          <w:rFonts w:ascii="Verdana" w:hAnsi="Verdana"/>
          <w:sz w:val="18"/>
          <w:szCs w:val="18"/>
        </w:rPr>
      </w:pPr>
      <w:r w:rsidRPr="00C76AD8">
        <w:rPr>
          <w:rFonts w:ascii="Verdana" w:hAnsi="Verdana"/>
          <w:sz w:val="18"/>
          <w:szCs w:val="18"/>
        </w:rPr>
        <w:t>De vaste commissie voor Binnenlandse Zaken, belast met het voorbereidend onderzoek van het wetsvoorstel inzake de Wijziging van de begrotingsstaten van het Ministerie van Binnenlandse Zaken en Koninkrijksrelaties (VII) voor het jaar 2026 (wijziging samenhangende met de Voorjaarsnota), heeft de eer als volgt verslag uit te brengen van haar bevindingen in de vorm van een lijst van vragen. </w:t>
      </w:r>
    </w:p>
    <w:p w:rsidRPr="00C76AD8" w:rsidR="00947386" w:rsidP="00947386" w14:paraId="7D7F6FDF" w14:textId="77777777">
      <w:pPr>
        <w:spacing w:before="0" w:after="0"/>
        <w:rPr>
          <w:rFonts w:ascii="Verdana" w:hAnsi="Verdana"/>
          <w:sz w:val="18"/>
          <w:szCs w:val="18"/>
        </w:rPr>
      </w:pPr>
      <w:r w:rsidRPr="00C76AD8">
        <w:rPr>
          <w:rFonts w:ascii="Verdana" w:hAnsi="Verdana"/>
          <w:sz w:val="18"/>
          <w:szCs w:val="18"/>
        </w:rPr>
        <w:t> </w:t>
      </w:r>
    </w:p>
    <w:p w:rsidRPr="00C76AD8" w:rsidR="00947386" w:rsidP="00947386" w14:paraId="1CF3B779" w14:textId="10B4B0CF">
      <w:pPr>
        <w:spacing w:before="0" w:after="0"/>
        <w:ind w:left="1412" w:firstLine="11"/>
        <w:rPr>
          <w:rFonts w:ascii="Verdana" w:hAnsi="Verdana"/>
          <w:sz w:val="18"/>
          <w:szCs w:val="18"/>
        </w:rPr>
      </w:pPr>
      <w:r w:rsidRPr="00C76AD8">
        <w:rPr>
          <w:rFonts w:ascii="Verdana" w:hAnsi="Verdana"/>
          <w:sz w:val="18"/>
          <w:szCs w:val="18"/>
        </w:rPr>
        <w:t>Onder het voorbehoud dat de regering op de gestelde vra</w:t>
      </w:r>
      <w:r w:rsidRPr="00C76AD8" w:rsidR="001660B7">
        <w:rPr>
          <w:rFonts w:ascii="Verdana" w:hAnsi="Verdana"/>
          <w:sz w:val="18"/>
          <w:szCs w:val="18"/>
        </w:rPr>
        <w:t>gen</w:t>
      </w:r>
      <w:r w:rsidRPr="00C76AD8">
        <w:rPr>
          <w:rFonts w:ascii="Verdana" w:hAnsi="Verdana"/>
          <w:sz w:val="18"/>
          <w:szCs w:val="18"/>
        </w:rPr>
        <w:t xml:space="preserve"> afdoende zal hebben geantwoord, acht de commissie de openbare behandeling van dit wetsvoorstel voldoende voorbereid</w:t>
      </w:r>
      <w:r w:rsidRPr="00C76AD8" w:rsidR="001660B7">
        <w:rPr>
          <w:rFonts w:ascii="Verdana" w:hAnsi="Verdana"/>
          <w:sz w:val="18"/>
          <w:szCs w:val="18"/>
        </w:rPr>
        <w:t>.</w:t>
      </w:r>
    </w:p>
    <w:p w:rsidRPr="00C76AD8" w:rsidR="003D0E7A" w14:paraId="70B8D1FB" w14:textId="77777777">
      <w:pPr>
        <w:spacing w:before="0" w:after="0"/>
        <w:rPr>
          <w:rFonts w:ascii="Verdana" w:hAnsi="Verdana"/>
          <w:sz w:val="18"/>
          <w:szCs w:val="18"/>
        </w:rPr>
      </w:pPr>
    </w:p>
    <w:p w:rsidRPr="00C76AD8" w:rsidR="003D0E7A" w14:paraId="7D5C7EB2" w14:textId="77777777">
      <w:pPr>
        <w:spacing w:before="0" w:after="0"/>
        <w:ind w:left="703" w:firstLine="709"/>
        <w:rPr>
          <w:rFonts w:ascii="Verdana" w:hAnsi="Verdana"/>
          <w:sz w:val="18"/>
          <w:szCs w:val="18"/>
        </w:rPr>
      </w:pPr>
      <w:r w:rsidRPr="00C76AD8">
        <w:rPr>
          <w:rFonts w:ascii="Verdana" w:hAnsi="Verdana"/>
          <w:sz w:val="18"/>
          <w:szCs w:val="18"/>
        </w:rPr>
        <w:t xml:space="preserve">Voorzitter van de commissie, </w:t>
      </w:r>
    </w:p>
    <w:p w:rsidRPr="00C76AD8" w:rsidR="003D0E7A" w14:paraId="60755DE3" w14:textId="72A9B033">
      <w:pPr>
        <w:spacing w:before="0" w:after="0"/>
        <w:rPr>
          <w:rFonts w:ascii="Verdana" w:hAnsi="Verdana"/>
          <w:sz w:val="18"/>
          <w:szCs w:val="18"/>
        </w:rPr>
      </w:pPr>
      <w:r w:rsidRPr="00C76AD8">
        <w:rPr>
          <w:rFonts w:ascii="Verdana" w:hAnsi="Verdana"/>
          <w:sz w:val="18"/>
          <w:szCs w:val="18"/>
        </w:rPr>
        <w:tab/>
      </w:r>
      <w:r w:rsidRPr="00C76AD8">
        <w:rPr>
          <w:rFonts w:ascii="Verdana" w:hAnsi="Verdana"/>
          <w:sz w:val="18"/>
          <w:szCs w:val="18"/>
        </w:rPr>
        <w:tab/>
      </w:r>
      <w:r w:rsidRPr="00C76AD8" w:rsidR="00947386">
        <w:rPr>
          <w:rFonts w:ascii="Verdana" w:hAnsi="Verdana"/>
          <w:sz w:val="18"/>
          <w:szCs w:val="18"/>
        </w:rPr>
        <w:t>Kisteman</w:t>
      </w:r>
    </w:p>
    <w:p w:rsidRPr="00C76AD8" w:rsidR="003D0E7A" w14:paraId="119FA49C" w14:textId="77777777">
      <w:pPr>
        <w:spacing w:before="0" w:after="0"/>
        <w:rPr>
          <w:rFonts w:ascii="Verdana" w:hAnsi="Verdana"/>
          <w:sz w:val="18"/>
          <w:szCs w:val="18"/>
        </w:rPr>
      </w:pPr>
      <w:r w:rsidRPr="00C76AD8">
        <w:rPr>
          <w:rFonts w:ascii="Verdana" w:hAnsi="Verdana"/>
          <w:sz w:val="18"/>
          <w:szCs w:val="18"/>
        </w:rPr>
        <w:tab/>
      </w:r>
      <w:r w:rsidRPr="00C76AD8">
        <w:rPr>
          <w:rFonts w:ascii="Verdana" w:hAnsi="Verdana"/>
          <w:sz w:val="18"/>
          <w:szCs w:val="18"/>
        </w:rPr>
        <w:tab/>
      </w:r>
    </w:p>
    <w:p w:rsidRPr="00C76AD8" w:rsidR="003D0E7A" w14:paraId="347AB1AA" w14:textId="77777777">
      <w:pPr>
        <w:spacing w:before="0" w:after="0"/>
        <w:rPr>
          <w:rFonts w:ascii="Verdana" w:hAnsi="Verdana"/>
          <w:sz w:val="18"/>
          <w:szCs w:val="18"/>
        </w:rPr>
      </w:pPr>
      <w:r w:rsidRPr="00C76AD8">
        <w:rPr>
          <w:rFonts w:ascii="Verdana" w:hAnsi="Verdana"/>
          <w:sz w:val="18"/>
          <w:szCs w:val="18"/>
        </w:rPr>
        <w:tab/>
      </w:r>
      <w:r w:rsidRPr="00C76AD8">
        <w:rPr>
          <w:rFonts w:ascii="Verdana" w:hAnsi="Verdana"/>
          <w:sz w:val="18"/>
          <w:szCs w:val="18"/>
        </w:rPr>
        <w:tab/>
        <w:t>Griffier van de commissie,</w:t>
      </w:r>
    </w:p>
    <w:p w:rsidRPr="00C76AD8" w:rsidR="003D0E7A" w14:paraId="61FE9B0D" w14:textId="62D046E3">
      <w:pPr>
        <w:spacing w:before="0" w:after="0"/>
        <w:rPr>
          <w:rFonts w:ascii="Verdana" w:hAnsi="Verdana"/>
          <w:sz w:val="18"/>
          <w:szCs w:val="18"/>
        </w:rPr>
      </w:pPr>
      <w:r w:rsidRPr="00C76AD8">
        <w:rPr>
          <w:rFonts w:ascii="Verdana" w:hAnsi="Verdana"/>
          <w:sz w:val="18"/>
          <w:szCs w:val="18"/>
        </w:rPr>
        <w:tab/>
      </w:r>
      <w:r w:rsidRPr="00C76AD8">
        <w:rPr>
          <w:rFonts w:ascii="Verdana" w:hAnsi="Verdana"/>
          <w:sz w:val="18"/>
          <w:szCs w:val="18"/>
        </w:rPr>
        <w:tab/>
      </w:r>
      <w:r w:rsidRPr="00C76AD8" w:rsidR="00947386">
        <w:rPr>
          <w:rFonts w:ascii="Verdana" w:hAnsi="Verdana"/>
          <w:sz w:val="18"/>
          <w:szCs w:val="18"/>
        </w:rPr>
        <w:t>Honsbeek</w:t>
      </w:r>
    </w:p>
    <w:p w:rsidRPr="00C76AD8" w:rsidR="00485D1F" w14:paraId="7F8F28D2" w14:textId="67B55D2C">
      <w:pPr>
        <w:spacing w:before="0" w:after="0"/>
        <w:rPr>
          <w:sz w:val="18"/>
          <w:szCs w:val="18"/>
        </w:rPr>
      </w:pPr>
      <w:r w:rsidRPr="00C76AD8">
        <w:rPr>
          <w:sz w:val="18"/>
          <w:szCs w:val="18"/>
        </w:rPr>
        <w:br w:type="page"/>
      </w:r>
    </w:p>
    <w:p w:rsidRPr="009320BE" w:rsidR="003D0E7A" w14:paraId="33C44550" w14:textId="77777777"/>
    <w:tbl>
      <w:tblPr>
        <w:tblW w:w="8647" w:type="dxa"/>
        <w:tblLayout w:type="fixed"/>
        <w:tblCellMar>
          <w:left w:w="0" w:type="dxa"/>
          <w:right w:w="0" w:type="dxa"/>
        </w:tblCellMar>
        <w:tblLook w:val="0000"/>
      </w:tblPr>
      <w:tblGrid>
        <w:gridCol w:w="8647"/>
      </w:tblGrid>
      <w:tr w:rsidTr="00332F44" w14:paraId="5F6B1A97" w14:textId="77777777">
        <w:tblPrEx>
          <w:tblW w:w="8647" w:type="dxa"/>
          <w:tblLayout w:type="fixed"/>
          <w:tblCellMar>
            <w:left w:w="0" w:type="dxa"/>
            <w:right w:w="0" w:type="dxa"/>
          </w:tblCellMar>
          <w:tblLook w:val="0000"/>
        </w:tblPrEx>
        <w:tc>
          <w:tcPr>
            <w:tcW w:w="8647" w:type="dxa"/>
          </w:tcPr>
          <w:p w:rsidRPr="00332F44" w:rsidR="00332F44" w:rsidP="00332F44" w14:paraId="56394CDC" w14:textId="31212DE3">
            <w:pPr>
              <w:spacing w:line="276" w:lineRule="auto"/>
              <w:rPr>
                <w:rFonts w:ascii="Verdana" w:hAnsi="Verdana"/>
                <w:b/>
                <w:bCs/>
                <w:sz w:val="18"/>
                <w:szCs w:val="18"/>
              </w:rPr>
            </w:pPr>
            <w:bookmarkStart w:name="bmkStartTabel" w:id="0"/>
            <w:bookmarkEnd w:id="0"/>
            <w:r w:rsidRPr="00332F44">
              <w:rPr>
                <w:rFonts w:ascii="Verdana" w:hAnsi="Verdana"/>
                <w:b/>
                <w:bCs/>
                <w:sz w:val="18"/>
                <w:szCs w:val="18"/>
              </w:rPr>
              <w:t xml:space="preserve">Vraag 1 </w:t>
            </w:r>
          </w:p>
          <w:p w:rsidRPr="00332F44" w:rsidR="00332F44" w:rsidP="00332F44" w14:paraId="07ED5542" w14:textId="2FCFE963">
            <w:pPr>
              <w:spacing w:line="276" w:lineRule="auto"/>
              <w:rPr>
                <w:rFonts w:ascii="Verdana" w:hAnsi="Verdana"/>
                <w:sz w:val="18"/>
                <w:szCs w:val="18"/>
              </w:rPr>
            </w:pPr>
            <w:r w:rsidRPr="00332F44">
              <w:rPr>
                <w:rFonts w:ascii="Verdana" w:hAnsi="Verdana"/>
                <w:sz w:val="18"/>
                <w:szCs w:val="18"/>
              </w:rPr>
              <w:t>Kunt u een overzicht geven van de subsidies die vanuit het ministerie van Binnenlandse Zaken en Koninkrijksrelaties (BZK) worden verstrekt, met daarbij per subsidie het bedrag en het doel?</w:t>
            </w:r>
          </w:p>
          <w:p w:rsidRPr="00332F44" w:rsidR="00332F44" w:rsidP="00332F44" w14:paraId="26F5C169" w14:textId="77777777">
            <w:pPr>
              <w:spacing w:line="276" w:lineRule="auto"/>
              <w:rPr>
                <w:rFonts w:ascii="Verdana" w:hAnsi="Verdana"/>
                <w:sz w:val="18"/>
                <w:szCs w:val="18"/>
              </w:rPr>
            </w:pPr>
          </w:p>
          <w:p w:rsidRPr="00332F44" w:rsidR="00332F44" w:rsidP="00332F44" w14:paraId="52A27034" w14:textId="5BBADAFC">
            <w:pPr>
              <w:spacing w:line="276" w:lineRule="auto"/>
              <w:rPr>
                <w:rFonts w:ascii="Verdana" w:hAnsi="Verdana"/>
                <w:i/>
                <w:iCs/>
                <w:sz w:val="18"/>
                <w:szCs w:val="18"/>
              </w:rPr>
            </w:pPr>
            <w:r w:rsidRPr="00332F44">
              <w:rPr>
                <w:rFonts w:ascii="Verdana" w:hAnsi="Verdana"/>
                <w:i/>
                <w:iCs/>
                <w:sz w:val="18"/>
                <w:szCs w:val="18"/>
              </w:rPr>
              <w:t xml:space="preserve">Dit overzicht is terug te vinden als bijlage bij de ontwerpbegroting 2026 van BZK (Kamerstukken II, 2025/2026, 36 800 VII, nr. 2, p.146-148). Jaarlijks wordt als bijlage bij de ontwerpbegrotingen een subsidieoverzicht opgenomen, zoals voorgeschreven in de Rijksbegrotingsvoorschriften. Deze bijlage geeft een overzicht van alle subsidies die vanuit de begroting van BZK (VII) worden verstrekt, inclusief de bedragen. Een nieuw overzicht zal bij de ontwerpbegroting 2027 gepresenteerd worden. </w:t>
            </w:r>
          </w:p>
          <w:p w:rsidRPr="00332F44" w:rsidR="00332F44" w:rsidP="00332F44" w14:paraId="2F17DEC1" w14:textId="77777777">
            <w:pPr>
              <w:spacing w:line="276" w:lineRule="auto"/>
              <w:rPr>
                <w:rFonts w:ascii="Verdana" w:hAnsi="Verdana"/>
                <w:i/>
                <w:iCs/>
                <w:sz w:val="18"/>
                <w:szCs w:val="18"/>
              </w:rPr>
            </w:pPr>
          </w:p>
          <w:p w:rsidRPr="00332F44" w:rsidR="00332F44" w:rsidP="00332F44" w14:paraId="7E7E4465" w14:textId="389482B7">
            <w:pPr>
              <w:spacing w:line="276" w:lineRule="auto"/>
              <w:rPr>
                <w:rFonts w:ascii="Verdana" w:hAnsi="Verdana"/>
                <w:i/>
                <w:iCs/>
                <w:sz w:val="18"/>
                <w:szCs w:val="18"/>
              </w:rPr>
            </w:pPr>
            <w:r w:rsidRPr="00332F44">
              <w:rPr>
                <w:rFonts w:ascii="Verdana" w:hAnsi="Verdana"/>
                <w:i/>
                <w:iCs/>
                <w:sz w:val="18"/>
                <w:szCs w:val="18"/>
              </w:rPr>
              <w:t xml:space="preserve">In het subsidieoverzicht zijn verwijzingen opgenomen naar de onderliggende subsidieregelingen of de begrotingsartikelen waaruit de subsidies worden verstrekt. Voor verdere toelichtingen op de subsidies verwijs ik naar de begrotingsartikelen van de ontwerpbegroting 2026 van BZK (VII). </w:t>
            </w:r>
          </w:p>
          <w:p w:rsidRPr="00332F44" w:rsidR="00332F44" w:rsidP="00332F44" w14:paraId="3EAF1C3A" w14:textId="0B7877EC">
            <w:pPr>
              <w:spacing w:line="276" w:lineRule="auto"/>
              <w:rPr>
                <w:rFonts w:ascii="Verdana" w:hAnsi="Verdana"/>
                <w:sz w:val="18"/>
                <w:szCs w:val="18"/>
              </w:rPr>
            </w:pPr>
          </w:p>
        </w:tc>
      </w:tr>
      <w:tr w:rsidTr="00332F44" w14:paraId="1BD95B38" w14:textId="77777777">
        <w:tblPrEx>
          <w:tblW w:w="8647" w:type="dxa"/>
          <w:tblLayout w:type="fixed"/>
          <w:tblCellMar>
            <w:left w:w="0" w:type="dxa"/>
            <w:right w:w="0" w:type="dxa"/>
          </w:tblCellMar>
          <w:tblLook w:val="0000"/>
        </w:tblPrEx>
        <w:tc>
          <w:tcPr>
            <w:tcW w:w="8647" w:type="dxa"/>
          </w:tcPr>
          <w:p w:rsidRPr="00332F44" w:rsidR="00332F44" w:rsidP="00332F44" w14:paraId="153E72AA" w14:textId="3AB9E666">
            <w:pPr>
              <w:spacing w:line="276" w:lineRule="auto"/>
              <w:rPr>
                <w:rFonts w:ascii="Verdana" w:hAnsi="Verdana"/>
                <w:b/>
                <w:bCs/>
                <w:sz w:val="18"/>
                <w:szCs w:val="18"/>
              </w:rPr>
            </w:pPr>
            <w:r w:rsidRPr="00332F44">
              <w:rPr>
                <w:rFonts w:ascii="Verdana" w:hAnsi="Verdana"/>
                <w:b/>
                <w:bCs/>
                <w:sz w:val="18"/>
                <w:szCs w:val="18"/>
              </w:rPr>
              <w:t>Vraag 2</w:t>
            </w:r>
          </w:p>
          <w:p w:rsidRPr="00332F44" w:rsidR="00332F44" w:rsidP="00332F44" w14:paraId="71BA5FCB" w14:textId="60EA3D4C">
            <w:pPr>
              <w:spacing w:line="276" w:lineRule="auto"/>
              <w:rPr>
                <w:rFonts w:ascii="Verdana" w:hAnsi="Verdana"/>
                <w:sz w:val="18"/>
                <w:szCs w:val="18"/>
              </w:rPr>
            </w:pPr>
            <w:r w:rsidRPr="00332F44">
              <w:rPr>
                <w:rFonts w:ascii="Verdana" w:hAnsi="Verdana"/>
                <w:sz w:val="18"/>
                <w:szCs w:val="18"/>
              </w:rPr>
              <w:t>Kunt u aangeven hoe de voorgenomen taakstelling op de subsidies ingericht zal worden?</w:t>
            </w:r>
          </w:p>
          <w:p w:rsidRPr="00332F44" w:rsidR="00332F44" w:rsidP="00332F44" w14:paraId="3022B418" w14:textId="77777777">
            <w:pPr>
              <w:spacing w:line="276" w:lineRule="auto"/>
              <w:rPr>
                <w:rFonts w:ascii="Verdana" w:hAnsi="Verdana"/>
                <w:sz w:val="18"/>
                <w:szCs w:val="18"/>
              </w:rPr>
            </w:pPr>
          </w:p>
          <w:p w:rsidRPr="00332F44" w:rsidR="00332F44" w:rsidP="00332F44" w14:paraId="42BA0E69" w14:textId="684D17AB">
            <w:pPr>
              <w:spacing w:after="0" w:line="276" w:lineRule="auto"/>
              <w:rPr>
                <w:rFonts w:ascii="Verdana" w:hAnsi="Verdana"/>
                <w:i/>
                <w:iCs/>
                <w:sz w:val="18"/>
                <w:szCs w:val="18"/>
              </w:rPr>
            </w:pPr>
            <w:r w:rsidRPr="00332F44">
              <w:rPr>
                <w:rFonts w:ascii="Verdana" w:hAnsi="Verdana"/>
                <w:i/>
                <w:iCs/>
                <w:sz w:val="18"/>
                <w:szCs w:val="18"/>
              </w:rPr>
              <w:t xml:space="preserve">In het coalitieakkoord is opgenomen dat de subsidiebudgetten bij alle departementen structureel worden verlaagd met € 189 mln. Deze taakstelling is naar rato van de </w:t>
            </w:r>
            <w:r w:rsidRPr="00332F44">
              <w:rPr>
                <w:rFonts w:ascii="Verdana" w:hAnsi="Verdana"/>
                <w:i/>
                <w:iCs/>
                <w:sz w:val="18"/>
                <w:szCs w:val="18"/>
              </w:rPr>
              <w:t>subsidieuitgaven</w:t>
            </w:r>
            <w:r w:rsidRPr="00332F44">
              <w:rPr>
                <w:rFonts w:ascii="Verdana" w:hAnsi="Verdana"/>
                <w:i/>
                <w:iCs/>
                <w:sz w:val="18"/>
                <w:szCs w:val="18"/>
              </w:rPr>
              <w:t xml:space="preserve"> per departement verdeeld</w:t>
            </w:r>
            <w:r w:rsidRPr="00332F44">
              <w:rPr>
                <w:rFonts w:ascii="Verdana" w:hAnsi="Verdana"/>
                <w:i/>
                <w:iCs/>
                <w:sz w:val="18"/>
                <w:szCs w:val="18"/>
              </w:rPr>
              <w:t>. H</w:t>
            </w:r>
            <w:r w:rsidRPr="00332F44">
              <w:rPr>
                <w:rFonts w:ascii="Verdana" w:hAnsi="Verdana"/>
                <w:i/>
                <w:iCs/>
                <w:sz w:val="18"/>
                <w:szCs w:val="18"/>
              </w:rPr>
              <w:t xml:space="preserve">ierop zijn geen uitzonderingen gemaakt. Voor de subsidietaakstelling is de grondslag 2030 gehanteerd uit de ontwerpbegroting 2026 voor alle jaren. Het aandeel voor de begroting van BZK bedraagt € 1,473 mln. vanaf 2027 (circa 1% van de </w:t>
            </w:r>
            <w:r w:rsidRPr="00332F44">
              <w:rPr>
                <w:rFonts w:ascii="Verdana" w:hAnsi="Verdana"/>
                <w:i/>
                <w:iCs/>
                <w:sz w:val="18"/>
                <w:szCs w:val="18"/>
              </w:rPr>
              <w:t>subsidieuitgaven</w:t>
            </w:r>
            <w:r w:rsidRPr="00332F44">
              <w:rPr>
                <w:rFonts w:ascii="Verdana" w:hAnsi="Verdana"/>
                <w:i/>
                <w:iCs/>
                <w:sz w:val="18"/>
                <w:szCs w:val="18"/>
              </w:rPr>
              <w:t xml:space="preserve"> op begrotingshoofdstuk VII (BZK)).</w:t>
            </w:r>
          </w:p>
          <w:p w:rsidRPr="00332F44" w:rsidR="00332F44" w:rsidP="00332F44" w14:paraId="233023A2" w14:textId="77777777">
            <w:pPr>
              <w:spacing w:line="276" w:lineRule="auto"/>
              <w:rPr>
                <w:rFonts w:ascii="Verdana" w:hAnsi="Verdana"/>
                <w:sz w:val="18"/>
                <w:szCs w:val="18"/>
              </w:rPr>
            </w:pPr>
          </w:p>
        </w:tc>
      </w:tr>
      <w:tr w:rsidTr="00332F44" w14:paraId="5FF18C7C" w14:textId="77777777">
        <w:tblPrEx>
          <w:tblW w:w="8647" w:type="dxa"/>
          <w:tblLayout w:type="fixed"/>
          <w:tblCellMar>
            <w:left w:w="0" w:type="dxa"/>
            <w:right w:w="0" w:type="dxa"/>
          </w:tblCellMar>
          <w:tblLook w:val="0000"/>
        </w:tblPrEx>
        <w:tc>
          <w:tcPr>
            <w:tcW w:w="8647" w:type="dxa"/>
          </w:tcPr>
          <w:p w:rsidRPr="00332F44" w:rsidR="00332F44" w:rsidP="00332F44" w14:paraId="1695EE99" w14:textId="166045AA">
            <w:pPr>
              <w:spacing w:line="276" w:lineRule="auto"/>
              <w:rPr>
                <w:rFonts w:ascii="Verdana" w:hAnsi="Verdana"/>
                <w:b/>
                <w:bCs/>
                <w:sz w:val="18"/>
                <w:szCs w:val="18"/>
              </w:rPr>
            </w:pPr>
            <w:r w:rsidRPr="00332F44">
              <w:rPr>
                <w:rFonts w:ascii="Verdana" w:hAnsi="Verdana"/>
                <w:b/>
                <w:bCs/>
                <w:sz w:val="18"/>
                <w:szCs w:val="18"/>
              </w:rPr>
              <w:t>Vraag 3</w:t>
            </w:r>
          </w:p>
          <w:p w:rsidRPr="00332F44" w:rsidR="00332F44" w:rsidP="00332F44" w14:paraId="1BB93724" w14:textId="08C8B35F">
            <w:pPr>
              <w:spacing w:line="276" w:lineRule="auto"/>
              <w:rPr>
                <w:rFonts w:ascii="Verdana" w:hAnsi="Verdana"/>
                <w:sz w:val="18"/>
                <w:szCs w:val="18"/>
              </w:rPr>
            </w:pPr>
            <w:r w:rsidRPr="00332F44">
              <w:rPr>
                <w:rFonts w:ascii="Verdana" w:hAnsi="Verdana"/>
                <w:sz w:val="18"/>
                <w:szCs w:val="18"/>
              </w:rPr>
              <w:t>Hoeveel ambtenaren in lage loonschalen (schaal 1 t/m 6) werken voor het Rijk, zowel op de departementen als in de uitvoeringsorganisaties?</w:t>
            </w:r>
          </w:p>
          <w:p w:rsidRPr="00332F44" w:rsidR="00332F44" w:rsidP="00332F44" w14:paraId="2E59DD15" w14:textId="77777777">
            <w:pPr>
              <w:spacing w:line="276" w:lineRule="auto"/>
              <w:rPr>
                <w:rFonts w:ascii="Verdana" w:hAnsi="Verdana"/>
                <w:sz w:val="18"/>
                <w:szCs w:val="18"/>
              </w:rPr>
            </w:pPr>
          </w:p>
          <w:p w:rsidRPr="00332F44" w:rsidR="00332F44" w:rsidP="00332F44" w14:paraId="228A5AFF" w14:textId="7987F0A2">
            <w:pPr>
              <w:spacing w:line="276" w:lineRule="auto"/>
              <w:rPr>
                <w:rFonts w:ascii="Verdana" w:hAnsi="Verdana"/>
                <w:i/>
                <w:iCs/>
                <w:sz w:val="18"/>
                <w:szCs w:val="18"/>
              </w:rPr>
            </w:pPr>
            <w:r w:rsidRPr="00332F44">
              <w:rPr>
                <w:rFonts w:ascii="Verdana" w:hAnsi="Verdana"/>
                <w:i/>
                <w:iCs/>
                <w:sz w:val="18"/>
                <w:szCs w:val="18"/>
              </w:rPr>
              <w:t>Ultimo 2025 werkte er in salarisschaal 1t/m 6 bij het Rijk 23.461 fte (26.058 medewerkers). O.b.v. het aantal fte betreft dat 14,7%.</w:t>
            </w:r>
          </w:p>
          <w:p w:rsidRPr="00332F44" w:rsidR="00332F44" w:rsidP="00332F44" w14:paraId="52E8407B" w14:textId="24CCBBC3">
            <w:pPr>
              <w:spacing w:line="276" w:lineRule="auto"/>
              <w:rPr>
                <w:rFonts w:ascii="Verdana" w:hAnsi="Verdana"/>
                <w:sz w:val="18"/>
                <w:szCs w:val="18"/>
              </w:rPr>
            </w:pPr>
          </w:p>
        </w:tc>
      </w:tr>
      <w:tr w:rsidTr="00332F44" w14:paraId="1482374A" w14:textId="77777777">
        <w:tblPrEx>
          <w:tblW w:w="8647" w:type="dxa"/>
          <w:tblLayout w:type="fixed"/>
          <w:tblCellMar>
            <w:left w:w="0" w:type="dxa"/>
            <w:right w:w="0" w:type="dxa"/>
          </w:tblCellMar>
          <w:tblLook w:val="0000"/>
        </w:tblPrEx>
        <w:tc>
          <w:tcPr>
            <w:tcW w:w="8647" w:type="dxa"/>
          </w:tcPr>
          <w:p w:rsidRPr="00332F44" w:rsidR="00332F44" w:rsidP="00332F44" w14:paraId="46148855" w14:textId="38B88F6B">
            <w:pPr>
              <w:spacing w:line="276" w:lineRule="auto"/>
              <w:rPr>
                <w:rFonts w:ascii="Verdana" w:hAnsi="Verdana"/>
                <w:b/>
                <w:bCs/>
                <w:sz w:val="18"/>
                <w:szCs w:val="18"/>
              </w:rPr>
            </w:pPr>
            <w:r w:rsidRPr="00332F44">
              <w:rPr>
                <w:rFonts w:ascii="Verdana" w:hAnsi="Verdana"/>
                <w:b/>
                <w:bCs/>
                <w:sz w:val="18"/>
                <w:szCs w:val="18"/>
              </w:rPr>
              <w:t>Vraag 4</w:t>
            </w:r>
          </w:p>
          <w:p w:rsidRPr="00332F44" w:rsidR="00332F44" w:rsidP="00332F44" w14:paraId="799A59F0" w14:textId="065D5863">
            <w:pPr>
              <w:spacing w:line="276" w:lineRule="auto"/>
              <w:rPr>
                <w:rFonts w:ascii="Verdana" w:hAnsi="Verdana"/>
                <w:sz w:val="18"/>
                <w:szCs w:val="18"/>
              </w:rPr>
            </w:pPr>
            <w:r w:rsidRPr="00332F44">
              <w:rPr>
                <w:rFonts w:ascii="Verdana" w:hAnsi="Verdana"/>
                <w:sz w:val="18"/>
                <w:szCs w:val="18"/>
              </w:rPr>
              <w:t>In welke loonschalen vallen ambtenaren die werken in de ICT binnen het ministerie van BZK? Hoeveel ambtenaren betreft dit? Wat is de huidige en verwachte personeelskrapte binnen deze functies?</w:t>
            </w:r>
          </w:p>
          <w:p w:rsidRPr="00332F44" w:rsidR="00332F44" w:rsidP="00332F44" w14:paraId="150CEEBC" w14:textId="77777777">
            <w:pPr>
              <w:spacing w:line="276" w:lineRule="auto"/>
              <w:rPr>
                <w:rFonts w:ascii="Verdana" w:hAnsi="Verdana"/>
                <w:sz w:val="18"/>
                <w:szCs w:val="18"/>
              </w:rPr>
            </w:pPr>
          </w:p>
          <w:p w:rsidRPr="00332F44" w:rsidR="00332F44" w:rsidP="00332F44" w14:paraId="5B078CDD" w14:textId="329A6558">
            <w:pPr>
              <w:spacing w:line="276" w:lineRule="auto"/>
              <w:rPr>
                <w:rFonts w:ascii="Verdana" w:hAnsi="Verdana"/>
                <w:sz w:val="18"/>
                <w:szCs w:val="18"/>
              </w:rPr>
            </w:pPr>
            <w:r w:rsidRPr="006F068D">
              <w:rPr>
                <w:rFonts w:ascii="Verdana" w:hAnsi="Verdana"/>
                <w:i/>
                <w:iCs/>
                <w:sz w:val="18"/>
                <w:szCs w:val="18"/>
              </w:rPr>
              <w:t xml:space="preserve">Bij het ministerie van BZK werken zo’n 2.500 ambtenaren in de ICT. Hun werkterrein is zeer divers. Zo kent het ministerie meer dan 60 verschillende ICT-rollen. Deze diversiteit vertaalt zich ook in een brede range van loonschalen, namelijk van schaal 4 tot en met schaal 16. De vraag naar ICT’ers binnen het ministerie van BZK en het aanbod op de arbeidsmarkt worden beïnvloed door diverse ontwikkelingen en beleidskeuzes, die zowel de krapte versterken als de krapte verminderen. Enerzijds zullen digitalisering, innovatie en de noodzaak van een slagvaardige digitale overheid zoals omschreven in het </w:t>
            </w:r>
            <w:r w:rsidRPr="006F068D" w:rsidR="00A90304">
              <w:rPr>
                <w:rFonts w:ascii="Verdana" w:hAnsi="Verdana"/>
                <w:i/>
                <w:iCs/>
                <w:sz w:val="18"/>
                <w:szCs w:val="18"/>
              </w:rPr>
              <w:t>coalitie</w:t>
            </w:r>
            <w:r w:rsidRPr="006F068D">
              <w:rPr>
                <w:rFonts w:ascii="Verdana" w:hAnsi="Verdana"/>
                <w:i/>
                <w:iCs/>
                <w:sz w:val="18"/>
                <w:szCs w:val="18"/>
              </w:rPr>
              <w:t>akkoord de vraag naar gespecialiseerd hoogopgeleid ICT-personeel vergroten. Ook de afbouw van externe inhuur, vergrijzing en uitstroom van ICT’ers leiden tot een verwachte toename van de behoefte aan</w:t>
            </w:r>
            <w:r w:rsidRPr="00332F44">
              <w:rPr>
                <w:rFonts w:ascii="Verdana" w:hAnsi="Verdana"/>
                <w:sz w:val="18"/>
                <w:szCs w:val="18"/>
              </w:rPr>
              <w:t xml:space="preserve"> </w:t>
            </w:r>
            <w:r w:rsidRPr="006F068D">
              <w:rPr>
                <w:rFonts w:ascii="Verdana" w:hAnsi="Verdana"/>
                <w:i/>
                <w:iCs/>
                <w:sz w:val="18"/>
                <w:szCs w:val="18"/>
              </w:rPr>
              <w:t xml:space="preserve">ICT-personeel. </w:t>
            </w:r>
            <w:r w:rsidRPr="006F068D" w:rsidR="00A90304">
              <w:rPr>
                <w:rFonts w:ascii="Verdana" w:hAnsi="Verdana"/>
                <w:i/>
                <w:iCs/>
                <w:sz w:val="18"/>
                <w:szCs w:val="18"/>
              </w:rPr>
              <w:t xml:space="preserve">Het kabinet heeft daarom in het coalitieakkoord afgesproken om de technische capaciteit van de overheid te versterken door een concurrerend </w:t>
            </w:r>
            <w:r w:rsidRPr="006F068D" w:rsidR="00A90304">
              <w:rPr>
                <w:rFonts w:ascii="Verdana" w:hAnsi="Verdana"/>
                <w:i/>
                <w:iCs/>
                <w:sz w:val="18"/>
                <w:szCs w:val="18"/>
              </w:rPr>
              <w:t>salarispad</w:t>
            </w:r>
            <w:r w:rsidRPr="006F068D" w:rsidR="00A90304">
              <w:rPr>
                <w:rFonts w:ascii="Verdana" w:hAnsi="Verdana"/>
                <w:i/>
                <w:iCs/>
                <w:sz w:val="18"/>
                <w:szCs w:val="18"/>
              </w:rPr>
              <w:t xml:space="preserve"> voor IT-specialisten in te voeren. </w:t>
            </w:r>
            <w:r w:rsidRPr="006F068D">
              <w:rPr>
                <w:rFonts w:ascii="Verdana" w:hAnsi="Verdana"/>
                <w:i/>
                <w:iCs/>
                <w:sz w:val="18"/>
                <w:szCs w:val="18"/>
              </w:rPr>
              <w:t>Anderzijds zullen de taakstelling, automatisering en bij- en omscholing van medewerkers de behoefte aan meer repeterende ICT-taken verminderen, en zien we een licht toegenomen aanbod op de arbeidsmarkt van zzp’ers en detacheerders. Kortom, de verwachte personeelskrapte voor ICT’ers is moeilijk te voorspellen en vraagt om specifieke analyses per organisatie en per werkgebied.</w:t>
            </w:r>
          </w:p>
          <w:p w:rsidRPr="00332F44" w:rsidR="00332F44" w:rsidP="00332F44" w14:paraId="3D2A358D" w14:textId="77777777">
            <w:pPr>
              <w:spacing w:line="276" w:lineRule="auto"/>
              <w:rPr>
                <w:rFonts w:ascii="Verdana" w:hAnsi="Verdana"/>
                <w:sz w:val="18"/>
                <w:szCs w:val="18"/>
              </w:rPr>
            </w:pPr>
          </w:p>
        </w:tc>
      </w:tr>
      <w:tr w:rsidTr="00332F44" w14:paraId="62AEA981" w14:textId="77777777">
        <w:tblPrEx>
          <w:tblW w:w="8647" w:type="dxa"/>
          <w:tblLayout w:type="fixed"/>
          <w:tblCellMar>
            <w:left w:w="0" w:type="dxa"/>
            <w:right w:w="0" w:type="dxa"/>
          </w:tblCellMar>
          <w:tblLook w:val="0000"/>
        </w:tblPrEx>
        <w:tc>
          <w:tcPr>
            <w:tcW w:w="8647" w:type="dxa"/>
          </w:tcPr>
          <w:p w:rsidRPr="00332F44" w:rsidR="00332F44" w:rsidP="00332F44" w14:paraId="387426E3" w14:textId="023CE3ED">
            <w:pPr>
              <w:spacing w:line="276" w:lineRule="auto"/>
              <w:rPr>
                <w:rFonts w:ascii="Verdana" w:hAnsi="Verdana"/>
                <w:b/>
                <w:bCs/>
                <w:sz w:val="18"/>
                <w:szCs w:val="18"/>
              </w:rPr>
            </w:pPr>
            <w:r w:rsidRPr="00332F44">
              <w:rPr>
                <w:rFonts w:ascii="Verdana" w:hAnsi="Verdana"/>
                <w:b/>
                <w:bCs/>
                <w:sz w:val="18"/>
                <w:szCs w:val="18"/>
              </w:rPr>
              <w:t>Vraag 5</w:t>
            </w:r>
          </w:p>
          <w:p w:rsidRPr="00332F44" w:rsidR="00332F44" w:rsidP="00332F44" w14:paraId="42E9D42E" w14:textId="1B62CD8C">
            <w:pPr>
              <w:spacing w:line="276" w:lineRule="auto"/>
              <w:rPr>
                <w:rFonts w:ascii="Verdana" w:hAnsi="Verdana"/>
                <w:sz w:val="18"/>
                <w:szCs w:val="18"/>
              </w:rPr>
            </w:pPr>
            <w:r w:rsidRPr="00332F44">
              <w:rPr>
                <w:rFonts w:ascii="Verdana" w:hAnsi="Verdana"/>
                <w:sz w:val="18"/>
                <w:szCs w:val="18"/>
              </w:rPr>
              <w:t>Hoeveel procent van de totale begroting van het ministerie van BZK komt uiteindelijk terecht bij medeoverheden versus uitvoering binnen het Rijk zelf?</w:t>
            </w:r>
          </w:p>
          <w:p w:rsidRPr="00332F44" w:rsidR="00332F44" w:rsidP="00332F44" w14:paraId="391E700E" w14:textId="77777777">
            <w:pPr>
              <w:spacing w:line="276" w:lineRule="auto"/>
              <w:rPr>
                <w:rFonts w:ascii="Verdana" w:hAnsi="Verdana"/>
                <w:sz w:val="18"/>
                <w:szCs w:val="18"/>
              </w:rPr>
            </w:pPr>
          </w:p>
          <w:p w:rsidRPr="00332F44" w:rsidR="00332F44" w:rsidP="00332F44" w14:paraId="552A40BC" w14:textId="42F16D8C">
            <w:pPr>
              <w:spacing w:line="276" w:lineRule="auto"/>
              <w:rPr>
                <w:rFonts w:ascii="Verdana" w:hAnsi="Verdana"/>
                <w:i/>
                <w:iCs/>
                <w:sz w:val="18"/>
                <w:szCs w:val="18"/>
              </w:rPr>
            </w:pPr>
            <w:r w:rsidRPr="00332F44">
              <w:rPr>
                <w:rFonts w:ascii="Verdana" w:hAnsi="Verdana"/>
                <w:i/>
                <w:iCs/>
                <w:sz w:val="18"/>
                <w:szCs w:val="18"/>
              </w:rPr>
              <w:t>In onderstaande tabel staat per jaar aangegeven hoeveel procent van de totale begroting van BZK (H7) terecht komt bij medeoverheden, agentschappen en ZBO’s/</w:t>
            </w:r>
            <w:r w:rsidRPr="00332F44">
              <w:rPr>
                <w:rFonts w:ascii="Verdana" w:hAnsi="Verdana"/>
                <w:i/>
                <w:iCs/>
                <w:sz w:val="18"/>
                <w:szCs w:val="18"/>
              </w:rPr>
              <w:t>RWT’s</w:t>
            </w:r>
            <w:r w:rsidRPr="00332F44">
              <w:rPr>
                <w:rFonts w:ascii="Verdana" w:hAnsi="Verdana"/>
                <w:i/>
                <w:iCs/>
                <w:sz w:val="18"/>
                <w:szCs w:val="18"/>
              </w:rPr>
              <w:t xml:space="preserve">. Medeoverheden ontvangen naast middelen van BZK (H7) middels specifieke uitkeringen ook rechtstreeks middelen van andere departementen middels specifieke Uitkeringen en middelen via het gemeentefonds (H50) en provinciefonds (H51). </w:t>
            </w:r>
          </w:p>
          <w:tbl>
            <w:tblPr>
              <w:tblW w:w="6534" w:type="dxa"/>
              <w:tblLayout w:type="fixed"/>
              <w:tblCellMar>
                <w:left w:w="70" w:type="dxa"/>
                <w:right w:w="70" w:type="dxa"/>
              </w:tblCellMar>
              <w:tblLook w:val="04A0"/>
            </w:tblPr>
            <w:tblGrid>
              <w:gridCol w:w="2094"/>
              <w:gridCol w:w="740"/>
              <w:gridCol w:w="740"/>
              <w:gridCol w:w="740"/>
              <w:gridCol w:w="740"/>
              <w:gridCol w:w="740"/>
              <w:gridCol w:w="740"/>
            </w:tblGrid>
            <w:tr w:rsidTr="009320BE" w14:paraId="4DE40F14" w14:textId="77777777">
              <w:tblPrEx>
                <w:tblW w:w="6534" w:type="dxa"/>
                <w:tblLayout w:type="fixed"/>
                <w:tblCellMar>
                  <w:left w:w="70" w:type="dxa"/>
                  <w:right w:w="70" w:type="dxa"/>
                </w:tblCellMar>
                <w:tblLook w:val="04A0"/>
              </w:tblPrEx>
              <w:trPr>
                <w:trHeight w:val="230"/>
              </w:trPr>
              <w:tc>
                <w:tcPr>
                  <w:tcW w:w="209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32F44" w:rsidR="00332F44" w:rsidP="00332F44" w14:paraId="608B0FBC" w14:textId="77777777">
                  <w:pPr>
                    <w:spacing w:before="0" w:after="0" w:line="276" w:lineRule="auto"/>
                    <w:rPr>
                      <w:rFonts w:ascii="Verdana" w:hAnsi="Verdana"/>
                      <w:i/>
                      <w:iCs/>
                      <w:sz w:val="18"/>
                      <w:szCs w:val="18"/>
                    </w:rPr>
                  </w:pPr>
                  <w:r w:rsidRPr="00332F44">
                    <w:rPr>
                      <w:rFonts w:ascii="Verdana" w:hAnsi="Verdana"/>
                      <w:i/>
                      <w:iCs/>
                      <w:sz w:val="18"/>
                      <w:szCs w:val="18"/>
                    </w:rPr>
                    <w:t> </w:t>
                  </w:r>
                </w:p>
              </w:tc>
              <w:tc>
                <w:tcPr>
                  <w:tcW w:w="740" w:type="dxa"/>
                  <w:tcBorders>
                    <w:top w:val="single" w:color="auto" w:sz="4" w:space="0"/>
                    <w:left w:val="nil"/>
                    <w:bottom w:val="single" w:color="auto" w:sz="4" w:space="0"/>
                    <w:right w:val="single" w:color="auto" w:sz="4" w:space="0"/>
                  </w:tcBorders>
                  <w:shd w:val="clear" w:color="auto" w:fill="auto"/>
                  <w:noWrap/>
                  <w:vAlign w:val="bottom"/>
                  <w:hideMark/>
                </w:tcPr>
                <w:p w:rsidRPr="00332F44" w:rsidR="00332F44" w:rsidP="00332F44" w14:paraId="51E7995B" w14:textId="77777777">
                  <w:pPr>
                    <w:spacing w:before="0" w:after="0" w:line="276" w:lineRule="auto"/>
                    <w:jc w:val="right"/>
                    <w:rPr>
                      <w:rFonts w:ascii="Verdana" w:hAnsi="Verdana"/>
                      <w:b/>
                      <w:bCs/>
                      <w:i/>
                      <w:iCs/>
                      <w:sz w:val="18"/>
                      <w:szCs w:val="18"/>
                    </w:rPr>
                  </w:pPr>
                  <w:r w:rsidRPr="00332F44">
                    <w:rPr>
                      <w:rFonts w:ascii="Verdana" w:hAnsi="Verdana"/>
                      <w:b/>
                      <w:bCs/>
                      <w:i/>
                      <w:iCs/>
                      <w:sz w:val="18"/>
                      <w:szCs w:val="18"/>
                    </w:rPr>
                    <w:t>2026</w:t>
                  </w:r>
                </w:p>
              </w:tc>
              <w:tc>
                <w:tcPr>
                  <w:tcW w:w="740" w:type="dxa"/>
                  <w:tcBorders>
                    <w:top w:val="single" w:color="auto" w:sz="4" w:space="0"/>
                    <w:left w:val="nil"/>
                    <w:bottom w:val="single" w:color="auto" w:sz="4" w:space="0"/>
                    <w:right w:val="single" w:color="auto" w:sz="4" w:space="0"/>
                  </w:tcBorders>
                  <w:shd w:val="clear" w:color="auto" w:fill="auto"/>
                  <w:noWrap/>
                  <w:vAlign w:val="bottom"/>
                  <w:hideMark/>
                </w:tcPr>
                <w:p w:rsidRPr="00332F44" w:rsidR="00332F44" w:rsidP="00332F44" w14:paraId="3CF30DC7" w14:textId="77777777">
                  <w:pPr>
                    <w:spacing w:before="0" w:after="0" w:line="276" w:lineRule="auto"/>
                    <w:jc w:val="right"/>
                    <w:rPr>
                      <w:rFonts w:ascii="Verdana" w:hAnsi="Verdana"/>
                      <w:b/>
                      <w:bCs/>
                      <w:i/>
                      <w:iCs/>
                      <w:sz w:val="18"/>
                      <w:szCs w:val="18"/>
                    </w:rPr>
                  </w:pPr>
                  <w:r w:rsidRPr="00332F44">
                    <w:rPr>
                      <w:rFonts w:ascii="Verdana" w:hAnsi="Verdana"/>
                      <w:b/>
                      <w:bCs/>
                      <w:i/>
                      <w:iCs/>
                      <w:sz w:val="18"/>
                      <w:szCs w:val="18"/>
                    </w:rPr>
                    <w:t>2027</w:t>
                  </w:r>
                </w:p>
              </w:tc>
              <w:tc>
                <w:tcPr>
                  <w:tcW w:w="740" w:type="dxa"/>
                  <w:tcBorders>
                    <w:top w:val="single" w:color="auto" w:sz="4" w:space="0"/>
                    <w:left w:val="nil"/>
                    <w:bottom w:val="single" w:color="auto" w:sz="4" w:space="0"/>
                    <w:right w:val="single" w:color="auto" w:sz="4" w:space="0"/>
                  </w:tcBorders>
                  <w:shd w:val="clear" w:color="auto" w:fill="auto"/>
                  <w:noWrap/>
                  <w:vAlign w:val="bottom"/>
                  <w:hideMark/>
                </w:tcPr>
                <w:p w:rsidRPr="00332F44" w:rsidR="00332F44" w:rsidP="00332F44" w14:paraId="53645D57" w14:textId="77777777">
                  <w:pPr>
                    <w:spacing w:before="0" w:after="0" w:line="276" w:lineRule="auto"/>
                    <w:jc w:val="right"/>
                    <w:rPr>
                      <w:rFonts w:ascii="Verdana" w:hAnsi="Verdana"/>
                      <w:b/>
                      <w:bCs/>
                      <w:i/>
                      <w:iCs/>
                      <w:sz w:val="18"/>
                      <w:szCs w:val="18"/>
                    </w:rPr>
                  </w:pPr>
                  <w:r w:rsidRPr="00332F44">
                    <w:rPr>
                      <w:rFonts w:ascii="Verdana" w:hAnsi="Verdana"/>
                      <w:b/>
                      <w:bCs/>
                      <w:i/>
                      <w:iCs/>
                      <w:sz w:val="18"/>
                      <w:szCs w:val="18"/>
                    </w:rPr>
                    <w:t>2028</w:t>
                  </w:r>
                </w:p>
              </w:tc>
              <w:tc>
                <w:tcPr>
                  <w:tcW w:w="740" w:type="dxa"/>
                  <w:tcBorders>
                    <w:top w:val="single" w:color="auto" w:sz="4" w:space="0"/>
                    <w:left w:val="nil"/>
                    <w:bottom w:val="single" w:color="auto" w:sz="4" w:space="0"/>
                    <w:right w:val="single" w:color="auto" w:sz="4" w:space="0"/>
                  </w:tcBorders>
                  <w:shd w:val="clear" w:color="auto" w:fill="auto"/>
                  <w:noWrap/>
                  <w:vAlign w:val="bottom"/>
                  <w:hideMark/>
                </w:tcPr>
                <w:p w:rsidRPr="00332F44" w:rsidR="00332F44" w:rsidP="00332F44" w14:paraId="4C5DA879" w14:textId="77777777">
                  <w:pPr>
                    <w:spacing w:before="0" w:after="0" w:line="276" w:lineRule="auto"/>
                    <w:jc w:val="right"/>
                    <w:rPr>
                      <w:rFonts w:ascii="Verdana" w:hAnsi="Verdana"/>
                      <w:b/>
                      <w:bCs/>
                      <w:i/>
                      <w:iCs/>
                      <w:sz w:val="18"/>
                      <w:szCs w:val="18"/>
                    </w:rPr>
                  </w:pPr>
                  <w:r w:rsidRPr="00332F44">
                    <w:rPr>
                      <w:rFonts w:ascii="Verdana" w:hAnsi="Verdana"/>
                      <w:b/>
                      <w:bCs/>
                      <w:i/>
                      <w:iCs/>
                      <w:sz w:val="18"/>
                      <w:szCs w:val="18"/>
                    </w:rPr>
                    <w:t>2029</w:t>
                  </w:r>
                </w:p>
              </w:tc>
              <w:tc>
                <w:tcPr>
                  <w:tcW w:w="740" w:type="dxa"/>
                  <w:tcBorders>
                    <w:top w:val="single" w:color="auto" w:sz="4" w:space="0"/>
                    <w:left w:val="nil"/>
                    <w:bottom w:val="single" w:color="auto" w:sz="4" w:space="0"/>
                    <w:right w:val="single" w:color="auto" w:sz="4" w:space="0"/>
                  </w:tcBorders>
                  <w:shd w:val="clear" w:color="auto" w:fill="auto"/>
                  <w:noWrap/>
                  <w:vAlign w:val="bottom"/>
                  <w:hideMark/>
                </w:tcPr>
                <w:p w:rsidRPr="00332F44" w:rsidR="00332F44" w:rsidP="00332F44" w14:paraId="401509F1" w14:textId="77777777">
                  <w:pPr>
                    <w:spacing w:before="0" w:after="0" w:line="276" w:lineRule="auto"/>
                    <w:jc w:val="right"/>
                    <w:rPr>
                      <w:rFonts w:ascii="Verdana" w:hAnsi="Verdana"/>
                      <w:b/>
                      <w:bCs/>
                      <w:i/>
                      <w:iCs/>
                      <w:sz w:val="18"/>
                      <w:szCs w:val="18"/>
                    </w:rPr>
                  </w:pPr>
                  <w:r w:rsidRPr="00332F44">
                    <w:rPr>
                      <w:rFonts w:ascii="Verdana" w:hAnsi="Verdana"/>
                      <w:b/>
                      <w:bCs/>
                      <w:i/>
                      <w:iCs/>
                      <w:sz w:val="18"/>
                      <w:szCs w:val="18"/>
                    </w:rPr>
                    <w:t>2030</w:t>
                  </w:r>
                </w:p>
              </w:tc>
              <w:tc>
                <w:tcPr>
                  <w:tcW w:w="740" w:type="dxa"/>
                  <w:tcBorders>
                    <w:top w:val="single" w:color="auto" w:sz="4" w:space="0"/>
                    <w:left w:val="nil"/>
                    <w:bottom w:val="single" w:color="auto" w:sz="4" w:space="0"/>
                    <w:right w:val="single" w:color="auto" w:sz="4" w:space="0"/>
                  </w:tcBorders>
                  <w:shd w:val="clear" w:color="auto" w:fill="auto"/>
                  <w:noWrap/>
                  <w:vAlign w:val="bottom"/>
                  <w:hideMark/>
                </w:tcPr>
                <w:p w:rsidRPr="00332F44" w:rsidR="00332F44" w:rsidP="00332F44" w14:paraId="022B302E" w14:textId="77777777">
                  <w:pPr>
                    <w:spacing w:before="0" w:after="0" w:line="276" w:lineRule="auto"/>
                    <w:jc w:val="right"/>
                    <w:rPr>
                      <w:rFonts w:ascii="Verdana" w:hAnsi="Verdana"/>
                      <w:b/>
                      <w:bCs/>
                      <w:i/>
                      <w:iCs/>
                      <w:sz w:val="18"/>
                      <w:szCs w:val="18"/>
                    </w:rPr>
                  </w:pPr>
                  <w:r w:rsidRPr="00332F44">
                    <w:rPr>
                      <w:rFonts w:ascii="Verdana" w:hAnsi="Verdana"/>
                      <w:b/>
                      <w:bCs/>
                      <w:i/>
                      <w:iCs/>
                      <w:sz w:val="18"/>
                      <w:szCs w:val="18"/>
                    </w:rPr>
                    <w:t>2031</w:t>
                  </w:r>
                </w:p>
              </w:tc>
            </w:tr>
            <w:tr w:rsidTr="009320BE" w14:paraId="55516F6E" w14:textId="77777777">
              <w:tblPrEx>
                <w:tblW w:w="6534" w:type="dxa"/>
                <w:tblLayout w:type="fixed"/>
                <w:tblCellMar>
                  <w:left w:w="70" w:type="dxa"/>
                  <w:right w:w="70" w:type="dxa"/>
                </w:tblCellMar>
                <w:tblLook w:val="04A0"/>
              </w:tblPrEx>
              <w:trPr>
                <w:trHeight w:val="230"/>
              </w:trPr>
              <w:tc>
                <w:tcPr>
                  <w:tcW w:w="2094" w:type="dxa"/>
                  <w:tcBorders>
                    <w:top w:val="nil"/>
                    <w:left w:val="single" w:color="auto" w:sz="4" w:space="0"/>
                    <w:bottom w:val="single" w:color="auto" w:sz="4" w:space="0"/>
                    <w:right w:val="single" w:color="auto" w:sz="4" w:space="0"/>
                  </w:tcBorders>
                  <w:shd w:val="clear" w:color="auto" w:fill="auto"/>
                  <w:noWrap/>
                  <w:vAlign w:val="bottom"/>
                  <w:hideMark/>
                </w:tcPr>
                <w:p w:rsidRPr="00332F44" w:rsidR="00332F44" w:rsidP="00332F44" w14:paraId="41235F37" w14:textId="287BF394">
                  <w:pPr>
                    <w:spacing w:before="0" w:after="0" w:line="276" w:lineRule="auto"/>
                    <w:rPr>
                      <w:rFonts w:ascii="Verdana" w:hAnsi="Verdana"/>
                      <w:i/>
                      <w:iCs/>
                      <w:sz w:val="18"/>
                      <w:szCs w:val="18"/>
                    </w:rPr>
                  </w:pPr>
                  <w:r w:rsidRPr="00332F44">
                    <w:rPr>
                      <w:rFonts w:ascii="Verdana" w:hAnsi="Verdana"/>
                      <w:i/>
                      <w:iCs/>
                      <w:sz w:val="18"/>
                      <w:szCs w:val="18"/>
                    </w:rPr>
                    <w:t>Medeoverheden*</w:t>
                  </w:r>
                </w:p>
              </w:tc>
              <w:tc>
                <w:tcPr>
                  <w:tcW w:w="740" w:type="dxa"/>
                  <w:tcBorders>
                    <w:top w:val="nil"/>
                    <w:left w:val="nil"/>
                    <w:bottom w:val="single" w:color="auto" w:sz="4" w:space="0"/>
                    <w:right w:val="single" w:color="auto" w:sz="4" w:space="0"/>
                  </w:tcBorders>
                  <w:shd w:val="clear" w:color="auto" w:fill="auto"/>
                  <w:noWrap/>
                  <w:vAlign w:val="bottom"/>
                  <w:hideMark/>
                </w:tcPr>
                <w:p w:rsidRPr="00332F44" w:rsidR="00332F44" w:rsidP="00332F44" w14:paraId="05088F82" w14:textId="77777777">
                  <w:pPr>
                    <w:spacing w:before="0" w:after="0" w:line="276" w:lineRule="auto"/>
                    <w:jc w:val="right"/>
                    <w:rPr>
                      <w:rFonts w:ascii="Verdana" w:hAnsi="Verdana"/>
                      <w:i/>
                      <w:iCs/>
                      <w:sz w:val="18"/>
                      <w:szCs w:val="18"/>
                    </w:rPr>
                  </w:pPr>
                  <w:r w:rsidRPr="00332F44">
                    <w:rPr>
                      <w:rFonts w:ascii="Verdana" w:hAnsi="Verdana"/>
                      <w:i/>
                      <w:iCs/>
                      <w:sz w:val="18"/>
                      <w:szCs w:val="18"/>
                    </w:rPr>
                    <w:t>14,6%</w:t>
                  </w:r>
                </w:p>
              </w:tc>
              <w:tc>
                <w:tcPr>
                  <w:tcW w:w="740" w:type="dxa"/>
                  <w:tcBorders>
                    <w:top w:val="nil"/>
                    <w:left w:val="nil"/>
                    <w:bottom w:val="single" w:color="auto" w:sz="4" w:space="0"/>
                    <w:right w:val="single" w:color="auto" w:sz="4" w:space="0"/>
                  </w:tcBorders>
                  <w:shd w:val="clear" w:color="auto" w:fill="auto"/>
                  <w:noWrap/>
                  <w:vAlign w:val="bottom"/>
                  <w:hideMark/>
                </w:tcPr>
                <w:p w:rsidRPr="00332F44" w:rsidR="00332F44" w:rsidP="00332F44" w14:paraId="34762F7D" w14:textId="77777777">
                  <w:pPr>
                    <w:spacing w:before="0" w:after="0" w:line="276" w:lineRule="auto"/>
                    <w:jc w:val="right"/>
                    <w:rPr>
                      <w:rFonts w:ascii="Verdana" w:hAnsi="Verdana"/>
                      <w:i/>
                      <w:iCs/>
                      <w:sz w:val="18"/>
                      <w:szCs w:val="18"/>
                    </w:rPr>
                  </w:pPr>
                  <w:r w:rsidRPr="00332F44">
                    <w:rPr>
                      <w:rFonts w:ascii="Verdana" w:hAnsi="Verdana"/>
                      <w:i/>
                      <w:iCs/>
                      <w:sz w:val="18"/>
                      <w:szCs w:val="18"/>
                    </w:rPr>
                    <w:t>11,6%</w:t>
                  </w:r>
                </w:p>
              </w:tc>
              <w:tc>
                <w:tcPr>
                  <w:tcW w:w="740" w:type="dxa"/>
                  <w:tcBorders>
                    <w:top w:val="nil"/>
                    <w:left w:val="nil"/>
                    <w:bottom w:val="single" w:color="auto" w:sz="4" w:space="0"/>
                    <w:right w:val="single" w:color="auto" w:sz="4" w:space="0"/>
                  </w:tcBorders>
                  <w:shd w:val="clear" w:color="auto" w:fill="auto"/>
                  <w:noWrap/>
                  <w:vAlign w:val="bottom"/>
                  <w:hideMark/>
                </w:tcPr>
                <w:p w:rsidRPr="00332F44" w:rsidR="00332F44" w:rsidP="00332F44" w14:paraId="3508B044" w14:textId="77777777">
                  <w:pPr>
                    <w:spacing w:before="0" w:after="0" w:line="276" w:lineRule="auto"/>
                    <w:jc w:val="right"/>
                    <w:rPr>
                      <w:rFonts w:ascii="Verdana" w:hAnsi="Verdana"/>
                      <w:i/>
                      <w:iCs/>
                      <w:sz w:val="18"/>
                      <w:szCs w:val="18"/>
                    </w:rPr>
                  </w:pPr>
                  <w:r w:rsidRPr="00332F44">
                    <w:rPr>
                      <w:rFonts w:ascii="Verdana" w:hAnsi="Verdana"/>
                      <w:i/>
                      <w:iCs/>
                      <w:sz w:val="18"/>
                      <w:szCs w:val="18"/>
                    </w:rPr>
                    <w:t>12,2%</w:t>
                  </w:r>
                </w:p>
              </w:tc>
              <w:tc>
                <w:tcPr>
                  <w:tcW w:w="740" w:type="dxa"/>
                  <w:tcBorders>
                    <w:top w:val="nil"/>
                    <w:left w:val="nil"/>
                    <w:bottom w:val="single" w:color="auto" w:sz="4" w:space="0"/>
                    <w:right w:val="single" w:color="auto" w:sz="4" w:space="0"/>
                  </w:tcBorders>
                  <w:shd w:val="clear" w:color="auto" w:fill="auto"/>
                  <w:noWrap/>
                  <w:vAlign w:val="bottom"/>
                  <w:hideMark/>
                </w:tcPr>
                <w:p w:rsidRPr="00332F44" w:rsidR="00332F44" w:rsidP="00332F44" w14:paraId="295F0316" w14:textId="77777777">
                  <w:pPr>
                    <w:spacing w:before="0" w:after="0" w:line="276" w:lineRule="auto"/>
                    <w:jc w:val="right"/>
                    <w:rPr>
                      <w:rFonts w:ascii="Verdana" w:hAnsi="Verdana"/>
                      <w:i/>
                      <w:iCs/>
                      <w:sz w:val="18"/>
                      <w:szCs w:val="18"/>
                    </w:rPr>
                  </w:pPr>
                  <w:r w:rsidRPr="00332F44">
                    <w:rPr>
                      <w:rFonts w:ascii="Verdana" w:hAnsi="Verdana"/>
                      <w:i/>
                      <w:iCs/>
                      <w:sz w:val="18"/>
                      <w:szCs w:val="18"/>
                    </w:rPr>
                    <w:t>7,2%</w:t>
                  </w:r>
                </w:p>
              </w:tc>
              <w:tc>
                <w:tcPr>
                  <w:tcW w:w="740" w:type="dxa"/>
                  <w:tcBorders>
                    <w:top w:val="nil"/>
                    <w:left w:val="nil"/>
                    <w:bottom w:val="single" w:color="auto" w:sz="4" w:space="0"/>
                    <w:right w:val="single" w:color="auto" w:sz="4" w:space="0"/>
                  </w:tcBorders>
                  <w:shd w:val="clear" w:color="auto" w:fill="auto"/>
                  <w:noWrap/>
                  <w:vAlign w:val="bottom"/>
                  <w:hideMark/>
                </w:tcPr>
                <w:p w:rsidRPr="00332F44" w:rsidR="00332F44" w:rsidP="00332F44" w14:paraId="3D06296D" w14:textId="77777777">
                  <w:pPr>
                    <w:spacing w:before="0" w:after="0" w:line="276" w:lineRule="auto"/>
                    <w:jc w:val="right"/>
                    <w:rPr>
                      <w:rFonts w:ascii="Verdana" w:hAnsi="Verdana"/>
                      <w:i/>
                      <w:iCs/>
                      <w:sz w:val="18"/>
                      <w:szCs w:val="18"/>
                    </w:rPr>
                  </w:pPr>
                  <w:r w:rsidRPr="00332F44">
                    <w:rPr>
                      <w:rFonts w:ascii="Verdana" w:hAnsi="Verdana"/>
                      <w:i/>
                      <w:iCs/>
                      <w:sz w:val="18"/>
                      <w:szCs w:val="18"/>
                    </w:rPr>
                    <w:t>7,3%</w:t>
                  </w:r>
                </w:p>
              </w:tc>
              <w:tc>
                <w:tcPr>
                  <w:tcW w:w="740" w:type="dxa"/>
                  <w:tcBorders>
                    <w:top w:val="nil"/>
                    <w:left w:val="nil"/>
                    <w:bottom w:val="single" w:color="auto" w:sz="4" w:space="0"/>
                    <w:right w:val="single" w:color="auto" w:sz="4" w:space="0"/>
                  </w:tcBorders>
                  <w:shd w:val="clear" w:color="auto" w:fill="auto"/>
                  <w:noWrap/>
                  <w:vAlign w:val="bottom"/>
                  <w:hideMark/>
                </w:tcPr>
                <w:p w:rsidRPr="00332F44" w:rsidR="00332F44" w:rsidP="00332F44" w14:paraId="30700A8C" w14:textId="77777777">
                  <w:pPr>
                    <w:spacing w:before="0" w:after="0" w:line="276" w:lineRule="auto"/>
                    <w:jc w:val="right"/>
                    <w:rPr>
                      <w:rFonts w:ascii="Verdana" w:hAnsi="Verdana"/>
                      <w:i/>
                      <w:iCs/>
                      <w:sz w:val="18"/>
                      <w:szCs w:val="18"/>
                    </w:rPr>
                  </w:pPr>
                  <w:r w:rsidRPr="00332F44">
                    <w:rPr>
                      <w:rFonts w:ascii="Verdana" w:hAnsi="Verdana"/>
                      <w:i/>
                      <w:iCs/>
                      <w:sz w:val="18"/>
                      <w:szCs w:val="18"/>
                    </w:rPr>
                    <w:t>1,2%</w:t>
                  </w:r>
                </w:p>
              </w:tc>
            </w:tr>
            <w:tr w:rsidTr="009320BE" w14:paraId="47CC702C" w14:textId="77777777">
              <w:tblPrEx>
                <w:tblW w:w="6534" w:type="dxa"/>
                <w:tblLayout w:type="fixed"/>
                <w:tblCellMar>
                  <w:left w:w="70" w:type="dxa"/>
                  <w:right w:w="70" w:type="dxa"/>
                </w:tblCellMar>
                <w:tblLook w:val="04A0"/>
              </w:tblPrEx>
              <w:trPr>
                <w:trHeight w:val="230"/>
              </w:trPr>
              <w:tc>
                <w:tcPr>
                  <w:tcW w:w="2094" w:type="dxa"/>
                  <w:tcBorders>
                    <w:top w:val="nil"/>
                    <w:left w:val="single" w:color="auto" w:sz="4" w:space="0"/>
                    <w:bottom w:val="single" w:color="auto" w:sz="4" w:space="0"/>
                    <w:right w:val="single" w:color="auto" w:sz="4" w:space="0"/>
                  </w:tcBorders>
                  <w:shd w:val="clear" w:color="auto" w:fill="auto"/>
                  <w:noWrap/>
                  <w:vAlign w:val="bottom"/>
                  <w:hideMark/>
                </w:tcPr>
                <w:p w:rsidRPr="00332F44" w:rsidR="00332F44" w:rsidP="00332F44" w14:paraId="1A0817F7" w14:textId="21D92C32">
                  <w:pPr>
                    <w:spacing w:before="0" w:after="0" w:line="276" w:lineRule="auto"/>
                    <w:rPr>
                      <w:rFonts w:ascii="Verdana" w:hAnsi="Verdana"/>
                      <w:i/>
                      <w:iCs/>
                      <w:sz w:val="18"/>
                      <w:szCs w:val="18"/>
                    </w:rPr>
                  </w:pPr>
                  <w:r w:rsidRPr="00332F44">
                    <w:rPr>
                      <w:rFonts w:ascii="Verdana" w:hAnsi="Verdana"/>
                      <w:i/>
                      <w:iCs/>
                      <w:sz w:val="18"/>
                      <w:szCs w:val="18"/>
                    </w:rPr>
                    <w:t>Agentschappen, ZBO’s/</w:t>
                  </w:r>
                  <w:r w:rsidRPr="00332F44">
                    <w:rPr>
                      <w:rFonts w:ascii="Verdana" w:hAnsi="Verdana"/>
                      <w:i/>
                      <w:iCs/>
                      <w:sz w:val="18"/>
                      <w:szCs w:val="18"/>
                    </w:rPr>
                    <w:t>RWT’s</w:t>
                  </w:r>
                  <w:r w:rsidRPr="00332F44">
                    <w:rPr>
                      <w:rFonts w:ascii="Verdana" w:hAnsi="Verdana"/>
                      <w:i/>
                      <w:iCs/>
                      <w:sz w:val="18"/>
                      <w:szCs w:val="18"/>
                    </w:rPr>
                    <w:t>**</w:t>
                  </w:r>
                </w:p>
              </w:tc>
              <w:tc>
                <w:tcPr>
                  <w:tcW w:w="740" w:type="dxa"/>
                  <w:tcBorders>
                    <w:top w:val="nil"/>
                    <w:left w:val="nil"/>
                    <w:bottom w:val="single" w:color="auto" w:sz="4" w:space="0"/>
                    <w:right w:val="single" w:color="auto" w:sz="4" w:space="0"/>
                  </w:tcBorders>
                  <w:shd w:val="clear" w:color="auto" w:fill="auto"/>
                  <w:noWrap/>
                  <w:vAlign w:val="bottom"/>
                  <w:hideMark/>
                </w:tcPr>
                <w:p w:rsidRPr="00332F44" w:rsidR="00332F44" w:rsidP="00332F44" w14:paraId="438C29A9" w14:textId="238144DF">
                  <w:pPr>
                    <w:spacing w:before="0" w:after="0" w:line="276" w:lineRule="auto"/>
                    <w:jc w:val="right"/>
                    <w:rPr>
                      <w:rFonts w:ascii="Verdana" w:hAnsi="Verdana"/>
                      <w:i/>
                      <w:iCs/>
                      <w:sz w:val="18"/>
                      <w:szCs w:val="18"/>
                    </w:rPr>
                  </w:pPr>
                  <w:r w:rsidRPr="00332F44">
                    <w:rPr>
                      <w:rFonts w:ascii="Verdana" w:hAnsi="Verdana"/>
                      <w:i/>
                      <w:iCs/>
                      <w:color w:val="000000"/>
                      <w:sz w:val="18"/>
                      <w:szCs w:val="18"/>
                    </w:rPr>
                    <w:t>16,7%</w:t>
                  </w:r>
                </w:p>
              </w:tc>
              <w:tc>
                <w:tcPr>
                  <w:tcW w:w="740" w:type="dxa"/>
                  <w:tcBorders>
                    <w:top w:val="nil"/>
                    <w:left w:val="nil"/>
                    <w:bottom w:val="single" w:color="auto" w:sz="4" w:space="0"/>
                    <w:right w:val="single" w:color="auto" w:sz="4" w:space="0"/>
                  </w:tcBorders>
                  <w:shd w:val="clear" w:color="auto" w:fill="auto"/>
                  <w:noWrap/>
                  <w:vAlign w:val="bottom"/>
                  <w:hideMark/>
                </w:tcPr>
                <w:p w:rsidRPr="00332F44" w:rsidR="00332F44" w:rsidP="00332F44" w14:paraId="73270472" w14:textId="313BE1A9">
                  <w:pPr>
                    <w:spacing w:before="0" w:after="0" w:line="276" w:lineRule="auto"/>
                    <w:jc w:val="right"/>
                    <w:rPr>
                      <w:rFonts w:ascii="Verdana" w:hAnsi="Verdana"/>
                      <w:i/>
                      <w:iCs/>
                      <w:sz w:val="18"/>
                      <w:szCs w:val="18"/>
                    </w:rPr>
                  </w:pPr>
                  <w:r w:rsidRPr="00332F44">
                    <w:rPr>
                      <w:rFonts w:ascii="Verdana" w:hAnsi="Verdana"/>
                      <w:i/>
                      <w:iCs/>
                      <w:color w:val="000000"/>
                      <w:sz w:val="18"/>
                      <w:szCs w:val="18"/>
                    </w:rPr>
                    <w:t>16,2%</w:t>
                  </w:r>
                </w:p>
              </w:tc>
              <w:tc>
                <w:tcPr>
                  <w:tcW w:w="740" w:type="dxa"/>
                  <w:tcBorders>
                    <w:top w:val="nil"/>
                    <w:left w:val="nil"/>
                    <w:bottom w:val="single" w:color="auto" w:sz="4" w:space="0"/>
                    <w:right w:val="single" w:color="auto" w:sz="4" w:space="0"/>
                  </w:tcBorders>
                  <w:shd w:val="clear" w:color="auto" w:fill="auto"/>
                  <w:noWrap/>
                  <w:vAlign w:val="bottom"/>
                  <w:hideMark/>
                </w:tcPr>
                <w:p w:rsidRPr="00332F44" w:rsidR="00332F44" w:rsidP="00332F44" w14:paraId="3AE27144" w14:textId="614CECE4">
                  <w:pPr>
                    <w:spacing w:before="0" w:after="0" w:line="276" w:lineRule="auto"/>
                    <w:jc w:val="right"/>
                    <w:rPr>
                      <w:rFonts w:ascii="Verdana" w:hAnsi="Verdana"/>
                      <w:i/>
                      <w:iCs/>
                      <w:sz w:val="18"/>
                      <w:szCs w:val="18"/>
                    </w:rPr>
                  </w:pPr>
                  <w:r w:rsidRPr="00332F44">
                    <w:rPr>
                      <w:rFonts w:ascii="Verdana" w:hAnsi="Verdana"/>
                      <w:i/>
                      <w:iCs/>
                      <w:color w:val="000000"/>
                      <w:sz w:val="18"/>
                      <w:szCs w:val="18"/>
                    </w:rPr>
                    <w:t>15,8%</w:t>
                  </w:r>
                </w:p>
              </w:tc>
              <w:tc>
                <w:tcPr>
                  <w:tcW w:w="740" w:type="dxa"/>
                  <w:tcBorders>
                    <w:top w:val="nil"/>
                    <w:left w:val="nil"/>
                    <w:bottom w:val="single" w:color="auto" w:sz="4" w:space="0"/>
                    <w:right w:val="single" w:color="auto" w:sz="4" w:space="0"/>
                  </w:tcBorders>
                  <w:shd w:val="clear" w:color="auto" w:fill="auto"/>
                  <w:noWrap/>
                  <w:vAlign w:val="bottom"/>
                  <w:hideMark/>
                </w:tcPr>
                <w:p w:rsidRPr="00332F44" w:rsidR="00332F44" w:rsidP="00332F44" w14:paraId="1C200E41" w14:textId="5F28DCE0">
                  <w:pPr>
                    <w:spacing w:before="0" w:after="0" w:line="276" w:lineRule="auto"/>
                    <w:jc w:val="right"/>
                    <w:rPr>
                      <w:rFonts w:ascii="Verdana" w:hAnsi="Verdana"/>
                      <w:i/>
                      <w:iCs/>
                      <w:sz w:val="18"/>
                      <w:szCs w:val="18"/>
                    </w:rPr>
                  </w:pPr>
                  <w:r w:rsidRPr="00332F44">
                    <w:rPr>
                      <w:rFonts w:ascii="Verdana" w:hAnsi="Verdana"/>
                      <w:i/>
                      <w:iCs/>
                      <w:color w:val="000000"/>
                      <w:sz w:val="18"/>
                      <w:szCs w:val="18"/>
                    </w:rPr>
                    <w:t>16,7%</w:t>
                  </w:r>
                </w:p>
              </w:tc>
              <w:tc>
                <w:tcPr>
                  <w:tcW w:w="740" w:type="dxa"/>
                  <w:tcBorders>
                    <w:top w:val="nil"/>
                    <w:left w:val="nil"/>
                    <w:bottom w:val="single" w:color="auto" w:sz="4" w:space="0"/>
                    <w:right w:val="single" w:color="auto" w:sz="4" w:space="0"/>
                  </w:tcBorders>
                  <w:shd w:val="clear" w:color="auto" w:fill="auto"/>
                  <w:noWrap/>
                  <w:vAlign w:val="bottom"/>
                  <w:hideMark/>
                </w:tcPr>
                <w:p w:rsidRPr="00332F44" w:rsidR="00332F44" w:rsidP="00332F44" w14:paraId="14CF9135" w14:textId="3DAE7111">
                  <w:pPr>
                    <w:spacing w:before="0" w:after="0" w:line="276" w:lineRule="auto"/>
                    <w:jc w:val="right"/>
                    <w:rPr>
                      <w:rFonts w:ascii="Verdana" w:hAnsi="Verdana"/>
                      <w:i/>
                      <w:iCs/>
                      <w:sz w:val="18"/>
                      <w:szCs w:val="18"/>
                    </w:rPr>
                  </w:pPr>
                  <w:r w:rsidRPr="00332F44">
                    <w:rPr>
                      <w:rFonts w:ascii="Verdana" w:hAnsi="Verdana"/>
                      <w:i/>
                      <w:iCs/>
                      <w:color w:val="000000"/>
                      <w:sz w:val="18"/>
                      <w:szCs w:val="18"/>
                    </w:rPr>
                    <w:t>17,9%</w:t>
                  </w:r>
                </w:p>
              </w:tc>
              <w:tc>
                <w:tcPr>
                  <w:tcW w:w="740" w:type="dxa"/>
                  <w:tcBorders>
                    <w:top w:val="nil"/>
                    <w:left w:val="nil"/>
                    <w:bottom w:val="single" w:color="auto" w:sz="4" w:space="0"/>
                    <w:right w:val="single" w:color="auto" w:sz="4" w:space="0"/>
                  </w:tcBorders>
                  <w:shd w:val="clear" w:color="auto" w:fill="auto"/>
                  <w:noWrap/>
                  <w:vAlign w:val="bottom"/>
                  <w:hideMark/>
                </w:tcPr>
                <w:p w:rsidRPr="00332F44" w:rsidR="00332F44" w:rsidP="00332F44" w14:paraId="7A025D91" w14:textId="68345E08">
                  <w:pPr>
                    <w:spacing w:before="0" w:after="0" w:line="276" w:lineRule="auto"/>
                    <w:jc w:val="right"/>
                    <w:rPr>
                      <w:rFonts w:ascii="Verdana" w:hAnsi="Verdana"/>
                      <w:i/>
                      <w:iCs/>
                      <w:sz w:val="18"/>
                      <w:szCs w:val="18"/>
                    </w:rPr>
                  </w:pPr>
                  <w:r w:rsidRPr="00332F44">
                    <w:rPr>
                      <w:rFonts w:ascii="Verdana" w:hAnsi="Verdana"/>
                      <w:i/>
                      <w:iCs/>
                      <w:color w:val="000000"/>
                      <w:sz w:val="18"/>
                      <w:szCs w:val="18"/>
                    </w:rPr>
                    <w:t>19,8%</w:t>
                  </w:r>
                </w:p>
              </w:tc>
            </w:tr>
          </w:tbl>
          <w:p w:rsidRPr="00332F44" w:rsidR="00332F44" w:rsidP="00332F44" w14:paraId="4108A213" w14:textId="3C085656">
            <w:pPr>
              <w:spacing w:line="276" w:lineRule="auto"/>
              <w:rPr>
                <w:rFonts w:ascii="Verdana" w:hAnsi="Verdana" w:eastAsiaTheme="minorEastAsia" w:cstheme="minorBidi"/>
                <w:i/>
                <w:iCs/>
                <w:sz w:val="18"/>
                <w:szCs w:val="18"/>
                <w:lang w:eastAsia="en-US"/>
              </w:rPr>
            </w:pPr>
            <w:r w:rsidRPr="00332F44">
              <w:rPr>
                <w:rFonts w:ascii="Verdana" w:hAnsi="Verdana" w:eastAsiaTheme="minorEastAsia"/>
                <w:i/>
                <w:iCs/>
                <w:sz w:val="18"/>
                <w:szCs w:val="18"/>
                <w:lang w:eastAsia="en-US"/>
              </w:rPr>
              <w:t>*Dit betreft de budgetten op h</w:t>
            </w:r>
            <w:r w:rsidRPr="00332F44">
              <w:rPr>
                <w:rFonts w:ascii="Verdana" w:hAnsi="Verdana"/>
                <w:i/>
                <w:iCs/>
                <w:sz w:val="18"/>
                <w:szCs w:val="18"/>
              </w:rPr>
              <w:t>et instrument ‘bijdragen aan medeoverheden’ die o.a. via SPUKS aan medeoverheden wordt uitgekeerd.</w:t>
            </w:r>
          </w:p>
          <w:p w:rsidRPr="00332F44" w:rsidR="00332F44" w:rsidP="00332F44" w14:paraId="1381FA76" w14:textId="2989E9C2">
            <w:pPr>
              <w:spacing w:line="276" w:lineRule="auto"/>
              <w:rPr>
                <w:rFonts w:ascii="Verdana" w:hAnsi="Verdana"/>
                <w:i/>
                <w:iCs/>
                <w:sz w:val="18"/>
                <w:szCs w:val="18"/>
              </w:rPr>
            </w:pPr>
            <w:r w:rsidRPr="00332F44">
              <w:rPr>
                <w:rFonts w:ascii="Verdana" w:hAnsi="Verdana"/>
                <w:i/>
                <w:iCs/>
                <w:sz w:val="18"/>
                <w:szCs w:val="18"/>
              </w:rPr>
              <w:t>**Voor de kosten die worden gemaakt voor de uitvoering binnen het Rijk is in dit geval gekeken naar de budgetten op de instrumenten ‘bijdragen aan agentschappen’ en ‘bijdragen ZBO’s/</w:t>
            </w:r>
            <w:r w:rsidRPr="00332F44">
              <w:rPr>
                <w:rFonts w:ascii="Verdana" w:hAnsi="Verdana"/>
                <w:i/>
                <w:iCs/>
                <w:sz w:val="18"/>
                <w:szCs w:val="18"/>
              </w:rPr>
              <w:t>RWT’s</w:t>
            </w:r>
            <w:r w:rsidRPr="00332F44">
              <w:rPr>
                <w:rFonts w:ascii="Verdana" w:hAnsi="Verdana"/>
                <w:i/>
                <w:iCs/>
                <w:sz w:val="18"/>
                <w:szCs w:val="18"/>
              </w:rPr>
              <w:t xml:space="preserve">’. </w:t>
            </w:r>
          </w:p>
          <w:p w:rsidRPr="00332F44" w:rsidR="00332F44" w:rsidP="00332F44" w14:paraId="417EE17D" w14:textId="77777777">
            <w:pPr>
              <w:spacing w:line="276" w:lineRule="auto"/>
              <w:rPr>
                <w:rFonts w:ascii="Verdana" w:hAnsi="Verdana"/>
                <w:sz w:val="18"/>
                <w:szCs w:val="18"/>
              </w:rPr>
            </w:pPr>
          </w:p>
        </w:tc>
      </w:tr>
      <w:tr w:rsidTr="00332F44" w14:paraId="0E82F9AB" w14:textId="77777777">
        <w:tblPrEx>
          <w:tblW w:w="8647" w:type="dxa"/>
          <w:tblLayout w:type="fixed"/>
          <w:tblCellMar>
            <w:left w:w="0" w:type="dxa"/>
            <w:right w:w="0" w:type="dxa"/>
          </w:tblCellMar>
          <w:tblLook w:val="0000"/>
        </w:tblPrEx>
        <w:tc>
          <w:tcPr>
            <w:tcW w:w="8647" w:type="dxa"/>
          </w:tcPr>
          <w:p w:rsidRPr="00332F44" w:rsidR="00332F44" w:rsidP="00332F44" w14:paraId="363BCED2" w14:textId="5DDCE251">
            <w:pPr>
              <w:spacing w:line="276" w:lineRule="auto"/>
              <w:rPr>
                <w:rFonts w:ascii="Verdana" w:hAnsi="Verdana"/>
                <w:b/>
                <w:bCs/>
                <w:sz w:val="18"/>
                <w:szCs w:val="18"/>
              </w:rPr>
            </w:pPr>
            <w:r w:rsidRPr="00332F44">
              <w:rPr>
                <w:rFonts w:ascii="Verdana" w:hAnsi="Verdana"/>
                <w:b/>
                <w:bCs/>
                <w:sz w:val="18"/>
                <w:szCs w:val="18"/>
              </w:rPr>
              <w:t>Vraag 6</w:t>
            </w:r>
          </w:p>
          <w:p w:rsidRPr="00332F44" w:rsidR="00332F44" w:rsidP="00332F44" w14:paraId="1B5C35C8" w14:textId="7500AEB8">
            <w:pPr>
              <w:spacing w:line="276" w:lineRule="auto"/>
              <w:rPr>
                <w:rFonts w:ascii="Verdana" w:hAnsi="Verdana"/>
                <w:sz w:val="18"/>
                <w:szCs w:val="18"/>
              </w:rPr>
            </w:pPr>
            <w:r w:rsidRPr="00332F44">
              <w:rPr>
                <w:rFonts w:ascii="Verdana" w:hAnsi="Verdana"/>
                <w:sz w:val="18"/>
                <w:szCs w:val="18"/>
              </w:rPr>
              <w:t>Hoeveel procent van de uitgaven in deze begroting betreft juridisch verplichte uitgaven versus beleidsvrij besteedbare middelen?</w:t>
            </w:r>
          </w:p>
          <w:p w:rsidRPr="00332F44" w:rsidR="00332F44" w:rsidP="00332F44" w14:paraId="6EDE6FAA" w14:textId="7091DE79">
            <w:pPr>
              <w:spacing w:line="276" w:lineRule="auto"/>
              <w:rPr>
                <w:rFonts w:ascii="Verdana" w:hAnsi="Verdana"/>
                <w:i/>
                <w:iCs/>
                <w:sz w:val="18"/>
                <w:szCs w:val="18"/>
              </w:rPr>
            </w:pPr>
            <w:r w:rsidRPr="00332F44">
              <w:rPr>
                <w:rFonts w:ascii="Verdana" w:hAnsi="Verdana"/>
                <w:sz w:val="18"/>
                <w:szCs w:val="18"/>
              </w:rPr>
              <w:br/>
            </w:r>
            <w:r w:rsidRPr="00332F44">
              <w:rPr>
                <w:rFonts w:ascii="Verdana" w:hAnsi="Verdana" w:eastAsiaTheme="majorEastAsia" w:cstheme="majorBidi"/>
                <w:i/>
                <w:iCs/>
                <w:sz w:val="18"/>
                <w:szCs w:val="18"/>
              </w:rPr>
              <w:t xml:space="preserve">Voor BZK zijn de totale uitgaven voor 89% juridische verplicht, voor 9% bestuurlijk gebonden, 2% beleidsmatig gereserveerd en is 0% vrij te besteden/nog niet ingevuld. Zie ook onderstaande tabel. </w:t>
            </w:r>
          </w:p>
          <w:tbl>
            <w:tblPr>
              <w:tblStyle w:val="GridTable1LightAccent1"/>
              <w:tblW w:w="60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tblPr>
            <w:tblGrid>
              <w:gridCol w:w="4140"/>
              <w:gridCol w:w="1875"/>
            </w:tblGrid>
            <w:tr w:rsidTr="009320BE" w14:paraId="34A32A4D" w14:textId="77777777">
              <w:tblPrEx>
                <w:tblW w:w="60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tblPrEx>
              <w:tc>
                <w:tcPr>
                  <w:tcW w:w="4140" w:type="dxa"/>
                  <w:tcBorders>
                    <w:bottom w:val="none" w:color="auto" w:sz="0" w:space="0"/>
                  </w:tcBorders>
                  <w:vAlign w:val="bottom"/>
                </w:tcPr>
                <w:p w:rsidRPr="00332F44" w:rsidR="00332F44" w:rsidP="00332F44" w14:paraId="388C2C89" w14:textId="09F89447">
                  <w:pPr>
                    <w:spacing w:line="276" w:lineRule="auto"/>
                    <w:rPr>
                      <w:rFonts w:ascii="Verdana" w:hAnsi="Verdana"/>
                      <w:i/>
                      <w:iCs/>
                      <w:sz w:val="18"/>
                      <w:szCs w:val="18"/>
                    </w:rPr>
                  </w:pPr>
                  <w:r w:rsidRPr="00332F44">
                    <w:rPr>
                      <w:rFonts w:ascii="Verdana" w:hAnsi="Verdana"/>
                      <w:i/>
                      <w:iCs/>
                      <w:sz w:val="18"/>
                      <w:szCs w:val="18"/>
                    </w:rPr>
                    <w:t>Hoofdstuk VII (BZK)</w:t>
                  </w:r>
                </w:p>
              </w:tc>
              <w:tc>
                <w:tcPr>
                  <w:tcW w:w="1875" w:type="dxa"/>
                  <w:tcBorders>
                    <w:bottom w:val="none" w:color="auto" w:sz="0" w:space="0"/>
                  </w:tcBorders>
                  <w:vAlign w:val="bottom"/>
                </w:tcPr>
                <w:p w:rsidRPr="00332F44" w:rsidR="00332F44" w:rsidP="00332F44" w14:paraId="3BA832D9" w14:textId="2081F516">
                  <w:pPr>
                    <w:spacing w:line="276" w:lineRule="auto"/>
                    <w:jc w:val="right"/>
                    <w:rPr>
                      <w:rFonts w:ascii="Verdana" w:hAnsi="Verdana"/>
                      <w:i/>
                      <w:iCs/>
                      <w:sz w:val="18"/>
                      <w:szCs w:val="18"/>
                    </w:rPr>
                  </w:pPr>
                  <w:r w:rsidRPr="00332F44">
                    <w:rPr>
                      <w:rFonts w:ascii="Verdana" w:hAnsi="Verdana"/>
                      <w:i/>
                      <w:iCs/>
                      <w:sz w:val="18"/>
                      <w:szCs w:val="18"/>
                    </w:rPr>
                    <w:t>2026</w:t>
                  </w:r>
                </w:p>
              </w:tc>
            </w:tr>
            <w:tr w:rsidTr="009320BE" w14:paraId="522D4F3B" w14:textId="77777777">
              <w:tblPrEx>
                <w:tblW w:w="6015" w:type="dxa"/>
                <w:tblLayout w:type="fixed"/>
                <w:tblLook w:val="06A0"/>
              </w:tblPrEx>
              <w:tc>
                <w:tcPr>
                  <w:tcW w:w="4140" w:type="dxa"/>
                  <w:vAlign w:val="bottom"/>
                </w:tcPr>
                <w:p w:rsidRPr="00332F44" w:rsidR="00332F44" w:rsidP="00332F44" w14:paraId="018BAB77" w14:textId="1E37C783">
                  <w:pPr>
                    <w:spacing w:line="276" w:lineRule="auto"/>
                    <w:rPr>
                      <w:rFonts w:ascii="Verdana" w:hAnsi="Verdana"/>
                      <w:b w:val="0"/>
                      <w:bCs w:val="0"/>
                      <w:i/>
                      <w:iCs/>
                      <w:sz w:val="18"/>
                      <w:szCs w:val="18"/>
                    </w:rPr>
                  </w:pPr>
                  <w:r w:rsidRPr="00332F44">
                    <w:rPr>
                      <w:rFonts w:ascii="Verdana" w:hAnsi="Verdana"/>
                      <w:b w:val="0"/>
                      <w:bCs w:val="0"/>
                      <w:i/>
                      <w:iCs/>
                      <w:sz w:val="18"/>
                      <w:szCs w:val="18"/>
                    </w:rPr>
                    <w:t>juridisch verplicht</w:t>
                  </w:r>
                </w:p>
              </w:tc>
              <w:tc>
                <w:tcPr>
                  <w:tcW w:w="1875" w:type="dxa"/>
                  <w:vAlign w:val="bottom"/>
                </w:tcPr>
                <w:p w:rsidRPr="00332F44" w:rsidR="00332F44" w:rsidP="00332F44" w14:paraId="2D427919" w14:textId="6FF36C6C">
                  <w:pPr>
                    <w:spacing w:line="276" w:lineRule="auto"/>
                    <w:jc w:val="right"/>
                    <w:rPr>
                      <w:rFonts w:ascii="Verdana" w:hAnsi="Verdana"/>
                      <w:b/>
                      <w:bCs/>
                      <w:i/>
                      <w:iCs/>
                      <w:sz w:val="18"/>
                      <w:szCs w:val="18"/>
                    </w:rPr>
                  </w:pPr>
                  <w:r w:rsidRPr="00332F44">
                    <w:rPr>
                      <w:rFonts w:ascii="Verdana" w:hAnsi="Verdana"/>
                      <w:b/>
                      <w:bCs/>
                      <w:i/>
                      <w:iCs/>
                      <w:sz w:val="18"/>
                      <w:szCs w:val="18"/>
                    </w:rPr>
                    <w:t>89%</w:t>
                  </w:r>
                </w:p>
              </w:tc>
            </w:tr>
            <w:tr w:rsidTr="009320BE" w14:paraId="20B789F3" w14:textId="77777777">
              <w:tblPrEx>
                <w:tblW w:w="6015" w:type="dxa"/>
                <w:tblLayout w:type="fixed"/>
                <w:tblLook w:val="06A0"/>
              </w:tblPrEx>
              <w:tc>
                <w:tcPr>
                  <w:tcW w:w="4140" w:type="dxa"/>
                  <w:vAlign w:val="bottom"/>
                </w:tcPr>
                <w:p w:rsidRPr="00332F44" w:rsidR="00332F44" w:rsidP="00332F44" w14:paraId="2B61F0D4" w14:textId="2E72BB6A">
                  <w:pPr>
                    <w:spacing w:line="276" w:lineRule="auto"/>
                    <w:rPr>
                      <w:rFonts w:ascii="Verdana" w:hAnsi="Verdana"/>
                      <w:b w:val="0"/>
                      <w:bCs w:val="0"/>
                      <w:i/>
                      <w:iCs/>
                      <w:sz w:val="18"/>
                      <w:szCs w:val="18"/>
                    </w:rPr>
                  </w:pPr>
                  <w:r w:rsidRPr="00332F44">
                    <w:rPr>
                      <w:rFonts w:ascii="Verdana" w:hAnsi="Verdana"/>
                      <w:b w:val="0"/>
                      <w:bCs w:val="0"/>
                      <w:i/>
                      <w:iCs/>
                      <w:sz w:val="18"/>
                      <w:szCs w:val="18"/>
                    </w:rPr>
                    <w:t>bestuurlijk gebonden</w:t>
                  </w:r>
                </w:p>
              </w:tc>
              <w:tc>
                <w:tcPr>
                  <w:tcW w:w="1875" w:type="dxa"/>
                  <w:vAlign w:val="bottom"/>
                </w:tcPr>
                <w:p w:rsidRPr="00332F44" w:rsidR="00332F44" w:rsidP="00332F44" w14:paraId="2CCC8D48" w14:textId="158BA92D">
                  <w:pPr>
                    <w:spacing w:line="276" w:lineRule="auto"/>
                    <w:jc w:val="right"/>
                    <w:rPr>
                      <w:rFonts w:ascii="Verdana" w:hAnsi="Verdana"/>
                      <w:b/>
                      <w:bCs/>
                      <w:i/>
                      <w:iCs/>
                      <w:sz w:val="18"/>
                      <w:szCs w:val="18"/>
                    </w:rPr>
                  </w:pPr>
                  <w:r w:rsidRPr="00332F44">
                    <w:rPr>
                      <w:rFonts w:ascii="Verdana" w:hAnsi="Verdana"/>
                      <w:b/>
                      <w:bCs/>
                      <w:i/>
                      <w:iCs/>
                      <w:sz w:val="18"/>
                      <w:szCs w:val="18"/>
                    </w:rPr>
                    <w:t>9%</w:t>
                  </w:r>
                </w:p>
              </w:tc>
            </w:tr>
            <w:tr w:rsidTr="009320BE" w14:paraId="3280F5B8" w14:textId="77777777">
              <w:tblPrEx>
                <w:tblW w:w="6015" w:type="dxa"/>
                <w:tblLayout w:type="fixed"/>
                <w:tblLook w:val="06A0"/>
              </w:tblPrEx>
              <w:tc>
                <w:tcPr>
                  <w:tcW w:w="4140" w:type="dxa"/>
                  <w:vAlign w:val="bottom"/>
                </w:tcPr>
                <w:p w:rsidRPr="00332F44" w:rsidR="00332F44" w:rsidP="00332F44" w14:paraId="56075E37" w14:textId="3379E03B">
                  <w:pPr>
                    <w:spacing w:line="276" w:lineRule="auto"/>
                    <w:rPr>
                      <w:rFonts w:ascii="Verdana" w:hAnsi="Verdana"/>
                      <w:b w:val="0"/>
                      <w:bCs w:val="0"/>
                      <w:i/>
                      <w:iCs/>
                      <w:sz w:val="18"/>
                      <w:szCs w:val="18"/>
                    </w:rPr>
                  </w:pPr>
                  <w:r w:rsidRPr="00332F44">
                    <w:rPr>
                      <w:rFonts w:ascii="Verdana" w:hAnsi="Verdana"/>
                      <w:b w:val="0"/>
                      <w:bCs w:val="0"/>
                      <w:i/>
                      <w:iCs/>
                      <w:sz w:val="18"/>
                      <w:szCs w:val="18"/>
                    </w:rPr>
                    <w:t>beleidsmatig gereserveerd</w:t>
                  </w:r>
                </w:p>
              </w:tc>
              <w:tc>
                <w:tcPr>
                  <w:tcW w:w="1875" w:type="dxa"/>
                  <w:vAlign w:val="bottom"/>
                </w:tcPr>
                <w:p w:rsidRPr="00332F44" w:rsidR="00332F44" w:rsidP="00332F44" w14:paraId="2392DD50" w14:textId="621F190C">
                  <w:pPr>
                    <w:spacing w:line="276" w:lineRule="auto"/>
                    <w:jc w:val="right"/>
                    <w:rPr>
                      <w:rFonts w:ascii="Verdana" w:hAnsi="Verdana"/>
                      <w:b/>
                      <w:bCs/>
                      <w:i/>
                      <w:iCs/>
                      <w:sz w:val="18"/>
                      <w:szCs w:val="18"/>
                    </w:rPr>
                  </w:pPr>
                  <w:r w:rsidRPr="00332F44">
                    <w:rPr>
                      <w:rFonts w:ascii="Verdana" w:hAnsi="Verdana"/>
                      <w:b/>
                      <w:bCs/>
                      <w:i/>
                      <w:iCs/>
                      <w:sz w:val="18"/>
                      <w:szCs w:val="18"/>
                    </w:rPr>
                    <w:t>2%</w:t>
                  </w:r>
                </w:p>
              </w:tc>
            </w:tr>
            <w:tr w:rsidTr="009320BE" w14:paraId="458154E7" w14:textId="77777777">
              <w:tblPrEx>
                <w:tblW w:w="6015" w:type="dxa"/>
                <w:tblLayout w:type="fixed"/>
                <w:tblLook w:val="06A0"/>
              </w:tblPrEx>
              <w:tc>
                <w:tcPr>
                  <w:tcW w:w="4140" w:type="dxa"/>
                  <w:vAlign w:val="bottom"/>
                </w:tcPr>
                <w:p w:rsidRPr="00332F44" w:rsidR="00332F44" w:rsidP="00332F44" w14:paraId="5E3936DB" w14:textId="38662BF2">
                  <w:pPr>
                    <w:spacing w:line="276" w:lineRule="auto"/>
                    <w:rPr>
                      <w:rFonts w:ascii="Verdana" w:hAnsi="Verdana"/>
                      <w:b w:val="0"/>
                      <w:bCs w:val="0"/>
                      <w:i/>
                      <w:iCs/>
                      <w:sz w:val="18"/>
                      <w:szCs w:val="18"/>
                    </w:rPr>
                  </w:pPr>
                  <w:r w:rsidRPr="00332F44">
                    <w:rPr>
                      <w:rFonts w:ascii="Verdana" w:hAnsi="Verdana"/>
                      <w:b w:val="0"/>
                      <w:bCs w:val="0"/>
                      <w:i/>
                      <w:iCs/>
                      <w:sz w:val="18"/>
                      <w:szCs w:val="18"/>
                    </w:rPr>
                    <w:t>nog niet ingevuld / vrij te besteden</w:t>
                  </w:r>
                </w:p>
              </w:tc>
              <w:tc>
                <w:tcPr>
                  <w:tcW w:w="1875" w:type="dxa"/>
                  <w:vAlign w:val="bottom"/>
                </w:tcPr>
                <w:p w:rsidRPr="00332F44" w:rsidR="00332F44" w:rsidP="00332F44" w14:paraId="7FD28852" w14:textId="29E5E19D">
                  <w:pPr>
                    <w:spacing w:line="276" w:lineRule="auto"/>
                    <w:jc w:val="right"/>
                    <w:rPr>
                      <w:rFonts w:ascii="Verdana" w:hAnsi="Verdana"/>
                      <w:b/>
                      <w:bCs/>
                      <w:i/>
                      <w:iCs/>
                      <w:sz w:val="18"/>
                      <w:szCs w:val="18"/>
                    </w:rPr>
                  </w:pPr>
                  <w:r w:rsidRPr="00332F44">
                    <w:rPr>
                      <w:rFonts w:ascii="Verdana" w:hAnsi="Verdana"/>
                      <w:b/>
                      <w:bCs/>
                      <w:i/>
                      <w:iCs/>
                      <w:sz w:val="18"/>
                      <w:szCs w:val="18"/>
                    </w:rPr>
                    <w:t>0%</w:t>
                  </w:r>
                </w:p>
              </w:tc>
            </w:tr>
          </w:tbl>
          <w:p w:rsidRPr="00332F44" w:rsidR="00332F44" w:rsidP="00332F44" w14:paraId="42A825A6" w14:textId="4C9C4FD8">
            <w:pPr>
              <w:spacing w:line="276" w:lineRule="auto"/>
              <w:rPr>
                <w:rFonts w:ascii="Verdana" w:hAnsi="Verdana"/>
                <w:sz w:val="18"/>
                <w:szCs w:val="18"/>
              </w:rPr>
            </w:pPr>
          </w:p>
        </w:tc>
      </w:tr>
      <w:tr w:rsidTr="00332F44" w14:paraId="57F6C6D3" w14:textId="77777777">
        <w:tblPrEx>
          <w:tblW w:w="8647" w:type="dxa"/>
          <w:tblLayout w:type="fixed"/>
          <w:tblCellMar>
            <w:left w:w="0" w:type="dxa"/>
            <w:right w:w="0" w:type="dxa"/>
          </w:tblCellMar>
          <w:tblLook w:val="0000"/>
        </w:tblPrEx>
        <w:tc>
          <w:tcPr>
            <w:tcW w:w="8647" w:type="dxa"/>
          </w:tcPr>
          <w:p w:rsidR="00332F44" w:rsidP="00332F44" w14:paraId="4906E836" w14:textId="77777777">
            <w:pPr>
              <w:spacing w:line="276" w:lineRule="auto"/>
              <w:rPr>
                <w:rFonts w:ascii="Verdana" w:hAnsi="Verdana"/>
                <w:sz w:val="18"/>
                <w:szCs w:val="18"/>
              </w:rPr>
            </w:pPr>
          </w:p>
          <w:p w:rsidRPr="00332F44" w:rsidR="00332F44" w:rsidP="00332F44" w14:paraId="10C046AC" w14:textId="2710C29E">
            <w:pPr>
              <w:spacing w:line="276" w:lineRule="auto"/>
              <w:rPr>
                <w:rFonts w:ascii="Verdana" w:hAnsi="Verdana"/>
                <w:b/>
                <w:bCs/>
                <w:sz w:val="18"/>
                <w:szCs w:val="18"/>
              </w:rPr>
            </w:pPr>
            <w:r w:rsidRPr="00332F44">
              <w:rPr>
                <w:rFonts w:ascii="Verdana" w:hAnsi="Verdana"/>
                <w:b/>
                <w:bCs/>
                <w:sz w:val="18"/>
                <w:szCs w:val="18"/>
              </w:rPr>
              <w:t>Vraag 7</w:t>
            </w:r>
          </w:p>
          <w:p w:rsidRPr="00332F44" w:rsidR="00332F44" w:rsidP="00332F44" w14:paraId="5C5F4C97" w14:textId="7DE336F5">
            <w:pPr>
              <w:spacing w:line="276" w:lineRule="auto"/>
              <w:rPr>
                <w:rFonts w:ascii="Verdana" w:hAnsi="Verdana"/>
                <w:sz w:val="18"/>
                <w:szCs w:val="18"/>
              </w:rPr>
            </w:pPr>
            <w:r w:rsidRPr="00332F44">
              <w:rPr>
                <w:rFonts w:ascii="Verdana" w:hAnsi="Verdana"/>
                <w:sz w:val="18"/>
                <w:szCs w:val="18"/>
              </w:rPr>
              <w:t>Wat is de gemiddelde kostprijs per fte binnen het ministerie van BZK en hoe verhoudt deze zich tot andere ministeries?</w:t>
            </w:r>
          </w:p>
          <w:p w:rsidRPr="00332F44" w:rsidR="00332F44" w:rsidP="00332F44" w14:paraId="534BC2DC" w14:textId="77777777">
            <w:pPr>
              <w:spacing w:line="276" w:lineRule="auto"/>
              <w:rPr>
                <w:rFonts w:ascii="Verdana" w:hAnsi="Verdana"/>
                <w:sz w:val="18"/>
                <w:szCs w:val="18"/>
              </w:rPr>
            </w:pPr>
          </w:p>
          <w:p w:rsidRPr="00332F44" w:rsidR="00332F44" w:rsidP="00332F44" w14:paraId="3D948219" w14:textId="58B3AF57">
            <w:pPr>
              <w:spacing w:line="276" w:lineRule="auto"/>
              <w:rPr>
                <w:rFonts w:ascii="Verdana" w:hAnsi="Verdana"/>
                <w:i/>
                <w:iCs/>
                <w:sz w:val="18"/>
                <w:szCs w:val="18"/>
              </w:rPr>
            </w:pPr>
            <w:r w:rsidRPr="00332F44">
              <w:rPr>
                <w:rFonts w:ascii="Verdana" w:hAnsi="Verdana"/>
                <w:i/>
                <w:iCs/>
                <w:sz w:val="18"/>
                <w:szCs w:val="18"/>
              </w:rPr>
              <w:t xml:space="preserve">De salarisuitgaven in 2025 bedroegen € 1,4 mld. voor BZK/VRO. Gedeeld door 14.005 fte komt dat neer op € 99.531 per fte. Zie onderstaande tabel voor de verhouding ten opzichte van de rest van het Rijk. </w:t>
            </w:r>
          </w:p>
          <w:p w:rsidRPr="00332F44" w:rsidR="00332F44" w:rsidP="00332F44" w14:paraId="054FC643" w14:textId="77777777">
            <w:pPr>
              <w:spacing w:line="276" w:lineRule="auto"/>
              <w:rPr>
                <w:rFonts w:ascii="Verdana" w:hAnsi="Verdana"/>
                <w:i/>
                <w:iCs/>
                <w:sz w:val="18"/>
                <w:szCs w:val="18"/>
              </w:rPr>
            </w:pPr>
            <w:r w:rsidRPr="00332F44">
              <w:rPr>
                <w:rFonts w:ascii="Verdana" w:hAnsi="Verdana"/>
                <w:i/>
                <w:iCs/>
                <w:sz w:val="18"/>
                <w:szCs w:val="18"/>
              </w:rPr>
              <w:t xml:space="preserve">Dit is een benadering. De salarisuitgaven betreffen de kosten van het gehele jaar; het aantal fte is alleen gebaseerd op de </w:t>
            </w:r>
            <w:r w:rsidRPr="00332F44">
              <w:rPr>
                <w:rFonts w:ascii="Verdana" w:hAnsi="Verdana"/>
                <w:i/>
                <w:iCs/>
                <w:sz w:val="18"/>
                <w:szCs w:val="18"/>
              </w:rPr>
              <w:t>ultimostand</w:t>
            </w:r>
            <w:r w:rsidRPr="00332F44">
              <w:rPr>
                <w:rFonts w:ascii="Verdana" w:hAnsi="Verdana"/>
                <w:i/>
                <w:iCs/>
                <w:sz w:val="18"/>
                <w:szCs w:val="18"/>
              </w:rPr>
              <w:t xml:space="preserve"> 2024.</w:t>
            </w:r>
          </w:p>
          <w:tbl>
            <w:tblPr>
              <w:tblW w:w="0" w:type="auto"/>
              <w:tblLayout w:type="fixed"/>
              <w:tblCellMar>
                <w:left w:w="0" w:type="dxa"/>
                <w:right w:w="0" w:type="dxa"/>
              </w:tblCellMar>
              <w:tblLook w:val="04A0"/>
            </w:tblPr>
            <w:tblGrid>
              <w:gridCol w:w="3005"/>
              <w:gridCol w:w="2126"/>
              <w:gridCol w:w="2126"/>
            </w:tblGrid>
            <w:tr w:rsidTr="002E6A2E" w14:paraId="27AE4803" w14:textId="77777777">
              <w:tblPrEx>
                <w:tblW w:w="0" w:type="auto"/>
                <w:tblLayout w:type="fixed"/>
                <w:tblCellMar>
                  <w:left w:w="0" w:type="dxa"/>
                  <w:right w:w="0" w:type="dxa"/>
                </w:tblCellMar>
                <w:tblLook w:val="04A0"/>
              </w:tblPrEx>
              <w:tc>
                <w:tcPr>
                  <w:tcW w:w="30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332F44" w:rsidR="00332F44" w:rsidP="00332F44" w14:paraId="6075AF43" w14:textId="77777777">
                  <w:pPr>
                    <w:spacing w:line="276" w:lineRule="auto"/>
                    <w:rPr>
                      <w:rFonts w:ascii="Verdana" w:hAnsi="Verdana"/>
                      <w:b/>
                      <w:bCs/>
                      <w:i/>
                      <w:iCs/>
                      <w:sz w:val="18"/>
                      <w:szCs w:val="18"/>
                    </w:rPr>
                  </w:pPr>
                  <w:r w:rsidRPr="00332F44">
                    <w:rPr>
                      <w:rFonts w:ascii="Verdana" w:hAnsi="Verdana"/>
                      <w:b/>
                      <w:bCs/>
                      <w:i/>
                      <w:iCs/>
                      <w:sz w:val="18"/>
                      <w:szCs w:val="18"/>
                    </w:rPr>
                    <w:t>2025</w:t>
                  </w:r>
                </w:p>
              </w:tc>
              <w:tc>
                <w:tcPr>
                  <w:tcW w:w="212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32F44" w:rsidR="00332F44" w:rsidP="002E6A2E" w14:paraId="1DD17CA7" w14:textId="77777777">
                  <w:pPr>
                    <w:spacing w:line="276" w:lineRule="auto"/>
                    <w:jc w:val="right"/>
                    <w:rPr>
                      <w:rFonts w:ascii="Verdana" w:hAnsi="Verdana"/>
                      <w:b/>
                      <w:bCs/>
                      <w:i/>
                      <w:iCs/>
                      <w:sz w:val="18"/>
                      <w:szCs w:val="18"/>
                    </w:rPr>
                  </w:pPr>
                  <w:r w:rsidRPr="00332F44">
                    <w:rPr>
                      <w:rFonts w:ascii="Verdana" w:hAnsi="Verdana"/>
                      <w:b/>
                      <w:bCs/>
                      <w:i/>
                      <w:iCs/>
                      <w:sz w:val="18"/>
                      <w:szCs w:val="18"/>
                    </w:rPr>
                    <w:t>BZK/VRO</w:t>
                  </w:r>
                </w:p>
              </w:tc>
              <w:tc>
                <w:tcPr>
                  <w:tcW w:w="212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32F44" w:rsidR="00332F44" w:rsidP="002E6A2E" w14:paraId="08A7C7F2" w14:textId="77777777">
                  <w:pPr>
                    <w:spacing w:line="276" w:lineRule="auto"/>
                    <w:jc w:val="right"/>
                    <w:rPr>
                      <w:rFonts w:ascii="Verdana" w:hAnsi="Verdana"/>
                      <w:b/>
                      <w:bCs/>
                      <w:i/>
                      <w:iCs/>
                      <w:sz w:val="18"/>
                      <w:szCs w:val="18"/>
                    </w:rPr>
                  </w:pPr>
                  <w:r w:rsidRPr="00332F44">
                    <w:rPr>
                      <w:rFonts w:ascii="Verdana" w:hAnsi="Verdana"/>
                      <w:b/>
                      <w:bCs/>
                      <w:i/>
                      <w:iCs/>
                      <w:sz w:val="18"/>
                      <w:szCs w:val="18"/>
                    </w:rPr>
                    <w:t>Rijk</w:t>
                  </w:r>
                </w:p>
              </w:tc>
            </w:tr>
            <w:tr w:rsidTr="002E6A2E" w14:paraId="71EDD716" w14:textId="77777777">
              <w:tblPrEx>
                <w:tblW w:w="0" w:type="auto"/>
                <w:tblLayout w:type="fixed"/>
                <w:tblCellMar>
                  <w:left w:w="0" w:type="dxa"/>
                  <w:right w:w="0" w:type="dxa"/>
                </w:tblCellMar>
                <w:tblLook w:val="04A0"/>
              </w:tblPrEx>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32F44" w:rsidR="00332F44" w:rsidP="00332F44" w14:paraId="640D5E4C" w14:textId="77777777">
                  <w:pPr>
                    <w:spacing w:line="276" w:lineRule="auto"/>
                    <w:rPr>
                      <w:rFonts w:ascii="Verdana" w:hAnsi="Verdana"/>
                      <w:i/>
                      <w:iCs/>
                      <w:sz w:val="18"/>
                      <w:szCs w:val="18"/>
                    </w:rPr>
                  </w:pPr>
                  <w:r w:rsidRPr="00332F44">
                    <w:rPr>
                      <w:rFonts w:ascii="Verdana" w:hAnsi="Verdana"/>
                      <w:i/>
                      <w:iCs/>
                      <w:sz w:val="18"/>
                      <w:szCs w:val="18"/>
                    </w:rPr>
                    <w:t>Personeelskosten</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Pr="00332F44" w:rsidR="00332F44" w:rsidP="002E6A2E" w14:paraId="6FE78730" w14:textId="77777777">
                  <w:pPr>
                    <w:spacing w:line="276" w:lineRule="auto"/>
                    <w:jc w:val="right"/>
                    <w:rPr>
                      <w:rFonts w:ascii="Verdana" w:hAnsi="Verdana"/>
                      <w:i/>
                      <w:iCs/>
                      <w:sz w:val="18"/>
                      <w:szCs w:val="18"/>
                    </w:rPr>
                  </w:pPr>
                  <w:r w:rsidRPr="00332F44">
                    <w:rPr>
                      <w:rFonts w:ascii="Verdana" w:hAnsi="Verdana"/>
                      <w:i/>
                      <w:iCs/>
                      <w:sz w:val="18"/>
                      <w:szCs w:val="18"/>
                    </w:rPr>
                    <w:t>€ 1.393.936.319</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Pr="00332F44" w:rsidR="00332F44" w:rsidP="002E6A2E" w14:paraId="203A26C3" w14:textId="77777777">
                  <w:pPr>
                    <w:spacing w:line="276" w:lineRule="auto"/>
                    <w:jc w:val="right"/>
                    <w:rPr>
                      <w:rFonts w:ascii="Verdana" w:hAnsi="Verdana"/>
                      <w:i/>
                      <w:iCs/>
                      <w:sz w:val="18"/>
                      <w:szCs w:val="18"/>
                    </w:rPr>
                  </w:pPr>
                  <w:r w:rsidRPr="00332F44">
                    <w:rPr>
                      <w:rFonts w:ascii="Verdana" w:hAnsi="Verdana"/>
                      <w:i/>
                      <w:iCs/>
                      <w:sz w:val="18"/>
                      <w:szCs w:val="18"/>
                    </w:rPr>
                    <w:t>€ 15.400.021.706</w:t>
                  </w:r>
                </w:p>
              </w:tc>
            </w:tr>
            <w:tr w:rsidTr="002E6A2E" w14:paraId="21CFE34E" w14:textId="77777777">
              <w:tblPrEx>
                <w:tblW w:w="0" w:type="auto"/>
                <w:tblLayout w:type="fixed"/>
                <w:tblCellMar>
                  <w:left w:w="0" w:type="dxa"/>
                  <w:right w:w="0" w:type="dxa"/>
                </w:tblCellMar>
                <w:tblLook w:val="04A0"/>
              </w:tblPrEx>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32F44" w:rsidR="00332F44" w:rsidP="00332F44" w14:paraId="4C615570" w14:textId="77777777">
                  <w:pPr>
                    <w:spacing w:line="276" w:lineRule="auto"/>
                    <w:rPr>
                      <w:rFonts w:ascii="Verdana" w:hAnsi="Verdana"/>
                      <w:i/>
                      <w:iCs/>
                      <w:sz w:val="18"/>
                      <w:szCs w:val="18"/>
                    </w:rPr>
                  </w:pPr>
                  <w:r w:rsidRPr="00332F44">
                    <w:rPr>
                      <w:rFonts w:ascii="Verdana" w:hAnsi="Verdana"/>
                      <w:i/>
                      <w:iCs/>
                      <w:sz w:val="18"/>
                      <w:szCs w:val="18"/>
                    </w:rPr>
                    <w:t>Fte ultimo</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Pr="00332F44" w:rsidR="00332F44" w:rsidP="002E6A2E" w14:paraId="4D1779A3" w14:textId="77777777">
                  <w:pPr>
                    <w:spacing w:line="276" w:lineRule="auto"/>
                    <w:jc w:val="right"/>
                    <w:rPr>
                      <w:rFonts w:ascii="Verdana" w:hAnsi="Verdana"/>
                      <w:i/>
                      <w:iCs/>
                      <w:sz w:val="18"/>
                      <w:szCs w:val="18"/>
                    </w:rPr>
                  </w:pPr>
                  <w:r w:rsidRPr="00332F44">
                    <w:rPr>
                      <w:rFonts w:ascii="Verdana" w:hAnsi="Verdana"/>
                      <w:i/>
                      <w:iCs/>
                      <w:sz w:val="18"/>
                      <w:szCs w:val="18"/>
                    </w:rPr>
                    <w:t>14.005</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Pr="00332F44" w:rsidR="00332F44" w:rsidP="002E6A2E" w14:paraId="18A234CA" w14:textId="77777777">
                  <w:pPr>
                    <w:spacing w:line="276" w:lineRule="auto"/>
                    <w:jc w:val="right"/>
                    <w:rPr>
                      <w:rFonts w:ascii="Verdana" w:hAnsi="Verdana"/>
                      <w:i/>
                      <w:iCs/>
                      <w:sz w:val="18"/>
                      <w:szCs w:val="18"/>
                    </w:rPr>
                  </w:pPr>
                  <w:r w:rsidRPr="00332F44">
                    <w:rPr>
                      <w:rFonts w:ascii="Verdana" w:hAnsi="Verdana"/>
                      <w:i/>
                      <w:iCs/>
                      <w:sz w:val="18"/>
                      <w:szCs w:val="18"/>
                    </w:rPr>
                    <w:t>160.016</w:t>
                  </w:r>
                </w:p>
              </w:tc>
            </w:tr>
            <w:tr w:rsidTr="002E6A2E" w14:paraId="406C7C31" w14:textId="77777777">
              <w:tblPrEx>
                <w:tblW w:w="0" w:type="auto"/>
                <w:tblLayout w:type="fixed"/>
                <w:tblCellMar>
                  <w:left w:w="0" w:type="dxa"/>
                  <w:right w:w="0" w:type="dxa"/>
                </w:tblCellMar>
                <w:tblLook w:val="04A0"/>
              </w:tblPrEx>
              <w:tc>
                <w:tcPr>
                  <w:tcW w:w="30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32F44" w:rsidR="00332F44" w:rsidP="00332F44" w14:paraId="3F4FEA79" w14:textId="77777777">
                  <w:pPr>
                    <w:spacing w:line="276" w:lineRule="auto"/>
                    <w:rPr>
                      <w:rFonts w:ascii="Verdana" w:hAnsi="Verdana"/>
                      <w:i/>
                      <w:iCs/>
                      <w:sz w:val="18"/>
                      <w:szCs w:val="18"/>
                    </w:rPr>
                  </w:pPr>
                  <w:r w:rsidRPr="00332F44">
                    <w:rPr>
                      <w:rFonts w:ascii="Verdana" w:hAnsi="Verdana"/>
                      <w:i/>
                      <w:iCs/>
                      <w:sz w:val="18"/>
                      <w:szCs w:val="18"/>
                    </w:rPr>
                    <w:t>Personeelskosten / fte</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Pr="00332F44" w:rsidR="00332F44" w:rsidP="002E6A2E" w14:paraId="77E2F434" w14:textId="77777777">
                  <w:pPr>
                    <w:spacing w:line="276" w:lineRule="auto"/>
                    <w:jc w:val="right"/>
                    <w:rPr>
                      <w:rFonts w:ascii="Verdana" w:hAnsi="Verdana"/>
                      <w:i/>
                      <w:iCs/>
                      <w:sz w:val="18"/>
                      <w:szCs w:val="18"/>
                    </w:rPr>
                  </w:pPr>
                  <w:r w:rsidRPr="00332F44">
                    <w:rPr>
                      <w:rFonts w:ascii="Verdana" w:hAnsi="Verdana"/>
                      <w:i/>
                      <w:iCs/>
                      <w:sz w:val="18"/>
                      <w:szCs w:val="18"/>
                    </w:rPr>
                    <w:t xml:space="preserve">€ 99.531 </w:t>
                  </w:r>
                </w:p>
              </w:tc>
              <w:tc>
                <w:tcPr>
                  <w:tcW w:w="2126" w:type="dxa"/>
                  <w:tcBorders>
                    <w:top w:val="nil"/>
                    <w:left w:val="nil"/>
                    <w:bottom w:val="single" w:color="auto" w:sz="8" w:space="0"/>
                    <w:right w:val="single" w:color="auto" w:sz="8" w:space="0"/>
                  </w:tcBorders>
                  <w:tcMar>
                    <w:top w:w="0" w:type="dxa"/>
                    <w:left w:w="108" w:type="dxa"/>
                    <w:bottom w:w="0" w:type="dxa"/>
                    <w:right w:w="108" w:type="dxa"/>
                  </w:tcMar>
                  <w:hideMark/>
                </w:tcPr>
                <w:p w:rsidRPr="00332F44" w:rsidR="00332F44" w:rsidP="002E6A2E" w14:paraId="58BF5D55" w14:textId="77777777">
                  <w:pPr>
                    <w:spacing w:line="276" w:lineRule="auto"/>
                    <w:jc w:val="right"/>
                    <w:rPr>
                      <w:rFonts w:ascii="Verdana" w:hAnsi="Verdana"/>
                      <w:i/>
                      <w:iCs/>
                      <w:sz w:val="18"/>
                      <w:szCs w:val="18"/>
                    </w:rPr>
                  </w:pPr>
                  <w:r w:rsidRPr="00332F44">
                    <w:rPr>
                      <w:rFonts w:ascii="Verdana" w:hAnsi="Verdana"/>
                      <w:i/>
                      <w:iCs/>
                      <w:sz w:val="18"/>
                      <w:szCs w:val="18"/>
                    </w:rPr>
                    <w:t>€ 96.241</w:t>
                  </w:r>
                </w:p>
              </w:tc>
            </w:tr>
          </w:tbl>
          <w:p w:rsidRPr="00332F44" w:rsidR="00332F44" w:rsidP="00332F44" w14:paraId="2DDE0F3C" w14:textId="77777777">
            <w:pPr>
              <w:spacing w:line="276" w:lineRule="auto"/>
              <w:rPr>
                <w:rFonts w:ascii="Verdana" w:hAnsi="Verdana"/>
                <w:i/>
                <w:iCs/>
                <w:sz w:val="18"/>
                <w:szCs w:val="18"/>
              </w:rPr>
            </w:pPr>
          </w:p>
          <w:p w:rsidRPr="00332F44" w:rsidR="00332F44" w:rsidP="00332F44" w14:paraId="2141E81C" w14:textId="77777777">
            <w:pPr>
              <w:spacing w:line="276" w:lineRule="auto"/>
              <w:rPr>
                <w:rFonts w:ascii="Verdana" w:hAnsi="Verdana"/>
                <w:i/>
                <w:iCs/>
                <w:sz w:val="18"/>
                <w:szCs w:val="18"/>
              </w:rPr>
            </w:pPr>
            <w:r w:rsidRPr="00332F44">
              <w:rPr>
                <w:rFonts w:ascii="Verdana" w:hAnsi="Verdana"/>
                <w:i/>
                <w:iCs/>
                <w:sz w:val="18"/>
                <w:szCs w:val="18"/>
              </w:rPr>
              <w:t xml:space="preserve">De gemiddelde personeelskosten per FTE is bij BZK/VRO hoger dan bij Rijk als totaal. Hierbij moet bedacht worden dat de salariskosten van de Topmanagementgroep verantwoord worden bij BZK/VRO. Dit trekt het gemiddelde daar omhoog. </w:t>
            </w:r>
          </w:p>
          <w:p w:rsidRPr="00332F44" w:rsidR="00332F44" w:rsidP="00332F44" w14:paraId="054EAFCB" w14:textId="015B557D">
            <w:pPr>
              <w:spacing w:line="276" w:lineRule="auto"/>
              <w:rPr>
                <w:rFonts w:ascii="Verdana" w:hAnsi="Verdana"/>
                <w:sz w:val="18"/>
                <w:szCs w:val="18"/>
              </w:rPr>
            </w:pPr>
          </w:p>
        </w:tc>
      </w:tr>
      <w:tr w:rsidTr="00332F44" w14:paraId="5FA42599" w14:textId="77777777">
        <w:tblPrEx>
          <w:tblW w:w="8647" w:type="dxa"/>
          <w:tblLayout w:type="fixed"/>
          <w:tblCellMar>
            <w:left w:w="0" w:type="dxa"/>
            <w:right w:w="0" w:type="dxa"/>
          </w:tblCellMar>
          <w:tblLook w:val="0000"/>
        </w:tblPrEx>
        <w:tc>
          <w:tcPr>
            <w:tcW w:w="8647" w:type="dxa"/>
          </w:tcPr>
          <w:p w:rsidRPr="002E6A2E" w:rsidR="00332F44" w:rsidP="00332F44" w14:paraId="5872591F" w14:textId="455DC364">
            <w:pPr>
              <w:spacing w:line="276" w:lineRule="auto"/>
              <w:rPr>
                <w:rFonts w:ascii="Verdana" w:hAnsi="Verdana"/>
                <w:b/>
                <w:bCs/>
                <w:sz w:val="18"/>
                <w:szCs w:val="18"/>
              </w:rPr>
            </w:pPr>
            <w:r w:rsidRPr="002E6A2E">
              <w:rPr>
                <w:rFonts w:ascii="Verdana" w:hAnsi="Verdana"/>
                <w:b/>
                <w:bCs/>
                <w:sz w:val="18"/>
                <w:szCs w:val="18"/>
              </w:rPr>
              <w:t>Vraag 8</w:t>
            </w:r>
          </w:p>
          <w:p w:rsidRPr="00332F44" w:rsidR="00332F44" w:rsidP="00332F44" w14:paraId="2BCB77F2" w14:textId="1DFB9AE7">
            <w:pPr>
              <w:spacing w:line="276" w:lineRule="auto"/>
              <w:rPr>
                <w:rFonts w:ascii="Verdana" w:hAnsi="Verdana"/>
                <w:sz w:val="18"/>
                <w:szCs w:val="18"/>
              </w:rPr>
            </w:pPr>
            <w:r w:rsidRPr="00332F44">
              <w:rPr>
                <w:rFonts w:ascii="Verdana" w:hAnsi="Verdana"/>
                <w:sz w:val="18"/>
                <w:szCs w:val="18"/>
              </w:rPr>
              <w:t>Wat is het totale bedrag aan subsidies binnen deze begroting en hoe ontwikkelt dit zich na de subsidietaakstelling?</w:t>
            </w:r>
          </w:p>
          <w:p w:rsidRPr="00332F44" w:rsidR="00332F44" w:rsidP="00332F44" w14:paraId="28553C83" w14:textId="77777777">
            <w:pPr>
              <w:spacing w:line="276" w:lineRule="auto"/>
              <w:rPr>
                <w:rFonts w:ascii="Verdana" w:hAnsi="Verdana"/>
                <w:sz w:val="18"/>
                <w:szCs w:val="18"/>
              </w:rPr>
            </w:pPr>
          </w:p>
          <w:p w:rsidRPr="002E6A2E" w:rsidR="00332F44" w:rsidP="00332F44" w14:paraId="5D1612A9" w14:textId="742697B7">
            <w:pPr>
              <w:spacing w:after="0" w:line="276" w:lineRule="auto"/>
              <w:rPr>
                <w:rFonts w:ascii="Verdana" w:hAnsi="Verdana"/>
                <w:i/>
                <w:iCs/>
                <w:sz w:val="18"/>
                <w:szCs w:val="18"/>
              </w:rPr>
            </w:pPr>
            <w:r w:rsidRPr="002E6A2E">
              <w:rPr>
                <w:rFonts w:ascii="Verdana" w:hAnsi="Verdana"/>
                <w:i/>
                <w:iCs/>
                <w:sz w:val="18"/>
                <w:szCs w:val="18"/>
              </w:rPr>
              <w:t>Het aandeel voor de begroting van BZK in de subsidietaakstelling is € 1,473 mln. vanaf 2027 (zie het antwoord op vraag 2 voor een nadere toelichting).</w:t>
            </w:r>
          </w:p>
          <w:p w:rsidRPr="002E6A2E" w:rsidR="00332F44" w:rsidP="00332F44" w14:paraId="45C07C9F" w14:textId="1F0953EA">
            <w:pPr>
              <w:spacing w:after="0" w:line="276" w:lineRule="auto"/>
              <w:rPr>
                <w:rFonts w:ascii="Verdana" w:hAnsi="Verdana"/>
                <w:i/>
                <w:iCs/>
                <w:sz w:val="18"/>
                <w:szCs w:val="18"/>
              </w:rPr>
            </w:pPr>
            <w:r w:rsidRPr="002E6A2E">
              <w:rPr>
                <w:rFonts w:ascii="Verdana" w:hAnsi="Verdana"/>
                <w:i/>
                <w:iCs/>
                <w:sz w:val="18"/>
                <w:szCs w:val="18"/>
              </w:rPr>
              <w:t>Het totale bedrag aan subsidies op de begroting van BZK verschilt per jaar. Hieronder staat het totale bedrag aan subsidies op de 1</w:t>
            </w:r>
            <w:r w:rsidRPr="002E6A2E">
              <w:rPr>
                <w:rFonts w:ascii="Verdana" w:hAnsi="Verdana"/>
                <w:i/>
                <w:iCs/>
                <w:sz w:val="18"/>
                <w:szCs w:val="18"/>
                <w:vertAlign w:val="superscript"/>
              </w:rPr>
              <w:t>e</w:t>
            </w:r>
            <w:r w:rsidRPr="002E6A2E">
              <w:rPr>
                <w:rFonts w:ascii="Verdana" w:hAnsi="Verdana"/>
                <w:i/>
                <w:iCs/>
                <w:sz w:val="18"/>
                <w:szCs w:val="18"/>
              </w:rPr>
              <w:t xml:space="preserve"> suppletoire begroting 2026van BZK. Hierin zit de subsidietaakstelling verwerkt. </w:t>
            </w:r>
          </w:p>
          <w:p w:rsidRPr="002E6A2E" w:rsidR="00332F44" w:rsidP="00332F44" w14:paraId="6BBD6D46" w14:textId="77777777">
            <w:pPr>
              <w:spacing w:line="276" w:lineRule="auto"/>
              <w:rPr>
                <w:rFonts w:ascii="Verdana" w:hAnsi="Verdana"/>
                <w:i/>
                <w:iCs/>
                <w:sz w:val="18"/>
                <w:szCs w:val="18"/>
              </w:rPr>
            </w:pPr>
          </w:p>
          <w:tbl>
            <w:tblPr>
              <w:tblW w:w="8075" w:type="dxa"/>
              <w:tblLayout w:type="fixed"/>
              <w:tblCellMar>
                <w:left w:w="70" w:type="dxa"/>
                <w:right w:w="70" w:type="dxa"/>
              </w:tblCellMar>
              <w:tblLook w:val="04A0"/>
            </w:tblPr>
            <w:tblGrid>
              <w:gridCol w:w="1834"/>
              <w:gridCol w:w="1280"/>
              <w:gridCol w:w="992"/>
              <w:gridCol w:w="992"/>
              <w:gridCol w:w="993"/>
              <w:gridCol w:w="992"/>
              <w:gridCol w:w="992"/>
            </w:tblGrid>
            <w:tr w:rsidTr="002E6A2E" w14:paraId="06673E89" w14:textId="77777777">
              <w:tblPrEx>
                <w:tblW w:w="8075" w:type="dxa"/>
                <w:tblLayout w:type="fixed"/>
                <w:tblCellMar>
                  <w:left w:w="70" w:type="dxa"/>
                  <w:right w:w="70" w:type="dxa"/>
                </w:tblCellMar>
                <w:tblLook w:val="04A0"/>
              </w:tblPrEx>
              <w:trPr>
                <w:trHeight w:val="180"/>
              </w:trPr>
              <w:tc>
                <w:tcPr>
                  <w:tcW w:w="18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E6A2E" w:rsidR="00332F44" w:rsidP="00332F44" w14:paraId="1908313B" w14:textId="1C503C9F">
                  <w:pPr>
                    <w:spacing w:before="0" w:after="0" w:line="276" w:lineRule="auto"/>
                    <w:jc w:val="right"/>
                    <w:rPr>
                      <w:rFonts w:ascii="Verdana" w:hAnsi="Verdana"/>
                      <w:b/>
                      <w:bCs/>
                      <w:i/>
                      <w:iCs/>
                      <w:sz w:val="18"/>
                      <w:szCs w:val="18"/>
                    </w:rPr>
                  </w:pPr>
                  <w:r w:rsidRPr="002E6A2E">
                    <w:rPr>
                      <w:rFonts w:ascii="Verdana" w:hAnsi="Verdana"/>
                      <w:b/>
                      <w:bCs/>
                      <w:i/>
                      <w:iCs/>
                      <w:sz w:val="18"/>
                      <w:szCs w:val="18"/>
                    </w:rPr>
                    <w:t>x € 1.000</w:t>
                  </w:r>
                </w:p>
              </w:tc>
              <w:tc>
                <w:tcPr>
                  <w:tcW w:w="1280" w:type="dxa"/>
                  <w:tcBorders>
                    <w:top w:val="single" w:color="auto" w:sz="4" w:space="0"/>
                    <w:left w:val="nil"/>
                    <w:bottom w:val="single" w:color="auto" w:sz="4" w:space="0"/>
                    <w:right w:val="single" w:color="auto" w:sz="4" w:space="0"/>
                  </w:tcBorders>
                  <w:shd w:val="clear" w:color="auto" w:fill="auto"/>
                  <w:noWrap/>
                  <w:vAlign w:val="bottom"/>
                  <w:hideMark/>
                </w:tcPr>
                <w:p w:rsidRPr="002E6A2E" w:rsidR="00332F44" w:rsidP="00332F44" w14:paraId="6A555642" w14:textId="77777777">
                  <w:pPr>
                    <w:spacing w:before="0" w:after="0" w:line="276" w:lineRule="auto"/>
                    <w:jc w:val="right"/>
                    <w:rPr>
                      <w:rFonts w:ascii="Verdana" w:hAnsi="Verdana"/>
                      <w:b/>
                      <w:bCs/>
                      <w:i/>
                      <w:iCs/>
                      <w:sz w:val="18"/>
                      <w:szCs w:val="18"/>
                    </w:rPr>
                  </w:pPr>
                  <w:r w:rsidRPr="002E6A2E">
                    <w:rPr>
                      <w:rFonts w:ascii="Verdana" w:hAnsi="Verdana"/>
                      <w:b/>
                      <w:bCs/>
                      <w:i/>
                      <w:iCs/>
                      <w:sz w:val="18"/>
                      <w:szCs w:val="18"/>
                    </w:rPr>
                    <w:t>2026</w:t>
                  </w:r>
                </w:p>
              </w:tc>
              <w:tc>
                <w:tcPr>
                  <w:tcW w:w="992" w:type="dxa"/>
                  <w:tcBorders>
                    <w:top w:val="single" w:color="auto" w:sz="4" w:space="0"/>
                    <w:left w:val="nil"/>
                    <w:bottom w:val="single" w:color="auto" w:sz="4" w:space="0"/>
                    <w:right w:val="single" w:color="auto" w:sz="4" w:space="0"/>
                  </w:tcBorders>
                  <w:shd w:val="clear" w:color="auto" w:fill="auto"/>
                  <w:noWrap/>
                  <w:vAlign w:val="bottom"/>
                  <w:hideMark/>
                </w:tcPr>
                <w:p w:rsidRPr="002E6A2E" w:rsidR="00332F44" w:rsidP="00332F44" w14:paraId="66DB1A29" w14:textId="77777777">
                  <w:pPr>
                    <w:spacing w:before="0" w:after="0" w:line="276" w:lineRule="auto"/>
                    <w:jc w:val="right"/>
                    <w:rPr>
                      <w:rFonts w:ascii="Verdana" w:hAnsi="Verdana"/>
                      <w:b/>
                      <w:bCs/>
                      <w:i/>
                      <w:iCs/>
                      <w:sz w:val="18"/>
                      <w:szCs w:val="18"/>
                    </w:rPr>
                  </w:pPr>
                  <w:r w:rsidRPr="002E6A2E">
                    <w:rPr>
                      <w:rFonts w:ascii="Verdana" w:hAnsi="Verdana"/>
                      <w:b/>
                      <w:bCs/>
                      <w:i/>
                      <w:iCs/>
                      <w:sz w:val="18"/>
                      <w:szCs w:val="18"/>
                    </w:rPr>
                    <w:t>2027</w:t>
                  </w:r>
                </w:p>
              </w:tc>
              <w:tc>
                <w:tcPr>
                  <w:tcW w:w="992" w:type="dxa"/>
                  <w:tcBorders>
                    <w:top w:val="single" w:color="auto" w:sz="4" w:space="0"/>
                    <w:left w:val="nil"/>
                    <w:bottom w:val="single" w:color="auto" w:sz="4" w:space="0"/>
                    <w:right w:val="single" w:color="auto" w:sz="4" w:space="0"/>
                  </w:tcBorders>
                  <w:shd w:val="clear" w:color="auto" w:fill="auto"/>
                  <w:noWrap/>
                  <w:vAlign w:val="bottom"/>
                  <w:hideMark/>
                </w:tcPr>
                <w:p w:rsidRPr="002E6A2E" w:rsidR="00332F44" w:rsidP="00332F44" w14:paraId="7E877E38" w14:textId="77777777">
                  <w:pPr>
                    <w:spacing w:before="0" w:after="0" w:line="276" w:lineRule="auto"/>
                    <w:jc w:val="right"/>
                    <w:rPr>
                      <w:rFonts w:ascii="Verdana" w:hAnsi="Verdana"/>
                      <w:b/>
                      <w:bCs/>
                      <w:i/>
                      <w:iCs/>
                      <w:sz w:val="18"/>
                      <w:szCs w:val="18"/>
                    </w:rPr>
                  </w:pPr>
                  <w:r w:rsidRPr="002E6A2E">
                    <w:rPr>
                      <w:rFonts w:ascii="Verdana" w:hAnsi="Verdana"/>
                      <w:b/>
                      <w:bCs/>
                      <w:i/>
                      <w:iCs/>
                      <w:sz w:val="18"/>
                      <w:szCs w:val="18"/>
                    </w:rPr>
                    <w:t>2028</w:t>
                  </w:r>
                </w:p>
              </w:tc>
              <w:tc>
                <w:tcPr>
                  <w:tcW w:w="993" w:type="dxa"/>
                  <w:tcBorders>
                    <w:top w:val="single" w:color="auto" w:sz="4" w:space="0"/>
                    <w:left w:val="nil"/>
                    <w:bottom w:val="single" w:color="auto" w:sz="4" w:space="0"/>
                    <w:right w:val="single" w:color="auto" w:sz="4" w:space="0"/>
                  </w:tcBorders>
                  <w:shd w:val="clear" w:color="auto" w:fill="auto"/>
                  <w:noWrap/>
                  <w:vAlign w:val="bottom"/>
                  <w:hideMark/>
                </w:tcPr>
                <w:p w:rsidRPr="002E6A2E" w:rsidR="00332F44" w:rsidP="00332F44" w14:paraId="2F0216B1" w14:textId="77777777">
                  <w:pPr>
                    <w:spacing w:before="0" w:after="0" w:line="276" w:lineRule="auto"/>
                    <w:jc w:val="right"/>
                    <w:rPr>
                      <w:rFonts w:ascii="Verdana" w:hAnsi="Verdana"/>
                      <w:b/>
                      <w:bCs/>
                      <w:i/>
                      <w:iCs/>
                      <w:sz w:val="18"/>
                      <w:szCs w:val="18"/>
                    </w:rPr>
                  </w:pPr>
                  <w:r w:rsidRPr="002E6A2E">
                    <w:rPr>
                      <w:rFonts w:ascii="Verdana" w:hAnsi="Verdana"/>
                      <w:b/>
                      <w:bCs/>
                      <w:i/>
                      <w:iCs/>
                      <w:sz w:val="18"/>
                      <w:szCs w:val="18"/>
                    </w:rPr>
                    <w:t>2029</w:t>
                  </w:r>
                </w:p>
              </w:tc>
              <w:tc>
                <w:tcPr>
                  <w:tcW w:w="992" w:type="dxa"/>
                  <w:tcBorders>
                    <w:top w:val="single" w:color="auto" w:sz="4" w:space="0"/>
                    <w:left w:val="nil"/>
                    <w:bottom w:val="single" w:color="auto" w:sz="4" w:space="0"/>
                    <w:right w:val="single" w:color="auto" w:sz="4" w:space="0"/>
                  </w:tcBorders>
                  <w:shd w:val="clear" w:color="auto" w:fill="auto"/>
                  <w:noWrap/>
                  <w:vAlign w:val="bottom"/>
                  <w:hideMark/>
                </w:tcPr>
                <w:p w:rsidRPr="002E6A2E" w:rsidR="00332F44" w:rsidP="00332F44" w14:paraId="7E2D50F3" w14:textId="77777777">
                  <w:pPr>
                    <w:spacing w:before="0" w:after="0" w:line="276" w:lineRule="auto"/>
                    <w:jc w:val="right"/>
                    <w:rPr>
                      <w:rFonts w:ascii="Verdana" w:hAnsi="Verdana"/>
                      <w:b/>
                      <w:bCs/>
                      <w:i/>
                      <w:iCs/>
                      <w:sz w:val="18"/>
                      <w:szCs w:val="18"/>
                    </w:rPr>
                  </w:pPr>
                  <w:r w:rsidRPr="002E6A2E">
                    <w:rPr>
                      <w:rFonts w:ascii="Verdana" w:hAnsi="Verdana"/>
                      <w:b/>
                      <w:bCs/>
                      <w:i/>
                      <w:iCs/>
                      <w:sz w:val="18"/>
                      <w:szCs w:val="18"/>
                    </w:rPr>
                    <w:t>2030</w:t>
                  </w:r>
                </w:p>
              </w:tc>
              <w:tc>
                <w:tcPr>
                  <w:tcW w:w="992" w:type="dxa"/>
                  <w:tcBorders>
                    <w:top w:val="single" w:color="auto" w:sz="4" w:space="0"/>
                    <w:left w:val="nil"/>
                    <w:bottom w:val="single" w:color="auto" w:sz="4" w:space="0"/>
                    <w:right w:val="single" w:color="auto" w:sz="4" w:space="0"/>
                  </w:tcBorders>
                  <w:shd w:val="clear" w:color="auto" w:fill="auto"/>
                  <w:noWrap/>
                  <w:vAlign w:val="bottom"/>
                  <w:hideMark/>
                </w:tcPr>
                <w:p w:rsidRPr="002E6A2E" w:rsidR="00332F44" w:rsidP="00332F44" w14:paraId="2B877383" w14:textId="77777777">
                  <w:pPr>
                    <w:spacing w:before="0" w:after="0" w:line="276" w:lineRule="auto"/>
                    <w:jc w:val="right"/>
                    <w:rPr>
                      <w:rFonts w:ascii="Verdana" w:hAnsi="Verdana"/>
                      <w:b/>
                      <w:bCs/>
                      <w:i/>
                      <w:iCs/>
                      <w:sz w:val="18"/>
                      <w:szCs w:val="18"/>
                    </w:rPr>
                  </w:pPr>
                  <w:r w:rsidRPr="002E6A2E">
                    <w:rPr>
                      <w:rFonts w:ascii="Verdana" w:hAnsi="Verdana"/>
                      <w:b/>
                      <w:bCs/>
                      <w:i/>
                      <w:iCs/>
                      <w:sz w:val="18"/>
                      <w:szCs w:val="18"/>
                    </w:rPr>
                    <w:t>2031</w:t>
                  </w:r>
                </w:p>
              </w:tc>
            </w:tr>
            <w:tr w:rsidTr="002E6A2E" w14:paraId="0C6A8DFE" w14:textId="77777777">
              <w:tblPrEx>
                <w:tblW w:w="8075" w:type="dxa"/>
                <w:tblLayout w:type="fixed"/>
                <w:tblCellMar>
                  <w:left w:w="70" w:type="dxa"/>
                  <w:right w:w="70" w:type="dxa"/>
                </w:tblCellMar>
                <w:tblLook w:val="04A0"/>
              </w:tblPrEx>
              <w:trPr>
                <w:trHeight w:val="180"/>
              </w:trPr>
              <w:tc>
                <w:tcPr>
                  <w:tcW w:w="1834" w:type="dxa"/>
                  <w:tcBorders>
                    <w:top w:val="nil"/>
                    <w:left w:val="single" w:color="auto" w:sz="4" w:space="0"/>
                    <w:bottom w:val="single" w:color="auto" w:sz="4" w:space="0"/>
                    <w:right w:val="single" w:color="auto" w:sz="4" w:space="0"/>
                  </w:tcBorders>
                  <w:shd w:val="clear" w:color="auto" w:fill="auto"/>
                  <w:noWrap/>
                  <w:vAlign w:val="bottom"/>
                  <w:hideMark/>
                </w:tcPr>
                <w:p w:rsidRPr="002E6A2E" w:rsidR="00332F44" w:rsidP="00332F44" w14:paraId="41D6CE5C" w14:textId="77777777">
                  <w:pPr>
                    <w:spacing w:before="0" w:after="0" w:line="276" w:lineRule="auto"/>
                    <w:rPr>
                      <w:rFonts w:ascii="Verdana" w:hAnsi="Verdana"/>
                      <w:i/>
                      <w:iCs/>
                      <w:sz w:val="18"/>
                      <w:szCs w:val="18"/>
                    </w:rPr>
                  </w:pPr>
                  <w:r w:rsidRPr="002E6A2E">
                    <w:rPr>
                      <w:rFonts w:ascii="Verdana" w:hAnsi="Verdana"/>
                      <w:i/>
                      <w:iCs/>
                      <w:sz w:val="18"/>
                      <w:szCs w:val="18"/>
                    </w:rPr>
                    <w:t>Ontwerpbegroting 2026</w:t>
                  </w:r>
                </w:p>
              </w:tc>
              <w:tc>
                <w:tcPr>
                  <w:tcW w:w="1280" w:type="dxa"/>
                  <w:tcBorders>
                    <w:top w:val="nil"/>
                    <w:left w:val="nil"/>
                    <w:bottom w:val="single" w:color="auto" w:sz="4" w:space="0"/>
                    <w:right w:val="single" w:color="auto" w:sz="4" w:space="0"/>
                  </w:tcBorders>
                  <w:shd w:val="clear" w:color="auto" w:fill="auto"/>
                  <w:hideMark/>
                </w:tcPr>
                <w:p w:rsidRPr="002E6A2E" w:rsidR="00332F44" w:rsidP="00332F44" w14:paraId="68B768ED" w14:textId="77777777">
                  <w:pPr>
                    <w:spacing w:before="0" w:after="0" w:line="276" w:lineRule="auto"/>
                    <w:jc w:val="right"/>
                    <w:rPr>
                      <w:rFonts w:ascii="Verdana" w:hAnsi="Verdana"/>
                      <w:i/>
                      <w:iCs/>
                      <w:sz w:val="18"/>
                      <w:szCs w:val="18"/>
                    </w:rPr>
                  </w:pPr>
                  <w:r w:rsidRPr="002E6A2E">
                    <w:rPr>
                      <w:rFonts w:ascii="Verdana" w:hAnsi="Verdana"/>
                      <w:i/>
                      <w:iCs/>
                      <w:sz w:val="18"/>
                      <w:szCs w:val="18"/>
                    </w:rPr>
                    <w:t>275.571</w:t>
                  </w:r>
                </w:p>
              </w:tc>
              <w:tc>
                <w:tcPr>
                  <w:tcW w:w="992" w:type="dxa"/>
                  <w:tcBorders>
                    <w:top w:val="nil"/>
                    <w:left w:val="nil"/>
                    <w:bottom w:val="single" w:color="auto" w:sz="4" w:space="0"/>
                    <w:right w:val="single" w:color="auto" w:sz="4" w:space="0"/>
                  </w:tcBorders>
                  <w:shd w:val="clear" w:color="auto" w:fill="auto"/>
                  <w:hideMark/>
                </w:tcPr>
                <w:p w:rsidRPr="002E6A2E" w:rsidR="00332F44" w:rsidP="00332F44" w14:paraId="5F412D34" w14:textId="77777777">
                  <w:pPr>
                    <w:spacing w:before="0" w:after="0" w:line="276" w:lineRule="auto"/>
                    <w:jc w:val="right"/>
                    <w:rPr>
                      <w:rFonts w:ascii="Verdana" w:hAnsi="Verdana"/>
                      <w:i/>
                      <w:iCs/>
                      <w:sz w:val="18"/>
                      <w:szCs w:val="18"/>
                    </w:rPr>
                  </w:pPr>
                  <w:r w:rsidRPr="002E6A2E">
                    <w:rPr>
                      <w:rFonts w:ascii="Verdana" w:hAnsi="Verdana"/>
                      <w:i/>
                      <w:iCs/>
                      <w:sz w:val="18"/>
                      <w:szCs w:val="18"/>
                    </w:rPr>
                    <w:t>152.932</w:t>
                  </w:r>
                </w:p>
              </w:tc>
              <w:tc>
                <w:tcPr>
                  <w:tcW w:w="992" w:type="dxa"/>
                  <w:tcBorders>
                    <w:top w:val="nil"/>
                    <w:left w:val="nil"/>
                    <w:bottom w:val="single" w:color="auto" w:sz="4" w:space="0"/>
                    <w:right w:val="single" w:color="auto" w:sz="4" w:space="0"/>
                  </w:tcBorders>
                  <w:shd w:val="clear" w:color="auto" w:fill="auto"/>
                  <w:hideMark/>
                </w:tcPr>
                <w:p w:rsidRPr="002E6A2E" w:rsidR="00332F44" w:rsidP="00332F44" w14:paraId="62700D50" w14:textId="77777777">
                  <w:pPr>
                    <w:spacing w:before="0" w:after="0" w:line="276" w:lineRule="auto"/>
                    <w:jc w:val="right"/>
                    <w:rPr>
                      <w:rFonts w:ascii="Verdana" w:hAnsi="Verdana"/>
                      <w:i/>
                      <w:iCs/>
                      <w:sz w:val="18"/>
                      <w:szCs w:val="18"/>
                    </w:rPr>
                  </w:pPr>
                  <w:r w:rsidRPr="002E6A2E">
                    <w:rPr>
                      <w:rFonts w:ascii="Verdana" w:hAnsi="Verdana"/>
                      <w:i/>
                      <w:iCs/>
                      <w:sz w:val="18"/>
                      <w:szCs w:val="18"/>
                    </w:rPr>
                    <w:t>135.132</w:t>
                  </w:r>
                </w:p>
              </w:tc>
              <w:tc>
                <w:tcPr>
                  <w:tcW w:w="993" w:type="dxa"/>
                  <w:tcBorders>
                    <w:top w:val="nil"/>
                    <w:left w:val="nil"/>
                    <w:bottom w:val="single" w:color="auto" w:sz="4" w:space="0"/>
                    <w:right w:val="single" w:color="auto" w:sz="4" w:space="0"/>
                  </w:tcBorders>
                  <w:shd w:val="clear" w:color="auto" w:fill="auto"/>
                  <w:hideMark/>
                </w:tcPr>
                <w:p w:rsidRPr="002E6A2E" w:rsidR="00332F44" w:rsidP="00332F44" w14:paraId="7FBBA5B4" w14:textId="77777777">
                  <w:pPr>
                    <w:spacing w:before="0" w:after="0" w:line="276" w:lineRule="auto"/>
                    <w:jc w:val="right"/>
                    <w:rPr>
                      <w:rFonts w:ascii="Verdana" w:hAnsi="Verdana"/>
                      <w:i/>
                      <w:iCs/>
                      <w:sz w:val="18"/>
                      <w:szCs w:val="18"/>
                    </w:rPr>
                  </w:pPr>
                  <w:r w:rsidRPr="002E6A2E">
                    <w:rPr>
                      <w:rFonts w:ascii="Verdana" w:hAnsi="Verdana"/>
                      <w:i/>
                      <w:iCs/>
                      <w:sz w:val="18"/>
                      <w:szCs w:val="18"/>
                    </w:rPr>
                    <w:t>122.926</w:t>
                  </w:r>
                </w:p>
              </w:tc>
              <w:tc>
                <w:tcPr>
                  <w:tcW w:w="992" w:type="dxa"/>
                  <w:tcBorders>
                    <w:top w:val="nil"/>
                    <w:left w:val="nil"/>
                    <w:bottom w:val="single" w:color="auto" w:sz="4" w:space="0"/>
                    <w:right w:val="single" w:color="auto" w:sz="4" w:space="0"/>
                  </w:tcBorders>
                  <w:shd w:val="clear" w:color="auto" w:fill="auto"/>
                  <w:hideMark/>
                </w:tcPr>
                <w:p w:rsidRPr="002E6A2E" w:rsidR="00332F44" w:rsidP="00332F44" w14:paraId="5CD0DCF4" w14:textId="77777777">
                  <w:pPr>
                    <w:spacing w:before="0" w:after="0" w:line="276" w:lineRule="auto"/>
                    <w:jc w:val="right"/>
                    <w:rPr>
                      <w:rFonts w:ascii="Verdana" w:hAnsi="Verdana"/>
                      <w:i/>
                      <w:iCs/>
                      <w:sz w:val="18"/>
                      <w:szCs w:val="18"/>
                    </w:rPr>
                  </w:pPr>
                  <w:r w:rsidRPr="002E6A2E">
                    <w:rPr>
                      <w:rFonts w:ascii="Verdana" w:hAnsi="Verdana"/>
                      <w:i/>
                      <w:iCs/>
                      <w:sz w:val="18"/>
                      <w:szCs w:val="18"/>
                    </w:rPr>
                    <w:t>104.113</w:t>
                  </w:r>
                </w:p>
              </w:tc>
              <w:tc>
                <w:tcPr>
                  <w:tcW w:w="992" w:type="dxa"/>
                  <w:tcBorders>
                    <w:top w:val="nil"/>
                    <w:left w:val="nil"/>
                    <w:bottom w:val="single" w:color="auto" w:sz="4" w:space="0"/>
                    <w:right w:val="single" w:color="auto" w:sz="4" w:space="0"/>
                  </w:tcBorders>
                  <w:shd w:val="clear" w:color="auto" w:fill="auto"/>
                  <w:noWrap/>
                </w:tcPr>
                <w:p w:rsidRPr="002E6A2E" w:rsidR="00332F44" w:rsidP="00332F44" w14:paraId="53B97280" w14:textId="3F40754A">
                  <w:pPr>
                    <w:spacing w:before="0" w:after="0" w:line="276" w:lineRule="auto"/>
                    <w:rPr>
                      <w:rFonts w:ascii="Verdana" w:hAnsi="Verdana"/>
                      <w:i/>
                      <w:iCs/>
                      <w:sz w:val="18"/>
                      <w:szCs w:val="18"/>
                    </w:rPr>
                  </w:pPr>
                </w:p>
              </w:tc>
            </w:tr>
            <w:tr w:rsidTr="002E6A2E" w14:paraId="0568D65B" w14:textId="77777777">
              <w:tblPrEx>
                <w:tblW w:w="8075" w:type="dxa"/>
                <w:tblLayout w:type="fixed"/>
                <w:tblCellMar>
                  <w:left w:w="70" w:type="dxa"/>
                  <w:right w:w="70" w:type="dxa"/>
                </w:tblCellMar>
                <w:tblLook w:val="04A0"/>
              </w:tblPrEx>
              <w:trPr>
                <w:trHeight w:val="180"/>
              </w:trPr>
              <w:tc>
                <w:tcPr>
                  <w:tcW w:w="1834" w:type="dxa"/>
                  <w:tcBorders>
                    <w:top w:val="nil"/>
                    <w:left w:val="single" w:color="auto" w:sz="4" w:space="0"/>
                    <w:bottom w:val="single" w:color="auto" w:sz="4" w:space="0"/>
                    <w:right w:val="single" w:color="auto" w:sz="4" w:space="0"/>
                  </w:tcBorders>
                  <w:shd w:val="clear" w:color="auto" w:fill="auto"/>
                  <w:noWrap/>
                  <w:vAlign w:val="bottom"/>
                  <w:hideMark/>
                </w:tcPr>
                <w:p w:rsidRPr="002E6A2E" w:rsidR="00332F44" w:rsidP="00332F44" w14:paraId="6ED5F58E" w14:textId="77777777">
                  <w:pPr>
                    <w:spacing w:before="0" w:after="0" w:line="276" w:lineRule="auto"/>
                    <w:rPr>
                      <w:rFonts w:ascii="Verdana" w:hAnsi="Verdana"/>
                      <w:i/>
                      <w:iCs/>
                      <w:sz w:val="18"/>
                      <w:szCs w:val="18"/>
                    </w:rPr>
                  </w:pPr>
                  <w:r w:rsidRPr="002E6A2E">
                    <w:rPr>
                      <w:rFonts w:ascii="Verdana" w:hAnsi="Verdana"/>
                      <w:i/>
                      <w:iCs/>
                      <w:sz w:val="18"/>
                      <w:szCs w:val="18"/>
                    </w:rPr>
                    <w:t>Subsidietaakstelling</w:t>
                  </w:r>
                </w:p>
              </w:tc>
              <w:tc>
                <w:tcPr>
                  <w:tcW w:w="1280" w:type="dxa"/>
                  <w:tcBorders>
                    <w:top w:val="nil"/>
                    <w:left w:val="nil"/>
                    <w:bottom w:val="single" w:color="auto" w:sz="4" w:space="0"/>
                    <w:right w:val="single" w:color="auto" w:sz="4" w:space="0"/>
                  </w:tcBorders>
                  <w:shd w:val="clear" w:color="auto" w:fill="auto"/>
                  <w:hideMark/>
                </w:tcPr>
                <w:p w:rsidRPr="002E6A2E" w:rsidR="00332F44" w:rsidP="00332F44" w14:paraId="213A2FD7" w14:textId="77777777">
                  <w:pPr>
                    <w:spacing w:before="0" w:after="0" w:line="276" w:lineRule="auto"/>
                    <w:jc w:val="right"/>
                    <w:rPr>
                      <w:rFonts w:ascii="Verdana" w:hAnsi="Verdana"/>
                      <w:i/>
                      <w:iCs/>
                      <w:sz w:val="18"/>
                      <w:szCs w:val="18"/>
                    </w:rPr>
                  </w:pPr>
                  <w:r w:rsidRPr="002E6A2E">
                    <w:rPr>
                      <w:rFonts w:ascii="Verdana" w:hAnsi="Verdana"/>
                      <w:i/>
                      <w:iCs/>
                      <w:sz w:val="18"/>
                      <w:szCs w:val="18"/>
                    </w:rPr>
                    <w:t> </w:t>
                  </w:r>
                </w:p>
              </w:tc>
              <w:tc>
                <w:tcPr>
                  <w:tcW w:w="992" w:type="dxa"/>
                  <w:tcBorders>
                    <w:top w:val="nil"/>
                    <w:left w:val="nil"/>
                    <w:bottom w:val="single" w:color="auto" w:sz="4" w:space="0"/>
                    <w:right w:val="single" w:color="auto" w:sz="4" w:space="0"/>
                  </w:tcBorders>
                  <w:shd w:val="clear" w:color="auto" w:fill="auto"/>
                  <w:hideMark/>
                </w:tcPr>
                <w:p w:rsidRPr="002E6A2E" w:rsidR="00332F44" w:rsidP="00332F44" w14:paraId="504A0A45" w14:textId="1FFD8DD5">
                  <w:pPr>
                    <w:spacing w:before="0" w:after="0" w:line="276" w:lineRule="auto"/>
                    <w:jc w:val="right"/>
                    <w:rPr>
                      <w:rFonts w:ascii="Verdana" w:hAnsi="Verdana"/>
                      <w:i/>
                      <w:iCs/>
                      <w:sz w:val="18"/>
                      <w:szCs w:val="18"/>
                    </w:rPr>
                  </w:pPr>
                  <w:r w:rsidRPr="002E6A2E">
                    <w:rPr>
                      <w:rFonts w:ascii="Verdana" w:hAnsi="Verdana"/>
                      <w:i/>
                      <w:iCs/>
                      <w:sz w:val="18"/>
                      <w:szCs w:val="18"/>
                    </w:rPr>
                    <w:t>-1,473</w:t>
                  </w:r>
                </w:p>
              </w:tc>
              <w:tc>
                <w:tcPr>
                  <w:tcW w:w="992" w:type="dxa"/>
                  <w:tcBorders>
                    <w:top w:val="nil"/>
                    <w:left w:val="nil"/>
                    <w:bottom w:val="single" w:color="auto" w:sz="4" w:space="0"/>
                    <w:right w:val="single" w:color="auto" w:sz="4" w:space="0"/>
                  </w:tcBorders>
                  <w:shd w:val="clear" w:color="auto" w:fill="auto"/>
                  <w:hideMark/>
                </w:tcPr>
                <w:p w:rsidRPr="002E6A2E" w:rsidR="00332F44" w:rsidP="00332F44" w14:paraId="4378D7A0" w14:textId="1F0BDB51">
                  <w:pPr>
                    <w:spacing w:before="0" w:after="0" w:line="276" w:lineRule="auto"/>
                    <w:jc w:val="right"/>
                    <w:rPr>
                      <w:rFonts w:ascii="Verdana" w:hAnsi="Verdana"/>
                      <w:i/>
                      <w:iCs/>
                      <w:sz w:val="18"/>
                      <w:szCs w:val="18"/>
                    </w:rPr>
                  </w:pPr>
                  <w:r w:rsidRPr="002E6A2E">
                    <w:rPr>
                      <w:rFonts w:ascii="Verdana" w:hAnsi="Verdana"/>
                      <w:i/>
                      <w:iCs/>
                      <w:sz w:val="18"/>
                      <w:szCs w:val="18"/>
                    </w:rPr>
                    <w:t>-1,473</w:t>
                  </w:r>
                </w:p>
              </w:tc>
              <w:tc>
                <w:tcPr>
                  <w:tcW w:w="993" w:type="dxa"/>
                  <w:tcBorders>
                    <w:top w:val="nil"/>
                    <w:left w:val="nil"/>
                    <w:bottom w:val="single" w:color="auto" w:sz="4" w:space="0"/>
                    <w:right w:val="single" w:color="auto" w:sz="4" w:space="0"/>
                  </w:tcBorders>
                  <w:shd w:val="clear" w:color="auto" w:fill="auto"/>
                  <w:hideMark/>
                </w:tcPr>
                <w:p w:rsidRPr="002E6A2E" w:rsidR="00332F44" w:rsidP="00332F44" w14:paraId="0DF4F7CF" w14:textId="28E021A0">
                  <w:pPr>
                    <w:spacing w:before="0" w:after="0" w:line="276" w:lineRule="auto"/>
                    <w:jc w:val="right"/>
                    <w:rPr>
                      <w:rFonts w:ascii="Verdana" w:hAnsi="Verdana"/>
                      <w:i/>
                      <w:iCs/>
                      <w:sz w:val="18"/>
                      <w:szCs w:val="18"/>
                    </w:rPr>
                  </w:pPr>
                  <w:r w:rsidRPr="002E6A2E">
                    <w:rPr>
                      <w:rFonts w:ascii="Verdana" w:hAnsi="Verdana"/>
                      <w:i/>
                      <w:iCs/>
                      <w:sz w:val="18"/>
                      <w:szCs w:val="18"/>
                    </w:rPr>
                    <w:t>-1,473</w:t>
                  </w:r>
                </w:p>
              </w:tc>
              <w:tc>
                <w:tcPr>
                  <w:tcW w:w="992" w:type="dxa"/>
                  <w:tcBorders>
                    <w:top w:val="nil"/>
                    <w:left w:val="nil"/>
                    <w:bottom w:val="single" w:color="auto" w:sz="4" w:space="0"/>
                    <w:right w:val="single" w:color="auto" w:sz="4" w:space="0"/>
                  </w:tcBorders>
                  <w:shd w:val="clear" w:color="auto" w:fill="auto"/>
                  <w:hideMark/>
                </w:tcPr>
                <w:p w:rsidRPr="002E6A2E" w:rsidR="00332F44" w:rsidP="00332F44" w14:paraId="09D37C25" w14:textId="1D5B2F7E">
                  <w:pPr>
                    <w:spacing w:before="0" w:after="0" w:line="276" w:lineRule="auto"/>
                    <w:jc w:val="right"/>
                    <w:rPr>
                      <w:rFonts w:ascii="Verdana" w:hAnsi="Verdana"/>
                      <w:i/>
                      <w:iCs/>
                      <w:sz w:val="18"/>
                      <w:szCs w:val="18"/>
                    </w:rPr>
                  </w:pPr>
                  <w:r w:rsidRPr="002E6A2E">
                    <w:rPr>
                      <w:rFonts w:ascii="Verdana" w:hAnsi="Verdana"/>
                      <w:i/>
                      <w:iCs/>
                      <w:sz w:val="18"/>
                      <w:szCs w:val="18"/>
                    </w:rPr>
                    <w:t>-1,473</w:t>
                  </w:r>
                </w:p>
              </w:tc>
              <w:tc>
                <w:tcPr>
                  <w:tcW w:w="992" w:type="dxa"/>
                  <w:tcBorders>
                    <w:top w:val="nil"/>
                    <w:left w:val="nil"/>
                    <w:bottom w:val="single" w:color="auto" w:sz="4" w:space="0"/>
                    <w:right w:val="single" w:color="auto" w:sz="4" w:space="0"/>
                  </w:tcBorders>
                  <w:shd w:val="clear" w:color="auto" w:fill="auto"/>
                  <w:hideMark/>
                </w:tcPr>
                <w:p w:rsidRPr="002E6A2E" w:rsidR="00332F44" w:rsidP="00332F44" w14:paraId="114E56E9" w14:textId="1714D89D">
                  <w:pPr>
                    <w:spacing w:before="0" w:after="0" w:line="276" w:lineRule="auto"/>
                    <w:jc w:val="right"/>
                    <w:rPr>
                      <w:rFonts w:ascii="Verdana" w:hAnsi="Verdana"/>
                      <w:i/>
                      <w:iCs/>
                      <w:sz w:val="18"/>
                      <w:szCs w:val="18"/>
                    </w:rPr>
                  </w:pPr>
                  <w:r w:rsidRPr="002E6A2E">
                    <w:rPr>
                      <w:rFonts w:ascii="Verdana" w:hAnsi="Verdana"/>
                      <w:i/>
                      <w:iCs/>
                      <w:sz w:val="18"/>
                      <w:szCs w:val="18"/>
                    </w:rPr>
                    <w:t>-1,473</w:t>
                  </w:r>
                </w:p>
              </w:tc>
            </w:tr>
            <w:tr w:rsidTr="002E6A2E" w14:paraId="428D3D90" w14:textId="77777777">
              <w:tblPrEx>
                <w:tblW w:w="8075" w:type="dxa"/>
                <w:tblLayout w:type="fixed"/>
                <w:tblCellMar>
                  <w:left w:w="70" w:type="dxa"/>
                  <w:right w:w="70" w:type="dxa"/>
                </w:tblCellMar>
                <w:tblLook w:val="04A0"/>
              </w:tblPrEx>
              <w:trPr>
                <w:trHeight w:val="180"/>
              </w:trPr>
              <w:tc>
                <w:tcPr>
                  <w:tcW w:w="1834" w:type="dxa"/>
                  <w:tcBorders>
                    <w:top w:val="nil"/>
                    <w:left w:val="single" w:color="auto" w:sz="4" w:space="0"/>
                    <w:bottom w:val="single" w:color="auto" w:sz="4" w:space="0"/>
                    <w:right w:val="single" w:color="auto" w:sz="4" w:space="0"/>
                  </w:tcBorders>
                  <w:shd w:val="clear" w:color="auto" w:fill="auto"/>
                  <w:noWrap/>
                  <w:vAlign w:val="bottom"/>
                  <w:hideMark/>
                </w:tcPr>
                <w:p w:rsidRPr="002E6A2E" w:rsidR="00332F44" w:rsidP="00332F44" w14:paraId="21F40CE5" w14:textId="3EF66CAA">
                  <w:pPr>
                    <w:spacing w:before="0" w:after="0" w:line="276" w:lineRule="auto"/>
                    <w:rPr>
                      <w:rFonts w:ascii="Verdana" w:hAnsi="Verdana"/>
                      <w:i/>
                      <w:iCs/>
                      <w:sz w:val="18"/>
                      <w:szCs w:val="18"/>
                    </w:rPr>
                  </w:pPr>
                  <w:r w:rsidRPr="002E6A2E">
                    <w:rPr>
                      <w:rFonts w:ascii="Verdana" w:hAnsi="Verdana"/>
                      <w:i/>
                      <w:iCs/>
                      <w:sz w:val="18"/>
                      <w:szCs w:val="18"/>
                    </w:rPr>
                    <w:t xml:space="preserve">1e suppletoire begroting 2026* </w:t>
                  </w:r>
                </w:p>
              </w:tc>
              <w:tc>
                <w:tcPr>
                  <w:tcW w:w="1280" w:type="dxa"/>
                  <w:tcBorders>
                    <w:top w:val="nil"/>
                    <w:left w:val="nil"/>
                    <w:bottom w:val="single" w:color="auto" w:sz="4" w:space="0"/>
                    <w:right w:val="single" w:color="auto" w:sz="4" w:space="0"/>
                  </w:tcBorders>
                  <w:shd w:val="clear" w:color="auto" w:fill="auto"/>
                  <w:noWrap/>
                  <w:vAlign w:val="bottom"/>
                  <w:hideMark/>
                </w:tcPr>
                <w:p w:rsidRPr="002E6A2E" w:rsidR="00332F44" w:rsidP="00332F44" w14:paraId="2A9F6AA2" w14:textId="77777777">
                  <w:pPr>
                    <w:spacing w:before="0" w:after="0" w:line="276" w:lineRule="auto"/>
                    <w:jc w:val="right"/>
                    <w:rPr>
                      <w:rFonts w:ascii="Verdana" w:hAnsi="Verdana"/>
                      <w:i/>
                      <w:iCs/>
                      <w:sz w:val="18"/>
                      <w:szCs w:val="18"/>
                    </w:rPr>
                  </w:pPr>
                  <w:r w:rsidRPr="002E6A2E">
                    <w:rPr>
                      <w:rFonts w:ascii="Verdana" w:hAnsi="Verdana"/>
                      <w:i/>
                      <w:iCs/>
                      <w:sz w:val="18"/>
                      <w:szCs w:val="18"/>
                    </w:rPr>
                    <w:t>287.930</w:t>
                  </w:r>
                </w:p>
              </w:tc>
              <w:tc>
                <w:tcPr>
                  <w:tcW w:w="992" w:type="dxa"/>
                  <w:tcBorders>
                    <w:top w:val="nil"/>
                    <w:left w:val="nil"/>
                    <w:bottom w:val="single" w:color="auto" w:sz="4" w:space="0"/>
                    <w:right w:val="single" w:color="auto" w:sz="4" w:space="0"/>
                  </w:tcBorders>
                  <w:shd w:val="clear" w:color="auto" w:fill="auto"/>
                  <w:noWrap/>
                  <w:vAlign w:val="bottom"/>
                  <w:hideMark/>
                </w:tcPr>
                <w:p w:rsidRPr="002E6A2E" w:rsidR="00332F44" w:rsidP="00332F44" w14:paraId="40CAA098" w14:textId="77777777">
                  <w:pPr>
                    <w:spacing w:before="0" w:after="0" w:line="276" w:lineRule="auto"/>
                    <w:jc w:val="right"/>
                    <w:rPr>
                      <w:rFonts w:ascii="Verdana" w:hAnsi="Verdana"/>
                      <w:i/>
                      <w:iCs/>
                      <w:sz w:val="18"/>
                      <w:szCs w:val="18"/>
                    </w:rPr>
                  </w:pPr>
                  <w:r w:rsidRPr="002E6A2E">
                    <w:rPr>
                      <w:rFonts w:ascii="Verdana" w:hAnsi="Verdana"/>
                      <w:i/>
                      <w:iCs/>
                      <w:sz w:val="18"/>
                      <w:szCs w:val="18"/>
                    </w:rPr>
                    <w:t>271.156</w:t>
                  </w:r>
                </w:p>
              </w:tc>
              <w:tc>
                <w:tcPr>
                  <w:tcW w:w="992" w:type="dxa"/>
                  <w:tcBorders>
                    <w:top w:val="nil"/>
                    <w:left w:val="nil"/>
                    <w:bottom w:val="single" w:color="auto" w:sz="4" w:space="0"/>
                    <w:right w:val="single" w:color="auto" w:sz="4" w:space="0"/>
                  </w:tcBorders>
                  <w:shd w:val="clear" w:color="auto" w:fill="auto"/>
                  <w:noWrap/>
                  <w:vAlign w:val="bottom"/>
                  <w:hideMark/>
                </w:tcPr>
                <w:p w:rsidRPr="002E6A2E" w:rsidR="00332F44" w:rsidP="00332F44" w14:paraId="387FB598" w14:textId="77777777">
                  <w:pPr>
                    <w:spacing w:before="0" w:after="0" w:line="276" w:lineRule="auto"/>
                    <w:jc w:val="right"/>
                    <w:rPr>
                      <w:rFonts w:ascii="Verdana" w:hAnsi="Verdana"/>
                      <w:i/>
                      <w:iCs/>
                      <w:sz w:val="18"/>
                      <w:szCs w:val="18"/>
                    </w:rPr>
                  </w:pPr>
                  <w:r w:rsidRPr="002E6A2E">
                    <w:rPr>
                      <w:rFonts w:ascii="Verdana" w:hAnsi="Verdana"/>
                      <w:i/>
                      <w:iCs/>
                      <w:sz w:val="18"/>
                      <w:szCs w:val="18"/>
                    </w:rPr>
                    <w:t>201.209</w:t>
                  </w:r>
                </w:p>
              </w:tc>
              <w:tc>
                <w:tcPr>
                  <w:tcW w:w="993" w:type="dxa"/>
                  <w:tcBorders>
                    <w:top w:val="nil"/>
                    <w:left w:val="nil"/>
                    <w:bottom w:val="single" w:color="auto" w:sz="4" w:space="0"/>
                    <w:right w:val="single" w:color="auto" w:sz="4" w:space="0"/>
                  </w:tcBorders>
                  <w:shd w:val="clear" w:color="auto" w:fill="auto"/>
                  <w:noWrap/>
                  <w:vAlign w:val="bottom"/>
                  <w:hideMark/>
                </w:tcPr>
                <w:p w:rsidRPr="002E6A2E" w:rsidR="00332F44" w:rsidP="00332F44" w14:paraId="166661E9" w14:textId="77777777">
                  <w:pPr>
                    <w:spacing w:before="0" w:after="0" w:line="276" w:lineRule="auto"/>
                    <w:jc w:val="right"/>
                    <w:rPr>
                      <w:rFonts w:ascii="Verdana" w:hAnsi="Verdana"/>
                      <w:i/>
                      <w:iCs/>
                      <w:sz w:val="18"/>
                      <w:szCs w:val="18"/>
                    </w:rPr>
                  </w:pPr>
                  <w:r w:rsidRPr="002E6A2E">
                    <w:rPr>
                      <w:rFonts w:ascii="Verdana" w:hAnsi="Verdana"/>
                      <w:i/>
                      <w:iCs/>
                      <w:sz w:val="18"/>
                      <w:szCs w:val="18"/>
                    </w:rPr>
                    <w:t>127.538</w:t>
                  </w:r>
                </w:p>
              </w:tc>
              <w:tc>
                <w:tcPr>
                  <w:tcW w:w="992" w:type="dxa"/>
                  <w:tcBorders>
                    <w:top w:val="nil"/>
                    <w:left w:val="nil"/>
                    <w:bottom w:val="single" w:color="auto" w:sz="4" w:space="0"/>
                    <w:right w:val="single" w:color="auto" w:sz="4" w:space="0"/>
                  </w:tcBorders>
                  <w:shd w:val="clear" w:color="auto" w:fill="auto"/>
                  <w:noWrap/>
                  <w:vAlign w:val="bottom"/>
                  <w:hideMark/>
                </w:tcPr>
                <w:p w:rsidRPr="002E6A2E" w:rsidR="00332F44" w:rsidP="00332F44" w14:paraId="70C6EB61" w14:textId="77777777">
                  <w:pPr>
                    <w:spacing w:before="0" w:after="0" w:line="276" w:lineRule="auto"/>
                    <w:jc w:val="right"/>
                    <w:rPr>
                      <w:rFonts w:ascii="Verdana" w:hAnsi="Verdana"/>
                      <w:i/>
                      <w:iCs/>
                      <w:sz w:val="18"/>
                      <w:szCs w:val="18"/>
                    </w:rPr>
                  </w:pPr>
                  <w:r w:rsidRPr="002E6A2E">
                    <w:rPr>
                      <w:rFonts w:ascii="Verdana" w:hAnsi="Verdana"/>
                      <w:i/>
                      <w:iCs/>
                      <w:sz w:val="18"/>
                      <w:szCs w:val="18"/>
                    </w:rPr>
                    <w:t>103.487</w:t>
                  </w:r>
                </w:p>
              </w:tc>
              <w:tc>
                <w:tcPr>
                  <w:tcW w:w="992" w:type="dxa"/>
                  <w:tcBorders>
                    <w:top w:val="nil"/>
                    <w:left w:val="nil"/>
                    <w:bottom w:val="single" w:color="auto" w:sz="4" w:space="0"/>
                    <w:right w:val="single" w:color="auto" w:sz="4" w:space="0"/>
                  </w:tcBorders>
                  <w:shd w:val="clear" w:color="auto" w:fill="auto"/>
                  <w:noWrap/>
                  <w:vAlign w:val="bottom"/>
                  <w:hideMark/>
                </w:tcPr>
                <w:p w:rsidRPr="002E6A2E" w:rsidR="00332F44" w:rsidP="00332F44" w14:paraId="1A40C9DF" w14:textId="77777777">
                  <w:pPr>
                    <w:spacing w:before="0" w:after="0" w:line="276" w:lineRule="auto"/>
                    <w:jc w:val="right"/>
                    <w:rPr>
                      <w:rFonts w:ascii="Verdana" w:hAnsi="Verdana"/>
                      <w:i/>
                      <w:iCs/>
                      <w:sz w:val="18"/>
                      <w:szCs w:val="18"/>
                    </w:rPr>
                  </w:pPr>
                  <w:r w:rsidRPr="002E6A2E">
                    <w:rPr>
                      <w:rFonts w:ascii="Verdana" w:hAnsi="Verdana"/>
                      <w:i/>
                      <w:iCs/>
                      <w:sz w:val="18"/>
                      <w:szCs w:val="18"/>
                    </w:rPr>
                    <w:t>101.955</w:t>
                  </w:r>
                </w:p>
              </w:tc>
            </w:tr>
          </w:tbl>
          <w:p w:rsidRPr="002E6A2E" w:rsidR="00332F44" w:rsidP="00332F44" w14:paraId="4B44C051" w14:textId="162E887B">
            <w:pPr>
              <w:spacing w:line="276" w:lineRule="auto"/>
              <w:rPr>
                <w:rFonts w:ascii="Verdana" w:hAnsi="Verdana"/>
                <w:i/>
                <w:iCs/>
                <w:sz w:val="18"/>
                <w:szCs w:val="18"/>
              </w:rPr>
            </w:pPr>
            <w:r w:rsidRPr="002E6A2E">
              <w:rPr>
                <w:rFonts w:ascii="Verdana" w:hAnsi="Verdana"/>
                <w:i/>
                <w:iCs/>
                <w:sz w:val="18"/>
                <w:szCs w:val="18"/>
              </w:rPr>
              <w:t>*In de 1</w:t>
            </w:r>
            <w:r w:rsidRPr="002E6A2E">
              <w:rPr>
                <w:rFonts w:ascii="Verdana" w:hAnsi="Verdana"/>
                <w:i/>
                <w:iCs/>
                <w:sz w:val="18"/>
                <w:szCs w:val="18"/>
                <w:vertAlign w:val="superscript"/>
              </w:rPr>
              <w:t>e</w:t>
            </w:r>
            <w:r w:rsidRPr="002E6A2E">
              <w:rPr>
                <w:rFonts w:ascii="Verdana" w:hAnsi="Verdana"/>
                <w:i/>
                <w:iCs/>
                <w:sz w:val="18"/>
                <w:szCs w:val="18"/>
              </w:rPr>
              <w:t xml:space="preserve"> suppletoire begroting 2026 hebben verschillende mutaties op het subsidiebudget plaatsgevonden. Dit verklaard het verschil tussen stand ontwerpbegroting en de stand 1</w:t>
            </w:r>
            <w:r w:rsidRPr="002E6A2E">
              <w:rPr>
                <w:rFonts w:ascii="Verdana" w:hAnsi="Verdana"/>
                <w:i/>
                <w:iCs/>
                <w:sz w:val="18"/>
                <w:szCs w:val="18"/>
                <w:vertAlign w:val="superscript"/>
              </w:rPr>
              <w:t>e</w:t>
            </w:r>
            <w:r w:rsidRPr="002E6A2E">
              <w:rPr>
                <w:rFonts w:ascii="Verdana" w:hAnsi="Verdana"/>
                <w:i/>
                <w:iCs/>
                <w:sz w:val="18"/>
                <w:szCs w:val="18"/>
              </w:rPr>
              <w:t xml:space="preserve"> suppletoire begroting. Deze mutaties staan nader toegelicht in de 1</w:t>
            </w:r>
            <w:r w:rsidRPr="002E6A2E">
              <w:rPr>
                <w:rFonts w:ascii="Verdana" w:hAnsi="Verdana"/>
                <w:i/>
                <w:iCs/>
                <w:sz w:val="18"/>
                <w:szCs w:val="18"/>
                <w:vertAlign w:val="superscript"/>
              </w:rPr>
              <w:t>e</w:t>
            </w:r>
            <w:r w:rsidRPr="002E6A2E">
              <w:rPr>
                <w:rFonts w:ascii="Verdana" w:hAnsi="Verdana"/>
                <w:i/>
                <w:iCs/>
                <w:sz w:val="18"/>
                <w:szCs w:val="18"/>
              </w:rPr>
              <w:t xml:space="preserve"> suppletoire begroting. </w:t>
            </w:r>
          </w:p>
          <w:p w:rsidRPr="00332F44" w:rsidR="00332F44" w:rsidP="00332F44" w14:paraId="0ECD4409" w14:textId="77777777">
            <w:pPr>
              <w:spacing w:line="276" w:lineRule="auto"/>
              <w:rPr>
                <w:rFonts w:ascii="Verdana" w:hAnsi="Verdana"/>
                <w:sz w:val="18"/>
                <w:szCs w:val="18"/>
              </w:rPr>
            </w:pPr>
          </w:p>
        </w:tc>
      </w:tr>
      <w:tr w:rsidTr="00332F44" w14:paraId="70EC835E" w14:textId="77777777">
        <w:tblPrEx>
          <w:tblW w:w="8647" w:type="dxa"/>
          <w:tblLayout w:type="fixed"/>
          <w:tblCellMar>
            <w:left w:w="0" w:type="dxa"/>
            <w:right w:w="0" w:type="dxa"/>
          </w:tblCellMar>
          <w:tblLook w:val="0000"/>
        </w:tblPrEx>
        <w:tc>
          <w:tcPr>
            <w:tcW w:w="8647" w:type="dxa"/>
          </w:tcPr>
          <w:p w:rsidRPr="002E6A2E" w:rsidR="00332F44" w:rsidP="00332F44" w14:paraId="4301D6DD" w14:textId="4F4DF82E">
            <w:pPr>
              <w:spacing w:line="276" w:lineRule="auto"/>
              <w:rPr>
                <w:rFonts w:ascii="Verdana" w:hAnsi="Verdana"/>
                <w:b/>
                <w:bCs/>
                <w:sz w:val="18"/>
                <w:szCs w:val="18"/>
              </w:rPr>
            </w:pPr>
            <w:r w:rsidRPr="002E6A2E">
              <w:rPr>
                <w:rFonts w:ascii="Verdana" w:hAnsi="Verdana"/>
                <w:b/>
                <w:bCs/>
                <w:sz w:val="18"/>
                <w:szCs w:val="18"/>
              </w:rPr>
              <w:t>Vraag 9</w:t>
            </w:r>
          </w:p>
          <w:p w:rsidRPr="00332F44" w:rsidR="00332F44" w:rsidP="00332F44" w14:paraId="42FDD0AD" w14:textId="391DB051">
            <w:pPr>
              <w:spacing w:line="276" w:lineRule="auto"/>
              <w:rPr>
                <w:rFonts w:ascii="Verdana" w:hAnsi="Verdana"/>
                <w:sz w:val="18"/>
                <w:szCs w:val="18"/>
              </w:rPr>
            </w:pPr>
            <w:r w:rsidRPr="00332F44">
              <w:rPr>
                <w:rFonts w:ascii="Verdana" w:hAnsi="Verdana"/>
                <w:sz w:val="18"/>
                <w:szCs w:val="18"/>
              </w:rPr>
              <w:t>Kunt u aangeven welke specifieke subsidies worden verlaagd als gevolg van de subsidietaakstelling en met welke bedragen?</w:t>
            </w:r>
          </w:p>
          <w:p w:rsidRPr="00332F44" w:rsidR="00332F44" w:rsidP="00332F44" w14:paraId="67BB359D" w14:textId="77777777">
            <w:pPr>
              <w:spacing w:line="276" w:lineRule="auto"/>
              <w:rPr>
                <w:rFonts w:ascii="Verdana" w:hAnsi="Verdana"/>
                <w:sz w:val="18"/>
                <w:szCs w:val="18"/>
              </w:rPr>
            </w:pPr>
          </w:p>
          <w:p w:rsidRPr="002E6A2E" w:rsidR="00332F44" w:rsidP="00332F44" w14:paraId="4378F876" w14:textId="77777777">
            <w:pPr>
              <w:spacing w:line="276" w:lineRule="auto"/>
              <w:rPr>
                <w:rFonts w:ascii="Verdana" w:hAnsi="Verdana"/>
                <w:i/>
                <w:iCs/>
                <w:sz w:val="18"/>
                <w:szCs w:val="18"/>
              </w:rPr>
            </w:pPr>
            <w:r w:rsidRPr="002E6A2E">
              <w:rPr>
                <w:rFonts w:ascii="Verdana" w:hAnsi="Verdana"/>
                <w:i/>
                <w:iCs/>
                <w:sz w:val="18"/>
                <w:szCs w:val="18"/>
              </w:rPr>
              <w:t xml:space="preserve">De subsidietaakstelling is naar rato over alle subsidies verdeeld. Het aandeel voor de begroting van BZK bedraagt € 1,473 mln. vanaf 2027 (circa 1% van de </w:t>
            </w:r>
            <w:r w:rsidRPr="002E6A2E">
              <w:rPr>
                <w:rFonts w:ascii="Verdana" w:hAnsi="Verdana"/>
                <w:i/>
                <w:iCs/>
                <w:sz w:val="18"/>
                <w:szCs w:val="18"/>
              </w:rPr>
              <w:t>subsidieuitgaven</w:t>
            </w:r>
            <w:r w:rsidRPr="002E6A2E">
              <w:rPr>
                <w:rFonts w:ascii="Verdana" w:hAnsi="Verdana"/>
                <w:i/>
                <w:iCs/>
                <w:sz w:val="18"/>
                <w:szCs w:val="18"/>
              </w:rPr>
              <w:t xml:space="preserve"> op begrotingshoofdstuk VII (BZK)).</w:t>
            </w:r>
          </w:p>
          <w:p w:rsidRPr="00332F44" w:rsidR="00332F44" w:rsidP="00332F44" w14:paraId="2B145F2C" w14:textId="77777777">
            <w:pPr>
              <w:spacing w:line="276" w:lineRule="auto"/>
              <w:rPr>
                <w:rFonts w:ascii="Verdana" w:hAnsi="Verdana"/>
                <w:sz w:val="18"/>
                <w:szCs w:val="18"/>
              </w:rPr>
            </w:pPr>
          </w:p>
        </w:tc>
      </w:tr>
      <w:tr w:rsidTr="00332F44" w14:paraId="15BC08E1" w14:textId="77777777">
        <w:tblPrEx>
          <w:tblW w:w="8647" w:type="dxa"/>
          <w:tblLayout w:type="fixed"/>
          <w:tblCellMar>
            <w:left w:w="0" w:type="dxa"/>
            <w:right w:w="0" w:type="dxa"/>
          </w:tblCellMar>
          <w:tblLook w:val="0000"/>
        </w:tblPrEx>
        <w:tc>
          <w:tcPr>
            <w:tcW w:w="8647" w:type="dxa"/>
          </w:tcPr>
          <w:p w:rsidRPr="002E6A2E" w:rsidR="00332F44" w:rsidP="00332F44" w14:paraId="3A89FFA3" w14:textId="5E800B29">
            <w:pPr>
              <w:spacing w:line="276" w:lineRule="auto"/>
              <w:rPr>
                <w:rFonts w:ascii="Verdana" w:hAnsi="Verdana"/>
                <w:b/>
                <w:bCs/>
                <w:sz w:val="18"/>
                <w:szCs w:val="18"/>
              </w:rPr>
            </w:pPr>
            <w:r w:rsidRPr="002E6A2E">
              <w:rPr>
                <w:rFonts w:ascii="Verdana" w:hAnsi="Verdana"/>
                <w:b/>
                <w:bCs/>
                <w:sz w:val="18"/>
                <w:szCs w:val="18"/>
              </w:rPr>
              <w:t>Vraag 10</w:t>
            </w:r>
          </w:p>
          <w:p w:rsidRPr="00332F44" w:rsidR="00332F44" w:rsidP="00332F44" w14:paraId="2613CB43" w14:textId="7D36CE01">
            <w:pPr>
              <w:spacing w:line="276" w:lineRule="auto"/>
              <w:rPr>
                <w:rFonts w:ascii="Verdana" w:hAnsi="Verdana"/>
                <w:sz w:val="18"/>
                <w:szCs w:val="18"/>
              </w:rPr>
            </w:pPr>
            <w:r w:rsidRPr="00332F44">
              <w:rPr>
                <w:rFonts w:ascii="Verdana" w:hAnsi="Verdana"/>
                <w:sz w:val="18"/>
                <w:szCs w:val="18"/>
              </w:rPr>
              <w:t>Hoeveel geld wordt er besteed aan (wetenschappelijke) onderzoeken?</w:t>
            </w:r>
          </w:p>
          <w:p w:rsidRPr="002E6A2E" w:rsidR="00332F44" w:rsidP="00332F44" w14:paraId="4AE8E3F5" w14:textId="77777777">
            <w:pPr>
              <w:spacing w:line="276" w:lineRule="auto"/>
              <w:rPr>
                <w:rFonts w:ascii="Verdana" w:hAnsi="Verdana"/>
                <w:i/>
                <w:iCs/>
                <w:sz w:val="18"/>
                <w:szCs w:val="18"/>
              </w:rPr>
            </w:pPr>
          </w:p>
          <w:p w:rsidRPr="006F068D" w:rsidR="00332F44" w:rsidP="00332F44" w14:paraId="7C0C8DF6" w14:textId="2C07EAB4">
            <w:pPr>
              <w:spacing w:line="276" w:lineRule="auto"/>
              <w:rPr>
                <w:rFonts w:ascii="Verdana" w:hAnsi="Verdana"/>
                <w:i/>
                <w:iCs/>
                <w:sz w:val="18"/>
                <w:szCs w:val="18"/>
              </w:rPr>
            </w:pPr>
            <w:r>
              <w:rPr>
                <w:rFonts w:ascii="Verdana" w:hAnsi="Verdana"/>
                <w:i/>
                <w:iCs/>
                <w:sz w:val="18"/>
                <w:szCs w:val="18"/>
              </w:rPr>
              <w:t>Dit is</w:t>
            </w:r>
            <w:r w:rsidRPr="002E6A2E">
              <w:rPr>
                <w:rFonts w:ascii="Verdana" w:hAnsi="Verdana"/>
                <w:i/>
                <w:iCs/>
                <w:sz w:val="18"/>
                <w:szCs w:val="18"/>
              </w:rPr>
              <w:t xml:space="preserve"> </w:t>
            </w:r>
            <w:r w:rsidRPr="002E6A2E">
              <w:rPr>
                <w:rFonts w:ascii="Verdana" w:hAnsi="Verdana"/>
                <w:i/>
                <w:iCs/>
                <w:sz w:val="18"/>
                <w:szCs w:val="18"/>
              </w:rPr>
              <w:t>Rijksbreed</w:t>
            </w:r>
            <w:r w:rsidRPr="002E6A2E">
              <w:rPr>
                <w:rFonts w:ascii="Verdana" w:hAnsi="Verdana"/>
                <w:i/>
                <w:iCs/>
                <w:sz w:val="18"/>
                <w:szCs w:val="18"/>
              </w:rPr>
              <w:t xml:space="preserve"> niet inzichtelijk te maken.</w:t>
            </w:r>
          </w:p>
        </w:tc>
      </w:tr>
    </w:tbl>
    <w:p w:rsidR="002E6A2E" w14:paraId="065EC3F2" w14:textId="34FEBF91"/>
    <w:tbl>
      <w:tblPr>
        <w:tblW w:w="8647" w:type="dxa"/>
        <w:tblLayout w:type="fixed"/>
        <w:tblCellMar>
          <w:left w:w="0" w:type="dxa"/>
          <w:right w:w="0" w:type="dxa"/>
        </w:tblCellMar>
        <w:tblLook w:val="0000"/>
      </w:tblPr>
      <w:tblGrid>
        <w:gridCol w:w="8647"/>
      </w:tblGrid>
      <w:tr w:rsidTr="00332F44" w14:paraId="2F000E22" w14:textId="77777777">
        <w:tblPrEx>
          <w:tblW w:w="8647" w:type="dxa"/>
          <w:tblLayout w:type="fixed"/>
          <w:tblCellMar>
            <w:left w:w="0" w:type="dxa"/>
            <w:right w:w="0" w:type="dxa"/>
          </w:tblCellMar>
          <w:tblLook w:val="0000"/>
        </w:tblPrEx>
        <w:tc>
          <w:tcPr>
            <w:tcW w:w="8647" w:type="dxa"/>
          </w:tcPr>
          <w:p w:rsidRPr="002E6A2E" w:rsidR="00332F44" w:rsidP="00332F44" w14:paraId="367E5806" w14:textId="07BA0502">
            <w:pPr>
              <w:spacing w:line="276" w:lineRule="auto"/>
              <w:rPr>
                <w:rFonts w:ascii="Verdana" w:hAnsi="Verdana"/>
                <w:b/>
                <w:bCs/>
                <w:sz w:val="18"/>
                <w:szCs w:val="18"/>
              </w:rPr>
            </w:pPr>
            <w:r w:rsidRPr="002E6A2E">
              <w:rPr>
                <w:rFonts w:ascii="Verdana" w:hAnsi="Verdana"/>
                <w:b/>
                <w:bCs/>
                <w:sz w:val="18"/>
                <w:szCs w:val="18"/>
              </w:rPr>
              <w:t>Vraag 11 (blz. 5)</w:t>
            </w:r>
          </w:p>
          <w:p w:rsidRPr="00332F44" w:rsidR="00332F44" w:rsidP="00332F44" w14:paraId="0B33D6EA" w14:textId="713918EE">
            <w:pPr>
              <w:spacing w:line="276" w:lineRule="auto"/>
              <w:rPr>
                <w:rFonts w:ascii="Verdana" w:hAnsi="Verdana"/>
                <w:sz w:val="18"/>
                <w:szCs w:val="18"/>
              </w:rPr>
            </w:pPr>
            <w:r w:rsidRPr="00332F44">
              <w:rPr>
                <w:rFonts w:ascii="Verdana" w:hAnsi="Verdana"/>
                <w:sz w:val="18"/>
                <w:szCs w:val="18"/>
              </w:rPr>
              <w:t>Hoeveel ambtenaren vallen bij het ministerie van BZK onder de nullijn?</w:t>
            </w:r>
          </w:p>
          <w:p w:rsidRPr="00332F44" w:rsidR="00332F44" w:rsidP="00332F44" w14:paraId="4B9C13BB" w14:textId="77777777">
            <w:pPr>
              <w:spacing w:line="276" w:lineRule="auto"/>
              <w:rPr>
                <w:rFonts w:ascii="Verdana" w:hAnsi="Verdana"/>
                <w:sz w:val="18"/>
                <w:szCs w:val="18"/>
              </w:rPr>
            </w:pPr>
          </w:p>
          <w:p w:rsidRPr="002E6A2E" w:rsidR="00332F44" w:rsidP="00332F44" w14:paraId="41DA5314" w14:textId="790B8CCF">
            <w:pPr>
              <w:spacing w:line="276" w:lineRule="auto"/>
              <w:rPr>
                <w:rFonts w:ascii="Verdana" w:hAnsi="Verdana"/>
                <w:i/>
                <w:iCs/>
                <w:sz w:val="18"/>
                <w:szCs w:val="18"/>
              </w:rPr>
            </w:pPr>
            <w:r w:rsidRPr="002E6A2E">
              <w:rPr>
                <w:rFonts w:ascii="Verdana" w:hAnsi="Verdana"/>
                <w:i/>
                <w:iCs/>
                <w:sz w:val="18"/>
                <w:szCs w:val="18"/>
              </w:rPr>
              <w:t xml:space="preserve">Bij het ministerie van BZK zijn 14.571 </w:t>
            </w:r>
            <w:r w:rsidRPr="002E6A2E">
              <w:rPr>
                <w:rFonts w:ascii="Verdana" w:hAnsi="Verdana"/>
                <w:i/>
                <w:iCs/>
                <w:sz w:val="18"/>
                <w:szCs w:val="18"/>
              </w:rPr>
              <w:t>rijksmedewerkers</w:t>
            </w:r>
            <w:r w:rsidRPr="002E6A2E">
              <w:rPr>
                <w:rFonts w:ascii="Verdana" w:hAnsi="Verdana"/>
                <w:i/>
                <w:iCs/>
                <w:sz w:val="18"/>
                <w:szCs w:val="18"/>
              </w:rPr>
              <w:t xml:space="preserve"> (ultimo Q4 2025, aantal personen) werkzaam. Op ieder van hen is de nullijn van toepassing. Met het ministerie van BZK wordt bedoeld: Directoraten-Generaal, agentschappen, adviescolleges, </w:t>
            </w:r>
            <w:r w:rsidRPr="002E6A2E">
              <w:rPr>
                <w:rFonts w:ascii="Verdana" w:hAnsi="Verdana"/>
                <w:i/>
                <w:iCs/>
                <w:sz w:val="18"/>
                <w:szCs w:val="18"/>
              </w:rPr>
              <w:t>zbo’s</w:t>
            </w:r>
            <w:r w:rsidRPr="002E6A2E">
              <w:rPr>
                <w:rFonts w:ascii="Verdana" w:hAnsi="Verdana"/>
                <w:i/>
                <w:iCs/>
                <w:sz w:val="18"/>
                <w:szCs w:val="18"/>
              </w:rPr>
              <w:t xml:space="preserve"> zonder eigen rechtspersoonlijkheid en overige organisatieonderdelen. Omdat sinds het kabinet-</w:t>
            </w:r>
            <w:r w:rsidRPr="002E6A2E">
              <w:rPr>
                <w:rFonts w:ascii="Verdana" w:hAnsi="Verdana"/>
                <w:i/>
                <w:iCs/>
                <w:sz w:val="18"/>
                <w:szCs w:val="18"/>
              </w:rPr>
              <w:t>Jetten</w:t>
            </w:r>
            <w:r w:rsidRPr="002E6A2E">
              <w:rPr>
                <w:rFonts w:ascii="Verdana" w:hAnsi="Verdana"/>
                <w:i/>
                <w:iCs/>
                <w:sz w:val="18"/>
                <w:szCs w:val="18"/>
              </w:rPr>
              <w:t xml:space="preserve"> Volkshuisvesting en Ruimtelijke Ordening onder de verantwoordelijkheid van het ministerie van BZK valt, zijn de </w:t>
            </w:r>
            <w:r w:rsidRPr="002E6A2E">
              <w:rPr>
                <w:rFonts w:ascii="Verdana" w:hAnsi="Verdana"/>
                <w:i/>
                <w:iCs/>
                <w:sz w:val="18"/>
                <w:szCs w:val="18"/>
              </w:rPr>
              <w:t>rijksmedewerkers</w:t>
            </w:r>
            <w:r w:rsidRPr="002E6A2E">
              <w:rPr>
                <w:rFonts w:ascii="Verdana" w:hAnsi="Verdana"/>
                <w:i/>
                <w:iCs/>
                <w:sz w:val="18"/>
                <w:szCs w:val="18"/>
              </w:rPr>
              <w:t xml:space="preserve"> die werkzaam zijn voor DGRO, DGVB, RVB en DHC in het aantal meegenomen.</w:t>
            </w:r>
          </w:p>
          <w:p w:rsidRPr="00332F44" w:rsidR="00332F44" w:rsidP="00332F44" w14:paraId="3D777E74" w14:textId="77777777">
            <w:pPr>
              <w:spacing w:line="276" w:lineRule="auto"/>
              <w:rPr>
                <w:rFonts w:ascii="Verdana" w:hAnsi="Verdana"/>
                <w:sz w:val="18"/>
                <w:szCs w:val="18"/>
              </w:rPr>
            </w:pPr>
          </w:p>
        </w:tc>
      </w:tr>
      <w:tr w:rsidTr="00332F44" w14:paraId="79530D03" w14:textId="77777777">
        <w:tblPrEx>
          <w:tblW w:w="8647" w:type="dxa"/>
          <w:tblLayout w:type="fixed"/>
          <w:tblCellMar>
            <w:left w:w="0" w:type="dxa"/>
            <w:right w:w="0" w:type="dxa"/>
          </w:tblCellMar>
          <w:tblLook w:val="0000"/>
        </w:tblPrEx>
        <w:tc>
          <w:tcPr>
            <w:tcW w:w="8647" w:type="dxa"/>
          </w:tcPr>
          <w:p w:rsidRPr="002E6A2E" w:rsidR="00332F44" w:rsidP="00332F44" w14:paraId="6142250C" w14:textId="7EB22904">
            <w:pPr>
              <w:spacing w:line="276" w:lineRule="auto"/>
              <w:rPr>
                <w:rFonts w:ascii="Verdana" w:hAnsi="Verdana"/>
                <w:b/>
                <w:bCs/>
                <w:sz w:val="18"/>
                <w:szCs w:val="18"/>
              </w:rPr>
            </w:pPr>
            <w:r w:rsidRPr="002E6A2E">
              <w:rPr>
                <w:rFonts w:ascii="Verdana" w:hAnsi="Verdana"/>
                <w:b/>
                <w:bCs/>
                <w:sz w:val="18"/>
                <w:szCs w:val="18"/>
              </w:rPr>
              <w:t>Vraag 12 (blz. 5)</w:t>
            </w:r>
          </w:p>
          <w:p w:rsidRPr="00332F44" w:rsidR="00332F44" w:rsidP="00332F44" w14:paraId="327913B4" w14:textId="1B99403D">
            <w:pPr>
              <w:spacing w:line="276" w:lineRule="auto"/>
              <w:rPr>
                <w:rFonts w:ascii="Verdana" w:hAnsi="Verdana"/>
                <w:sz w:val="18"/>
                <w:szCs w:val="18"/>
              </w:rPr>
            </w:pPr>
            <w:r w:rsidRPr="00332F44">
              <w:rPr>
                <w:rFonts w:ascii="Verdana" w:hAnsi="Verdana"/>
                <w:sz w:val="18"/>
                <w:szCs w:val="18"/>
              </w:rPr>
              <w:t>Hoeveel medewerkers bevinden zich in de lagere loonschalen (schaal 1 t/m 6)? Wat is het aandeel van deze groep binnen de uitvoering (uitvoeringsorganisaties versus beleid)?</w:t>
            </w:r>
          </w:p>
          <w:p w:rsidRPr="006F068D" w:rsidR="00332F44" w:rsidP="00332F44" w14:paraId="0E810E73" w14:textId="77777777">
            <w:pPr>
              <w:spacing w:line="276" w:lineRule="auto"/>
              <w:rPr>
                <w:rFonts w:ascii="Verdana" w:hAnsi="Verdana"/>
                <w:i/>
                <w:iCs/>
                <w:sz w:val="18"/>
                <w:szCs w:val="18"/>
              </w:rPr>
            </w:pPr>
          </w:p>
          <w:p w:rsidRPr="006F068D" w:rsidR="00332F44" w:rsidP="00332F44" w14:paraId="02294DCC" w14:textId="46C3CABD">
            <w:pPr>
              <w:spacing w:line="276" w:lineRule="auto"/>
              <w:rPr>
                <w:rFonts w:ascii="Verdana" w:hAnsi="Verdana"/>
                <w:i/>
                <w:iCs/>
                <w:sz w:val="18"/>
                <w:szCs w:val="18"/>
              </w:rPr>
            </w:pPr>
            <w:r w:rsidRPr="006F068D">
              <w:rPr>
                <w:rFonts w:ascii="Verdana" w:hAnsi="Verdana"/>
                <w:i/>
                <w:iCs/>
                <w:sz w:val="18"/>
                <w:szCs w:val="18"/>
              </w:rPr>
              <w:t xml:space="preserve">Van de 14.571 </w:t>
            </w:r>
            <w:r w:rsidRPr="006F068D">
              <w:rPr>
                <w:rFonts w:ascii="Verdana" w:hAnsi="Verdana"/>
                <w:i/>
                <w:iCs/>
                <w:sz w:val="18"/>
                <w:szCs w:val="18"/>
              </w:rPr>
              <w:t>rijksmedewerkers</w:t>
            </w:r>
            <w:r w:rsidRPr="006F068D">
              <w:rPr>
                <w:rFonts w:ascii="Verdana" w:hAnsi="Verdana"/>
                <w:i/>
                <w:iCs/>
                <w:sz w:val="18"/>
                <w:szCs w:val="18"/>
              </w:rPr>
              <w:t xml:space="preserve"> (ultimo Q4 2025, aantal personen) die werkzaam zijn bij het ministerie van BZK werken er 2.334 (ultimo Q4 2025) in de schalen 1 tot en met 6. Het aandeel </w:t>
            </w:r>
            <w:r w:rsidRPr="006F068D">
              <w:rPr>
                <w:rFonts w:ascii="Verdana" w:hAnsi="Verdana"/>
                <w:i/>
                <w:iCs/>
                <w:sz w:val="18"/>
                <w:szCs w:val="18"/>
              </w:rPr>
              <w:t>rijksmedewerkers</w:t>
            </w:r>
            <w:r w:rsidRPr="006F068D">
              <w:rPr>
                <w:rFonts w:ascii="Verdana" w:hAnsi="Verdana"/>
                <w:i/>
                <w:iCs/>
                <w:sz w:val="18"/>
                <w:szCs w:val="18"/>
              </w:rPr>
              <w:t xml:space="preserve"> in de schalen 1 t/m 6 dat werkzaam is in de uitvoering is 97%.</w:t>
            </w:r>
          </w:p>
          <w:p w:rsidRPr="00332F44" w:rsidR="00332F44" w:rsidP="00332F44" w14:paraId="79D86028" w14:textId="4842D828">
            <w:pPr>
              <w:spacing w:line="276" w:lineRule="auto"/>
              <w:rPr>
                <w:rFonts w:ascii="Verdana" w:hAnsi="Verdana"/>
                <w:sz w:val="18"/>
                <w:szCs w:val="18"/>
              </w:rPr>
            </w:pPr>
          </w:p>
        </w:tc>
      </w:tr>
      <w:tr w:rsidTr="00332F44" w14:paraId="4A92EA5E" w14:textId="77777777">
        <w:tblPrEx>
          <w:tblW w:w="8647" w:type="dxa"/>
          <w:tblLayout w:type="fixed"/>
          <w:tblCellMar>
            <w:left w:w="0" w:type="dxa"/>
            <w:right w:w="0" w:type="dxa"/>
          </w:tblCellMar>
          <w:tblLook w:val="0000"/>
        </w:tblPrEx>
        <w:tc>
          <w:tcPr>
            <w:tcW w:w="8647" w:type="dxa"/>
          </w:tcPr>
          <w:p w:rsidRPr="002E6A2E" w:rsidR="00332F44" w:rsidP="00332F44" w14:paraId="0C92092E" w14:textId="09A2B390">
            <w:pPr>
              <w:spacing w:line="276" w:lineRule="auto"/>
              <w:rPr>
                <w:rFonts w:ascii="Verdana" w:hAnsi="Verdana"/>
                <w:b/>
                <w:bCs/>
                <w:sz w:val="18"/>
                <w:szCs w:val="18"/>
              </w:rPr>
            </w:pPr>
            <w:r w:rsidRPr="002E6A2E">
              <w:rPr>
                <w:rFonts w:ascii="Verdana" w:hAnsi="Verdana"/>
                <w:b/>
                <w:bCs/>
                <w:sz w:val="18"/>
                <w:szCs w:val="18"/>
              </w:rPr>
              <w:t>Vraag 13 (blz. 5)</w:t>
            </w:r>
          </w:p>
          <w:p w:rsidRPr="00332F44" w:rsidR="00332F44" w:rsidP="00332F44" w14:paraId="0799A69B" w14:textId="13DC7C1C">
            <w:pPr>
              <w:spacing w:line="276" w:lineRule="auto"/>
              <w:rPr>
                <w:rFonts w:ascii="Verdana" w:hAnsi="Verdana"/>
                <w:sz w:val="18"/>
                <w:szCs w:val="18"/>
              </w:rPr>
            </w:pPr>
            <w:r w:rsidRPr="00332F44">
              <w:rPr>
                <w:rFonts w:ascii="Verdana" w:hAnsi="Verdana"/>
                <w:sz w:val="18"/>
                <w:szCs w:val="18"/>
              </w:rPr>
              <w:t>Welke functies/beroepen vallen voornamelijk binnen de lagere loonschalen (schaal 1 t/m 6)? Wat is de huidige en verwachte personeelskrapte binnen deze functies?</w:t>
            </w:r>
          </w:p>
          <w:p w:rsidRPr="00332F44" w:rsidR="00332F44" w:rsidP="00332F44" w14:paraId="0B1040CF" w14:textId="77777777">
            <w:pPr>
              <w:spacing w:line="276" w:lineRule="auto"/>
              <w:rPr>
                <w:rFonts w:ascii="Verdana" w:hAnsi="Verdana"/>
                <w:sz w:val="18"/>
                <w:szCs w:val="18"/>
              </w:rPr>
            </w:pPr>
          </w:p>
          <w:p w:rsidRPr="002E6A2E" w:rsidR="00332F44" w:rsidP="00332F44" w14:paraId="01801723" w14:textId="31726FDF">
            <w:pPr>
              <w:spacing w:line="276" w:lineRule="auto"/>
              <w:rPr>
                <w:rFonts w:ascii="Verdana" w:hAnsi="Verdana"/>
                <w:i/>
                <w:iCs/>
                <w:sz w:val="18"/>
                <w:szCs w:val="18"/>
              </w:rPr>
            </w:pPr>
            <w:r w:rsidRPr="002E6A2E">
              <w:rPr>
                <w:rFonts w:ascii="Verdana" w:hAnsi="Verdana"/>
                <w:i/>
                <w:iCs/>
                <w:sz w:val="18"/>
                <w:szCs w:val="18"/>
              </w:rPr>
              <w:t xml:space="preserve">De meeste functies van de </w:t>
            </w:r>
            <w:r w:rsidRPr="002E6A2E">
              <w:rPr>
                <w:rFonts w:ascii="Verdana" w:hAnsi="Verdana"/>
                <w:i/>
                <w:iCs/>
                <w:sz w:val="18"/>
                <w:szCs w:val="18"/>
              </w:rPr>
              <w:t>rijksmedewerkers</w:t>
            </w:r>
            <w:r w:rsidRPr="002E6A2E">
              <w:rPr>
                <w:rFonts w:ascii="Verdana" w:hAnsi="Verdana"/>
                <w:i/>
                <w:iCs/>
                <w:sz w:val="18"/>
                <w:szCs w:val="18"/>
              </w:rPr>
              <w:t xml:space="preserve"> in de schalen 1 t/m 6 hebben betrekking op de (</w:t>
            </w:r>
            <w:r w:rsidRPr="002E6A2E">
              <w:rPr>
                <w:rFonts w:ascii="Verdana" w:hAnsi="Verdana"/>
                <w:i/>
                <w:iCs/>
                <w:sz w:val="18"/>
                <w:szCs w:val="18"/>
              </w:rPr>
              <w:t>Rijksbrede</w:t>
            </w:r>
            <w:r w:rsidRPr="002E6A2E">
              <w:rPr>
                <w:rFonts w:ascii="Verdana" w:hAnsi="Verdana"/>
                <w:i/>
                <w:iCs/>
                <w:sz w:val="18"/>
                <w:szCs w:val="18"/>
              </w:rPr>
              <w:t>) bedrijfsvoering, zoals functies in het kader van het facilitair management, beveiliging en administratieve functies. Diverse ontwikkelingen en beleidskeuzes beïnvloeden de vraag naar deze functies binnen ons ministerie en het aanbod op de arbeidsmarkt. Enerzijds zal automatisering, digitalisering en procesoptimalisatie en het voldoen aan de taakstelling ervoor zorgen dat taken veranderen, efficiënter worden uitgevoerd of niet meer worden uitgevoerd. Dit leidt niet alleen tot een mogelijke afname van bepaalde werkzaamheden, maar ook tot taakverschuivingen. Anderzijds zien we bijvoorbeeld een toename aan de behoefte aan beveiliging.</w:t>
            </w:r>
          </w:p>
          <w:p w:rsidRPr="00332F44" w:rsidR="00332F44" w:rsidP="00332F44" w14:paraId="30B06F77" w14:textId="77777777">
            <w:pPr>
              <w:spacing w:line="276" w:lineRule="auto"/>
              <w:rPr>
                <w:rFonts w:ascii="Verdana" w:hAnsi="Verdana"/>
                <w:sz w:val="18"/>
                <w:szCs w:val="18"/>
              </w:rPr>
            </w:pPr>
          </w:p>
        </w:tc>
      </w:tr>
      <w:tr w:rsidTr="00332F44" w14:paraId="3AAFCCB9" w14:textId="77777777">
        <w:tblPrEx>
          <w:tblW w:w="8647" w:type="dxa"/>
          <w:tblLayout w:type="fixed"/>
          <w:tblCellMar>
            <w:left w:w="0" w:type="dxa"/>
            <w:right w:w="0" w:type="dxa"/>
          </w:tblCellMar>
          <w:tblLook w:val="0000"/>
        </w:tblPrEx>
        <w:tc>
          <w:tcPr>
            <w:tcW w:w="8647" w:type="dxa"/>
          </w:tcPr>
          <w:p w:rsidRPr="002E6A2E" w:rsidR="00332F44" w:rsidP="00332F44" w14:paraId="4A89DBFC" w14:textId="18402D7A">
            <w:pPr>
              <w:spacing w:line="276" w:lineRule="auto"/>
              <w:rPr>
                <w:rFonts w:ascii="Verdana" w:hAnsi="Verdana"/>
                <w:b/>
                <w:bCs/>
                <w:sz w:val="18"/>
                <w:szCs w:val="18"/>
              </w:rPr>
            </w:pPr>
            <w:r w:rsidRPr="002E6A2E">
              <w:rPr>
                <w:rFonts w:ascii="Verdana" w:hAnsi="Verdana"/>
                <w:b/>
                <w:bCs/>
                <w:sz w:val="18"/>
                <w:szCs w:val="18"/>
              </w:rPr>
              <w:t>Vraag 14 (blz. 5)</w:t>
            </w:r>
          </w:p>
          <w:p w:rsidRPr="00332F44" w:rsidR="00332F44" w:rsidP="00332F44" w14:paraId="5398927F" w14:textId="309EF050">
            <w:pPr>
              <w:spacing w:line="276" w:lineRule="auto"/>
              <w:rPr>
                <w:rFonts w:ascii="Verdana" w:hAnsi="Verdana"/>
                <w:sz w:val="18"/>
                <w:szCs w:val="18"/>
              </w:rPr>
            </w:pPr>
            <w:r w:rsidRPr="00332F44">
              <w:rPr>
                <w:rFonts w:ascii="Verdana" w:hAnsi="Verdana"/>
                <w:sz w:val="18"/>
                <w:szCs w:val="18"/>
              </w:rPr>
              <w:t>Zijn er interne analyses of risico-inschattingen gemaakt over de effecten van de nullijn, bijvoorbeeld op de instroom of uitstroom? Zo ja, kan deze worden gedeeld?</w:t>
            </w:r>
          </w:p>
          <w:p w:rsidRPr="00332F44" w:rsidR="00332F44" w:rsidP="00332F44" w14:paraId="642C59BA" w14:textId="77777777">
            <w:pPr>
              <w:spacing w:line="276" w:lineRule="auto"/>
              <w:rPr>
                <w:rFonts w:ascii="Verdana" w:hAnsi="Verdana"/>
                <w:sz w:val="18"/>
                <w:szCs w:val="18"/>
              </w:rPr>
            </w:pPr>
          </w:p>
          <w:p w:rsidRPr="002E6A2E" w:rsidR="00332F44" w:rsidP="00332F44" w14:paraId="6F0C4835" w14:textId="38F97DF3">
            <w:pPr>
              <w:spacing w:line="276" w:lineRule="auto"/>
              <w:rPr>
                <w:rFonts w:ascii="Verdana" w:hAnsi="Verdana"/>
                <w:i/>
                <w:iCs/>
                <w:sz w:val="18"/>
                <w:szCs w:val="18"/>
              </w:rPr>
            </w:pPr>
            <w:r w:rsidRPr="002E6A2E">
              <w:rPr>
                <w:rFonts w:ascii="Verdana" w:hAnsi="Verdana"/>
                <w:i/>
                <w:iCs/>
                <w:sz w:val="18"/>
                <w:szCs w:val="18"/>
              </w:rPr>
              <w:t xml:space="preserve">Deze analyses of risico-inschattingen zijn niet </w:t>
            </w:r>
            <w:r w:rsidRPr="002E6A2E">
              <w:rPr>
                <w:rFonts w:ascii="Verdana" w:hAnsi="Verdana"/>
                <w:i/>
                <w:iCs/>
                <w:sz w:val="18"/>
                <w:szCs w:val="18"/>
              </w:rPr>
              <w:t>rijksbreed</w:t>
            </w:r>
            <w:r w:rsidRPr="002E6A2E">
              <w:rPr>
                <w:rFonts w:ascii="Verdana" w:hAnsi="Verdana"/>
                <w:i/>
                <w:iCs/>
                <w:sz w:val="18"/>
                <w:szCs w:val="18"/>
              </w:rPr>
              <w:t xml:space="preserve"> gemaakt. Er zijn bij BZK geen specifieke onderzoeken hiernaar gedaan.</w:t>
            </w:r>
          </w:p>
          <w:p w:rsidRPr="00332F44" w:rsidR="00332F44" w:rsidP="00332F44" w14:paraId="0B9D1F17" w14:textId="42373E96">
            <w:pPr>
              <w:spacing w:line="276" w:lineRule="auto"/>
              <w:rPr>
                <w:rFonts w:ascii="Verdana" w:hAnsi="Verdana"/>
                <w:sz w:val="18"/>
                <w:szCs w:val="18"/>
              </w:rPr>
            </w:pPr>
          </w:p>
        </w:tc>
      </w:tr>
      <w:tr w:rsidTr="00332F44" w14:paraId="36EEA73A" w14:textId="77777777">
        <w:tblPrEx>
          <w:tblW w:w="8647" w:type="dxa"/>
          <w:tblLayout w:type="fixed"/>
          <w:tblCellMar>
            <w:left w:w="0" w:type="dxa"/>
            <w:right w:w="0" w:type="dxa"/>
          </w:tblCellMar>
          <w:tblLook w:val="0000"/>
        </w:tblPrEx>
        <w:tc>
          <w:tcPr>
            <w:tcW w:w="8647" w:type="dxa"/>
          </w:tcPr>
          <w:p w:rsidRPr="002E6A2E" w:rsidR="00332F44" w:rsidP="00332F44" w14:paraId="0F7B6E91" w14:textId="7C1EDD3C">
            <w:pPr>
              <w:spacing w:line="276" w:lineRule="auto"/>
              <w:rPr>
                <w:rFonts w:ascii="Verdana" w:hAnsi="Verdana"/>
                <w:b/>
                <w:bCs/>
                <w:sz w:val="18"/>
                <w:szCs w:val="18"/>
              </w:rPr>
            </w:pPr>
            <w:r w:rsidRPr="002E6A2E">
              <w:rPr>
                <w:rFonts w:ascii="Verdana" w:hAnsi="Verdana"/>
                <w:b/>
                <w:bCs/>
                <w:sz w:val="18"/>
                <w:szCs w:val="18"/>
              </w:rPr>
              <w:t>Vraag 15 (blz. 8 t/m 9)</w:t>
            </w:r>
          </w:p>
          <w:p w:rsidRPr="00332F44" w:rsidR="00332F44" w:rsidP="00332F44" w14:paraId="3C158265" w14:textId="711D6368">
            <w:pPr>
              <w:spacing w:line="276" w:lineRule="auto"/>
              <w:rPr>
                <w:rFonts w:ascii="Verdana" w:hAnsi="Verdana"/>
                <w:sz w:val="18"/>
                <w:szCs w:val="18"/>
              </w:rPr>
            </w:pPr>
            <w:r w:rsidRPr="00332F44">
              <w:rPr>
                <w:rFonts w:ascii="Verdana" w:hAnsi="Verdana"/>
                <w:sz w:val="18"/>
                <w:szCs w:val="18"/>
              </w:rPr>
              <w:t xml:space="preserve">Kunt u de drie aangekondigde ‘Beleidskeuzes uitgelicht (3.1 CW)’ voor de uitgaven rondom de </w:t>
            </w:r>
            <w:r w:rsidRPr="00332F44">
              <w:rPr>
                <w:rFonts w:ascii="Verdana" w:hAnsi="Verdana"/>
                <w:sz w:val="18"/>
                <w:szCs w:val="18"/>
              </w:rPr>
              <w:t>knelpuntenpot</w:t>
            </w:r>
            <w:r w:rsidRPr="00332F44">
              <w:rPr>
                <w:rFonts w:ascii="Verdana" w:hAnsi="Verdana"/>
                <w:sz w:val="18"/>
                <w:szCs w:val="18"/>
              </w:rPr>
              <w:t xml:space="preserve"> Nationaal Coördinator Groningen (NCG), de Economische Agenda Groningen en het Nationaal Programma Groningen zo snel mogelijk naar de Kamer sturen, in ieder geval voordat wordt gestemd over de eerste suppletoire begroting 2026 van het ministerie van Binnenlandse Zaken en Koninkrijkrelaties?</w:t>
            </w:r>
          </w:p>
          <w:p w:rsidRPr="00332F44" w:rsidR="00332F44" w:rsidP="00332F44" w14:paraId="293FFDAE" w14:textId="77777777">
            <w:pPr>
              <w:spacing w:line="276" w:lineRule="auto"/>
              <w:rPr>
                <w:rFonts w:ascii="Verdana" w:hAnsi="Verdana"/>
                <w:sz w:val="18"/>
                <w:szCs w:val="18"/>
              </w:rPr>
            </w:pPr>
          </w:p>
          <w:p w:rsidRPr="002E6A2E" w:rsidR="00332F44" w:rsidP="00332F44" w14:paraId="25B24F5D" w14:textId="327CD7AD">
            <w:pPr>
              <w:spacing w:line="276" w:lineRule="auto"/>
              <w:rPr>
                <w:rFonts w:ascii="Verdana" w:hAnsi="Verdana"/>
                <w:i/>
                <w:iCs/>
                <w:sz w:val="18"/>
                <w:szCs w:val="18"/>
              </w:rPr>
            </w:pPr>
            <w:r w:rsidRPr="002E6A2E">
              <w:rPr>
                <w:rFonts w:ascii="Verdana" w:hAnsi="Verdana"/>
                <w:i/>
                <w:iCs/>
                <w:sz w:val="18"/>
                <w:szCs w:val="18"/>
              </w:rPr>
              <w:t xml:space="preserve">De brief ‘Beleidsvoorstellen uit de 1e suppletoire begroting 2026 van Begrotingshoofdstuk VII (BZK) met CW 3.1. kaders’ voor de uitgaven rondom de </w:t>
            </w:r>
            <w:r w:rsidRPr="002E6A2E">
              <w:rPr>
                <w:rFonts w:ascii="Verdana" w:hAnsi="Verdana"/>
                <w:i/>
                <w:iCs/>
                <w:sz w:val="18"/>
                <w:szCs w:val="18"/>
              </w:rPr>
              <w:t>knelpuntenpot</w:t>
            </w:r>
            <w:r w:rsidRPr="002E6A2E">
              <w:rPr>
                <w:rFonts w:ascii="Verdana" w:hAnsi="Verdana"/>
                <w:i/>
                <w:iCs/>
                <w:sz w:val="18"/>
                <w:szCs w:val="18"/>
              </w:rPr>
              <w:t xml:space="preserve"> Nationaal Coördinator Groningen (NCG), de Economische Agenda Groningen en het Nationaal Programma Groningen is 13 april jl. verstuurd</w:t>
            </w:r>
            <w:r w:rsidR="00486A09">
              <w:rPr>
                <w:rFonts w:ascii="Verdana" w:hAnsi="Verdana"/>
                <w:i/>
                <w:iCs/>
                <w:sz w:val="18"/>
                <w:szCs w:val="18"/>
              </w:rPr>
              <w:t xml:space="preserve"> [</w:t>
            </w:r>
            <w:r w:rsidRPr="00486A09" w:rsidR="00486A09">
              <w:rPr>
                <w:rFonts w:ascii="Verdana" w:hAnsi="Verdana"/>
                <w:i/>
                <w:iCs/>
                <w:sz w:val="18"/>
                <w:szCs w:val="18"/>
              </w:rPr>
              <w:t>Kamerstukken II, 2025/2026, 36 915-VII, nr. 3</w:t>
            </w:r>
            <w:r w:rsidR="00486A09">
              <w:rPr>
                <w:rFonts w:ascii="Verdana" w:hAnsi="Verdana"/>
                <w:i/>
                <w:iCs/>
                <w:sz w:val="18"/>
                <w:szCs w:val="18"/>
              </w:rPr>
              <w:t>]</w:t>
            </w:r>
            <w:r w:rsidRPr="002E6A2E">
              <w:rPr>
                <w:rFonts w:ascii="Verdana" w:hAnsi="Verdana"/>
                <w:i/>
                <w:iCs/>
                <w:sz w:val="18"/>
                <w:szCs w:val="18"/>
              </w:rPr>
              <w:t>.</w:t>
            </w:r>
          </w:p>
          <w:p w:rsidRPr="00332F44" w:rsidR="00332F44" w:rsidP="00332F44" w14:paraId="115244C0" w14:textId="6FB239B5">
            <w:pPr>
              <w:spacing w:line="276" w:lineRule="auto"/>
              <w:rPr>
                <w:rFonts w:ascii="Verdana" w:hAnsi="Verdana"/>
                <w:sz w:val="18"/>
                <w:szCs w:val="18"/>
              </w:rPr>
            </w:pPr>
          </w:p>
        </w:tc>
      </w:tr>
      <w:tr w:rsidTr="00332F44" w14:paraId="249F816E" w14:textId="77777777">
        <w:tblPrEx>
          <w:tblW w:w="8647" w:type="dxa"/>
          <w:tblLayout w:type="fixed"/>
          <w:tblCellMar>
            <w:left w:w="0" w:type="dxa"/>
            <w:right w:w="0" w:type="dxa"/>
          </w:tblCellMar>
          <w:tblLook w:val="0000"/>
        </w:tblPrEx>
        <w:tc>
          <w:tcPr>
            <w:tcW w:w="8647" w:type="dxa"/>
          </w:tcPr>
          <w:p w:rsidRPr="002E6A2E" w:rsidR="00332F44" w:rsidP="00332F44" w14:paraId="1AA5C825" w14:textId="5EF5BF0F">
            <w:pPr>
              <w:spacing w:line="276" w:lineRule="auto"/>
              <w:rPr>
                <w:rFonts w:ascii="Verdana" w:hAnsi="Verdana"/>
                <w:b/>
                <w:bCs/>
                <w:sz w:val="18"/>
                <w:szCs w:val="18"/>
              </w:rPr>
            </w:pPr>
            <w:r w:rsidRPr="002E6A2E">
              <w:rPr>
                <w:rFonts w:ascii="Verdana" w:hAnsi="Verdana"/>
                <w:b/>
                <w:bCs/>
                <w:sz w:val="18"/>
                <w:szCs w:val="18"/>
              </w:rPr>
              <w:t>Vraag 16 (blz. 15 t/m 16)</w:t>
            </w:r>
          </w:p>
          <w:p w:rsidRPr="00332F44" w:rsidR="00332F44" w:rsidP="00332F44" w14:paraId="039737BF" w14:textId="44F8DF92">
            <w:pPr>
              <w:spacing w:line="276" w:lineRule="auto"/>
              <w:rPr>
                <w:rFonts w:ascii="Verdana" w:hAnsi="Verdana"/>
                <w:sz w:val="18"/>
                <w:szCs w:val="18"/>
              </w:rPr>
            </w:pPr>
            <w:r w:rsidRPr="00332F44">
              <w:rPr>
                <w:rFonts w:ascii="Verdana" w:hAnsi="Verdana"/>
                <w:sz w:val="18"/>
                <w:szCs w:val="18"/>
              </w:rPr>
              <w:t xml:space="preserve">Kunt u toelichten wat het verschil is tussen de efficiencytaakstelling op de </w:t>
            </w:r>
            <w:r w:rsidRPr="00332F44">
              <w:rPr>
                <w:rFonts w:ascii="Verdana" w:hAnsi="Verdana"/>
                <w:sz w:val="18"/>
                <w:szCs w:val="18"/>
              </w:rPr>
              <w:br/>
              <w:t xml:space="preserve">Rijksoverheid en de taakstelling in het kader van de vernieuwing van de </w:t>
            </w:r>
            <w:r w:rsidRPr="00332F44">
              <w:rPr>
                <w:rFonts w:ascii="Verdana" w:hAnsi="Verdana"/>
                <w:sz w:val="18"/>
                <w:szCs w:val="18"/>
              </w:rPr>
              <w:br/>
              <w:t>rijksdienst en een slagvaardige overheid? Kunt u hierbij aangeven in welke verschillende maatregelen zich dit vertaalt?</w:t>
            </w:r>
          </w:p>
          <w:p w:rsidRPr="00332F44" w:rsidR="00332F44" w:rsidP="00332F44" w14:paraId="191C6FAF" w14:textId="77777777">
            <w:pPr>
              <w:spacing w:line="276" w:lineRule="auto"/>
              <w:rPr>
                <w:rFonts w:ascii="Verdana" w:hAnsi="Verdana"/>
                <w:sz w:val="18"/>
                <w:szCs w:val="18"/>
              </w:rPr>
            </w:pPr>
          </w:p>
          <w:p w:rsidRPr="002E6A2E" w:rsidR="00332F44" w:rsidP="00332F44" w14:paraId="7E9D9C02" w14:textId="7494CC10">
            <w:pPr>
              <w:spacing w:line="276" w:lineRule="auto"/>
              <w:rPr>
                <w:rFonts w:ascii="Verdana" w:hAnsi="Verdana" w:eastAsia="Verdana"/>
                <w:i/>
                <w:iCs/>
                <w:sz w:val="18"/>
                <w:szCs w:val="18"/>
              </w:rPr>
            </w:pPr>
            <w:r w:rsidRPr="002E6A2E">
              <w:rPr>
                <w:rFonts w:ascii="Verdana" w:hAnsi="Verdana" w:eastAsia="Verdana"/>
                <w:i/>
                <w:iCs/>
                <w:sz w:val="18"/>
                <w:szCs w:val="18"/>
              </w:rPr>
              <w:t xml:space="preserve">Het kabinet zet in op een slagvaardige overheid. Een overheid die levert en dat op een efficiënte manier doet. Beide taakstellingen hangen samen met die slagvaardige overheid en zijn besparingen die het gevolg ervan zullen zijn. </w:t>
            </w:r>
            <w:r w:rsidR="002E6A2E">
              <w:rPr>
                <w:rFonts w:ascii="Verdana" w:hAnsi="Verdana" w:eastAsia="Verdana"/>
                <w:i/>
                <w:iCs/>
                <w:sz w:val="18"/>
                <w:szCs w:val="18"/>
              </w:rPr>
              <w:t xml:space="preserve">De Rijksoverheid zet in op productiviteitsverhoging, vereenvoudiging, efficiency en kijkt bijvoorbeeld ook naar de inzet van AI. </w:t>
            </w:r>
            <w:r w:rsidRPr="002E6A2E">
              <w:rPr>
                <w:rFonts w:ascii="Verdana" w:hAnsi="Verdana" w:eastAsia="Verdana"/>
                <w:i/>
                <w:iCs/>
                <w:sz w:val="18"/>
                <w:szCs w:val="18"/>
              </w:rPr>
              <w:t xml:space="preserve">Dit levert zowel efficiëntie als vernieuwing op. Een echte vernieuwing vraagt echter voorbereidingstijd en daarom worden de besparingen in het kader van slagvaardige overheid in 2029 voor het eerst ingeboekt. Bij departementen moet het al mogelijk zijn om door gebruikelijke ontwikkelingen, binnen de bestaande processen, jaarlijks efficiënter te werken. De efficiencytaakstelling is daarom op vanaf 2027 ingeboekt. Het kabinet werkt aan een actieagenda Slagvaardige Overheid die meer inzicht moet geven in de verschillende maatregelen. Deze agenda wordt voor de zomer aan de Tweede Kamer aangeboden. </w:t>
            </w:r>
          </w:p>
          <w:p w:rsidRPr="00332F44" w:rsidR="00332F44" w:rsidP="00332F44" w14:paraId="266686ED" w14:textId="77777777">
            <w:pPr>
              <w:spacing w:line="276" w:lineRule="auto"/>
              <w:rPr>
                <w:rFonts w:ascii="Verdana" w:hAnsi="Verdana"/>
                <w:sz w:val="18"/>
                <w:szCs w:val="18"/>
              </w:rPr>
            </w:pPr>
          </w:p>
          <w:p w:rsidRPr="00332F44" w:rsidR="00332F44" w:rsidP="00332F44" w14:paraId="0F256917" w14:textId="77777777">
            <w:pPr>
              <w:spacing w:line="276" w:lineRule="auto"/>
              <w:rPr>
                <w:rFonts w:ascii="Verdana" w:hAnsi="Verdana"/>
                <w:sz w:val="18"/>
                <w:szCs w:val="18"/>
              </w:rPr>
            </w:pPr>
          </w:p>
        </w:tc>
      </w:tr>
      <w:tr w:rsidTr="00332F44" w14:paraId="2A597DB5" w14:textId="77777777">
        <w:tblPrEx>
          <w:tblW w:w="8647" w:type="dxa"/>
          <w:tblLayout w:type="fixed"/>
          <w:tblCellMar>
            <w:left w:w="0" w:type="dxa"/>
            <w:right w:w="0" w:type="dxa"/>
          </w:tblCellMar>
          <w:tblLook w:val="0000"/>
        </w:tblPrEx>
        <w:tc>
          <w:tcPr>
            <w:tcW w:w="8647" w:type="dxa"/>
          </w:tcPr>
          <w:p w:rsidRPr="002E6A2E" w:rsidR="00332F44" w:rsidP="00332F44" w14:paraId="14B3BE0E" w14:textId="4803AE13">
            <w:pPr>
              <w:spacing w:line="276" w:lineRule="auto"/>
              <w:rPr>
                <w:rFonts w:ascii="Verdana" w:hAnsi="Verdana"/>
                <w:b/>
                <w:bCs/>
                <w:sz w:val="18"/>
                <w:szCs w:val="18"/>
              </w:rPr>
            </w:pPr>
            <w:r w:rsidRPr="002E6A2E">
              <w:rPr>
                <w:rFonts w:ascii="Verdana" w:hAnsi="Verdana"/>
                <w:b/>
                <w:bCs/>
                <w:sz w:val="18"/>
                <w:szCs w:val="18"/>
              </w:rPr>
              <w:t>Vraag 17 (blz. 15 t/m 16)</w:t>
            </w:r>
          </w:p>
          <w:p w:rsidRPr="00332F44" w:rsidR="00332F44" w:rsidP="00332F44" w14:paraId="7A87ED29" w14:textId="6815503A">
            <w:pPr>
              <w:spacing w:line="276" w:lineRule="auto"/>
              <w:rPr>
                <w:rFonts w:ascii="Verdana" w:hAnsi="Verdana"/>
                <w:sz w:val="18"/>
                <w:szCs w:val="18"/>
              </w:rPr>
            </w:pPr>
            <w:r w:rsidRPr="00332F44">
              <w:rPr>
                <w:rFonts w:ascii="Verdana" w:hAnsi="Verdana"/>
                <w:sz w:val="18"/>
                <w:szCs w:val="18"/>
              </w:rPr>
              <w:t>In hoeverre zal de Algemene Inlichtingen- en Veiligheidsdiensten (AIVD) worden uitgezonderd van de efficiencytaakstelling en/of de additionele taakstelling in het kader van de vernieuwing van de rijksdienst en een slagvaardige overheid?</w:t>
            </w:r>
          </w:p>
          <w:p w:rsidRPr="00332F44" w:rsidR="00332F44" w:rsidP="00332F44" w14:paraId="26B71EFA" w14:textId="77777777">
            <w:pPr>
              <w:spacing w:line="276" w:lineRule="auto"/>
              <w:rPr>
                <w:rFonts w:ascii="Verdana" w:hAnsi="Verdana"/>
                <w:sz w:val="18"/>
                <w:szCs w:val="18"/>
              </w:rPr>
            </w:pPr>
          </w:p>
          <w:p w:rsidRPr="002E6A2E" w:rsidR="00332F44" w:rsidP="00332F44" w14:paraId="04C01B0E" w14:textId="537C1237">
            <w:pPr>
              <w:spacing w:line="276" w:lineRule="auto"/>
              <w:rPr>
                <w:rFonts w:ascii="Verdana" w:hAnsi="Verdana" w:eastAsia="Verdana"/>
                <w:i/>
                <w:iCs/>
                <w:sz w:val="18"/>
                <w:szCs w:val="18"/>
              </w:rPr>
            </w:pPr>
            <w:r w:rsidRPr="007506CE">
              <w:rPr>
                <w:rFonts w:ascii="Verdana" w:hAnsi="Verdana"/>
                <w:i/>
                <w:iCs/>
                <w:sz w:val="18"/>
                <w:szCs w:val="18"/>
              </w:rPr>
              <w:t>De AIVD is volledig uitgezonderd van de efficiencytaakstelling en van de additionele taakstelling in het kader van de vernieuwing van de rijksdienst en slagvaardige overheid.</w:t>
            </w:r>
          </w:p>
          <w:p w:rsidRPr="00332F44" w:rsidR="00332F44" w:rsidP="00332F44" w14:paraId="0FE54B6D" w14:textId="38F02359">
            <w:pPr>
              <w:spacing w:line="276" w:lineRule="auto"/>
              <w:rPr>
                <w:rFonts w:ascii="Verdana" w:hAnsi="Verdana"/>
                <w:sz w:val="18"/>
                <w:szCs w:val="18"/>
              </w:rPr>
            </w:pPr>
          </w:p>
        </w:tc>
      </w:tr>
      <w:tr w:rsidTr="00332F44" w14:paraId="72497E7E" w14:textId="77777777">
        <w:tblPrEx>
          <w:tblW w:w="8647" w:type="dxa"/>
          <w:tblLayout w:type="fixed"/>
          <w:tblCellMar>
            <w:left w:w="0" w:type="dxa"/>
            <w:right w:w="0" w:type="dxa"/>
          </w:tblCellMar>
          <w:tblLook w:val="0000"/>
        </w:tblPrEx>
        <w:tc>
          <w:tcPr>
            <w:tcW w:w="8647" w:type="dxa"/>
          </w:tcPr>
          <w:p w:rsidRPr="002E6A2E" w:rsidR="00332F44" w:rsidP="00332F44" w14:paraId="5B65B2E1" w14:textId="1DCEDAEA">
            <w:pPr>
              <w:spacing w:line="276" w:lineRule="auto"/>
              <w:rPr>
                <w:rFonts w:ascii="Verdana" w:hAnsi="Verdana"/>
                <w:b/>
                <w:bCs/>
                <w:sz w:val="18"/>
                <w:szCs w:val="18"/>
              </w:rPr>
            </w:pPr>
            <w:r w:rsidRPr="002E6A2E">
              <w:rPr>
                <w:rFonts w:ascii="Verdana" w:hAnsi="Verdana"/>
                <w:b/>
                <w:bCs/>
                <w:sz w:val="18"/>
                <w:szCs w:val="18"/>
              </w:rPr>
              <w:t>Vraag 18 (blz. 15 t/m 16)</w:t>
            </w:r>
          </w:p>
          <w:p w:rsidRPr="00332F44" w:rsidR="00332F44" w:rsidP="00332F44" w14:paraId="01975D2F" w14:textId="5039FB2C">
            <w:pPr>
              <w:spacing w:line="276" w:lineRule="auto"/>
              <w:rPr>
                <w:rFonts w:ascii="Verdana" w:hAnsi="Verdana"/>
                <w:sz w:val="18"/>
                <w:szCs w:val="18"/>
              </w:rPr>
            </w:pPr>
            <w:r w:rsidRPr="00332F44">
              <w:rPr>
                <w:rFonts w:ascii="Verdana" w:hAnsi="Verdana"/>
                <w:sz w:val="18"/>
                <w:szCs w:val="18"/>
              </w:rPr>
              <w:t xml:space="preserve">Kunt u aangeven hoeveel extra budget vanaf 2027 jaarlijks voor de </w:t>
            </w:r>
            <w:r w:rsidRPr="00332F44">
              <w:rPr>
                <w:rFonts w:ascii="Verdana" w:hAnsi="Verdana"/>
                <w:sz w:val="18"/>
                <w:szCs w:val="18"/>
              </w:rPr>
              <w:br/>
              <w:t>AIVD beschikbaar komt voor het vergroten van de (operationele) capaciteit, zoals vermeld in het coalitieakkoord?</w:t>
            </w:r>
          </w:p>
          <w:p w:rsidRPr="00332F44" w:rsidR="00332F44" w:rsidP="00332F44" w14:paraId="4305B242" w14:textId="77777777">
            <w:pPr>
              <w:spacing w:line="276" w:lineRule="auto"/>
              <w:rPr>
                <w:rFonts w:ascii="Verdana" w:hAnsi="Verdana"/>
                <w:sz w:val="18"/>
                <w:szCs w:val="18"/>
              </w:rPr>
            </w:pPr>
          </w:p>
          <w:p w:rsidRPr="007506CE" w:rsidR="007506CE" w:rsidP="007506CE" w14:paraId="188F63BA" w14:textId="4BE11739">
            <w:pPr>
              <w:spacing w:line="276" w:lineRule="auto"/>
              <w:rPr>
                <w:rFonts w:ascii="Verdana" w:hAnsi="Verdana"/>
                <w:i/>
                <w:iCs/>
                <w:sz w:val="18"/>
                <w:szCs w:val="18"/>
              </w:rPr>
            </w:pPr>
            <w:r w:rsidRPr="007506CE">
              <w:rPr>
                <w:rFonts w:ascii="Verdana" w:hAnsi="Verdana"/>
                <w:i/>
                <w:iCs/>
                <w:sz w:val="18"/>
                <w:szCs w:val="18"/>
              </w:rPr>
              <w:t>In het coalitieakkoord zijn additionele middelen beschikbaar gesteld voor de aanpak van de problematiek en versterking van de (nationale) veiligheid oplopend naar structureel 600 miljoen euro. Een deel van deze 600 miljoen euro is beschikbaar voor de AIVD.</w:t>
            </w:r>
          </w:p>
          <w:p w:rsidRPr="002E6A2E" w:rsidR="00332F44" w:rsidP="007506CE" w14:paraId="7D2F7B39" w14:textId="2A3F505F">
            <w:pPr>
              <w:spacing w:line="276" w:lineRule="auto"/>
              <w:rPr>
                <w:rFonts w:ascii="Verdana" w:hAnsi="Verdana" w:eastAsia="Verdana"/>
                <w:i/>
                <w:iCs/>
                <w:sz w:val="18"/>
                <w:szCs w:val="18"/>
              </w:rPr>
            </w:pPr>
            <w:r w:rsidRPr="007506CE">
              <w:rPr>
                <w:rFonts w:ascii="Verdana" w:hAnsi="Verdana"/>
                <w:i/>
                <w:iCs/>
                <w:sz w:val="18"/>
                <w:szCs w:val="18"/>
              </w:rPr>
              <w:t>Deze middelen staan op de Aanvullende Post bij het Ministerie van Financiën</w:t>
            </w:r>
            <w:r w:rsidR="00086BF9">
              <w:rPr>
                <w:rFonts w:ascii="Verdana" w:hAnsi="Verdana"/>
                <w:i/>
                <w:iCs/>
                <w:sz w:val="18"/>
                <w:szCs w:val="18"/>
              </w:rPr>
              <w:t>.</w:t>
            </w:r>
            <w:r w:rsidR="00D04235">
              <w:rPr>
                <w:rFonts w:ascii="Verdana" w:hAnsi="Verdana"/>
                <w:i/>
                <w:iCs/>
                <w:sz w:val="18"/>
                <w:szCs w:val="18"/>
              </w:rPr>
              <w:t xml:space="preserve"> </w:t>
            </w:r>
            <w:r w:rsidRPr="008C0155" w:rsidR="008C0155">
              <w:rPr>
                <w:rFonts w:ascii="Verdana" w:hAnsi="Verdana"/>
                <w:i/>
                <w:iCs/>
                <w:sz w:val="18"/>
                <w:szCs w:val="18"/>
              </w:rPr>
              <w:t xml:space="preserve">Het voornemen is om deze middelen per ontwerpbegroting 2027 over te hevelen naar de desbetreffende begrotingen. </w:t>
            </w:r>
            <w:r w:rsidRPr="007506CE">
              <w:rPr>
                <w:rFonts w:ascii="Verdana" w:hAnsi="Verdana"/>
                <w:i/>
                <w:iCs/>
                <w:sz w:val="18"/>
                <w:szCs w:val="18"/>
              </w:rPr>
              <w:t>De Kamer zal met Prinsjesdag hierover verder worden geïnformeerd.</w:t>
            </w:r>
          </w:p>
          <w:p w:rsidRPr="00332F44" w:rsidR="00332F44" w:rsidP="00332F44" w14:paraId="46D388AD" w14:textId="696298C0">
            <w:pPr>
              <w:spacing w:line="276" w:lineRule="auto"/>
              <w:rPr>
                <w:rFonts w:ascii="Verdana" w:hAnsi="Verdana"/>
                <w:sz w:val="18"/>
                <w:szCs w:val="18"/>
              </w:rPr>
            </w:pPr>
          </w:p>
          <w:p w:rsidRPr="00332F44" w:rsidR="00332F44" w:rsidP="00332F44" w14:paraId="5866FBB9" w14:textId="175303B5">
            <w:pPr>
              <w:spacing w:line="276" w:lineRule="auto"/>
              <w:rPr>
                <w:rFonts w:ascii="Verdana" w:hAnsi="Verdana"/>
                <w:sz w:val="18"/>
                <w:szCs w:val="18"/>
              </w:rPr>
            </w:pPr>
          </w:p>
        </w:tc>
      </w:tr>
    </w:tbl>
    <w:p w:rsidR="007506CE" w14:paraId="5CF2FB0F" w14:textId="77777777">
      <w:r>
        <w:br w:type="page"/>
      </w:r>
    </w:p>
    <w:tbl>
      <w:tblPr>
        <w:tblW w:w="8647" w:type="dxa"/>
        <w:tblLayout w:type="fixed"/>
        <w:tblCellMar>
          <w:left w:w="0" w:type="dxa"/>
          <w:right w:w="0" w:type="dxa"/>
        </w:tblCellMar>
        <w:tblLook w:val="0000"/>
      </w:tblPr>
      <w:tblGrid>
        <w:gridCol w:w="8647"/>
      </w:tblGrid>
      <w:tr w:rsidTr="00332F44" w14:paraId="3E47FE98" w14:textId="77777777">
        <w:tblPrEx>
          <w:tblW w:w="8647" w:type="dxa"/>
          <w:tblLayout w:type="fixed"/>
          <w:tblCellMar>
            <w:left w:w="0" w:type="dxa"/>
            <w:right w:w="0" w:type="dxa"/>
          </w:tblCellMar>
          <w:tblLook w:val="0000"/>
        </w:tblPrEx>
        <w:tc>
          <w:tcPr>
            <w:tcW w:w="8647" w:type="dxa"/>
          </w:tcPr>
          <w:p w:rsidRPr="002E6A2E" w:rsidR="00332F44" w:rsidP="00332F44" w14:paraId="551973B6" w14:textId="15C5B665">
            <w:pPr>
              <w:spacing w:line="276" w:lineRule="auto"/>
              <w:rPr>
                <w:rFonts w:ascii="Verdana" w:hAnsi="Verdana"/>
                <w:b/>
                <w:bCs/>
                <w:sz w:val="18"/>
                <w:szCs w:val="18"/>
              </w:rPr>
            </w:pPr>
            <w:r w:rsidRPr="002E6A2E">
              <w:rPr>
                <w:rFonts w:ascii="Verdana" w:hAnsi="Verdana"/>
                <w:b/>
                <w:bCs/>
                <w:sz w:val="18"/>
                <w:szCs w:val="18"/>
              </w:rPr>
              <w:t>Vraag 19 (blz. 37)</w:t>
            </w:r>
          </w:p>
          <w:p w:rsidRPr="00332F44" w:rsidR="00332F44" w:rsidP="00332F44" w14:paraId="60FAE88E" w14:textId="02BE2EE3">
            <w:pPr>
              <w:spacing w:line="276" w:lineRule="auto"/>
              <w:rPr>
                <w:rFonts w:ascii="Verdana" w:hAnsi="Verdana"/>
                <w:sz w:val="18"/>
                <w:szCs w:val="18"/>
              </w:rPr>
            </w:pPr>
            <w:r w:rsidRPr="00332F44">
              <w:rPr>
                <w:rFonts w:ascii="Verdana" w:hAnsi="Verdana"/>
                <w:sz w:val="18"/>
                <w:szCs w:val="18"/>
              </w:rPr>
              <w:t>Waaruit bestaan de toegenomen uitgaven aan artikel 11 Centraal apparaat met betrekking tot eigen personeel en inhuur externen? Waarom stijgen in 2026 deze uitgaven, ondanks de voorgenomen taakstellingen en geplande vermindering van het aantal ambtenaren?</w:t>
            </w:r>
          </w:p>
          <w:p w:rsidRPr="00332F44" w:rsidR="00332F44" w:rsidP="00332F44" w14:paraId="039FB608" w14:textId="77777777">
            <w:pPr>
              <w:spacing w:line="276" w:lineRule="auto"/>
              <w:rPr>
                <w:rFonts w:ascii="Verdana" w:hAnsi="Verdana"/>
                <w:sz w:val="18"/>
                <w:szCs w:val="18"/>
              </w:rPr>
            </w:pPr>
          </w:p>
          <w:p w:rsidRPr="002E6A2E" w:rsidR="00332F44" w:rsidP="00332F44" w14:paraId="37DB5798" w14:textId="009932B7">
            <w:pPr>
              <w:spacing w:line="276" w:lineRule="auto"/>
              <w:rPr>
                <w:rFonts w:ascii="Verdana" w:hAnsi="Verdana"/>
                <w:i/>
                <w:iCs/>
                <w:sz w:val="18"/>
                <w:szCs w:val="18"/>
              </w:rPr>
            </w:pPr>
            <w:r w:rsidRPr="002E6A2E">
              <w:rPr>
                <w:rFonts w:ascii="Verdana" w:hAnsi="Verdana"/>
                <w:i/>
                <w:iCs/>
                <w:sz w:val="18"/>
                <w:szCs w:val="18"/>
              </w:rPr>
              <w:t>De budgettaire wijzigingen op eigen personeel (ca. € 75 mln. in 2026) en externe inhuur (ca. € 21 mln. in 2026) bestaan met name uit het boeken van de jaarlijkse geraamde uitgaven en daaraan gekoppelde ontvangsten voor de uitvoeringsorganisaties Rijksorganisatie voor Informatiehuishouding (</w:t>
            </w:r>
            <w:r w:rsidRPr="002E6A2E">
              <w:rPr>
                <w:rFonts w:ascii="Verdana" w:hAnsi="Verdana"/>
                <w:i/>
                <w:iCs/>
                <w:sz w:val="18"/>
                <w:szCs w:val="18"/>
              </w:rPr>
              <w:t>RvIHH</w:t>
            </w:r>
            <w:r w:rsidRPr="002E6A2E">
              <w:rPr>
                <w:rFonts w:ascii="Verdana" w:hAnsi="Verdana"/>
                <w:i/>
                <w:iCs/>
                <w:sz w:val="18"/>
                <w:szCs w:val="18"/>
              </w:rPr>
              <w:t xml:space="preserve">), </w:t>
            </w:r>
            <w:r w:rsidRPr="002E6A2E">
              <w:rPr>
                <w:rFonts w:ascii="Verdana" w:hAnsi="Verdana"/>
                <w:i/>
                <w:iCs/>
                <w:sz w:val="18"/>
                <w:szCs w:val="18"/>
              </w:rPr>
              <w:t>Rijksinkoopsamenwerking</w:t>
            </w:r>
            <w:r w:rsidRPr="002E6A2E">
              <w:rPr>
                <w:rFonts w:ascii="Verdana" w:hAnsi="Verdana"/>
                <w:i/>
                <w:iCs/>
                <w:sz w:val="18"/>
                <w:szCs w:val="18"/>
              </w:rPr>
              <w:t xml:space="preserve"> (RIS) en Organisatie voor Bedrijfsvoering en Financiën (OBF). Deze uitvoeringsorganisaties zijn kostendekkend en worden dus gefinancierd middels ontvangsten voor de door hun geleverde producten en diensten. Aangezien </w:t>
            </w:r>
            <w:r w:rsidRPr="002E6A2E">
              <w:rPr>
                <w:rFonts w:ascii="Verdana" w:hAnsi="Verdana"/>
                <w:i/>
                <w:iCs/>
                <w:sz w:val="18"/>
                <w:szCs w:val="18"/>
              </w:rPr>
              <w:t>RvIHH</w:t>
            </w:r>
            <w:r w:rsidRPr="002E6A2E">
              <w:rPr>
                <w:rFonts w:ascii="Verdana" w:hAnsi="Verdana"/>
                <w:i/>
                <w:iCs/>
                <w:sz w:val="18"/>
                <w:szCs w:val="18"/>
              </w:rPr>
              <w:t xml:space="preserve">, RIS en OBF onderdeel zijn van de departementale begroting van BZK, moeten hun uitgaven en ontvangsten op de begroting van BZK worden geraamd. Deze ramingen worden jaarlijks opgesteld en in de in de eerste suppletoire begroting verwerkt. Het betreft daarmee in principe geen stijging van het aantal ambtenaren, maar de budgettaire verwerking van de geraamde uitgaven in 2026 van deze organisaties voor eigen personeel (ca. € 61 mln.) en externe inhuur (ca. € 17,8 mln.) Het restant van de budgettaire wijziging op externe inhuur wordt met name verklaard door reguliere uitgaven in het kader van de Generieke Digitale Infrastructuur (€ 4 mln.). Het gaat hierbij om de inzet op verschillende GDI-dossiers zoals Stelsel Toegang en bureau Architectuur. </w:t>
            </w:r>
          </w:p>
          <w:p w:rsidRPr="002E6A2E" w:rsidR="00332F44" w:rsidP="00332F44" w14:paraId="69362E59" w14:textId="47CE42B2">
            <w:pPr>
              <w:spacing w:line="276" w:lineRule="auto"/>
              <w:rPr>
                <w:rFonts w:ascii="Verdana" w:hAnsi="Verdana"/>
                <w:i/>
                <w:iCs/>
                <w:sz w:val="18"/>
                <w:szCs w:val="18"/>
              </w:rPr>
            </w:pPr>
            <w:r w:rsidRPr="002E6A2E">
              <w:rPr>
                <w:rFonts w:ascii="Verdana" w:hAnsi="Verdana"/>
                <w:i/>
                <w:iCs/>
                <w:sz w:val="18"/>
                <w:szCs w:val="18"/>
              </w:rPr>
              <w:t xml:space="preserve"> </w:t>
            </w:r>
          </w:p>
          <w:p w:rsidRPr="002E6A2E" w:rsidR="00332F44" w:rsidP="00332F44" w14:paraId="77D219C7" w14:textId="67775F6B">
            <w:pPr>
              <w:spacing w:line="276" w:lineRule="auto"/>
              <w:rPr>
                <w:rFonts w:ascii="Verdana" w:hAnsi="Verdana"/>
                <w:i/>
                <w:iCs/>
                <w:sz w:val="18"/>
                <w:szCs w:val="18"/>
              </w:rPr>
            </w:pPr>
            <w:r w:rsidRPr="002E6A2E">
              <w:rPr>
                <w:rFonts w:ascii="Verdana" w:hAnsi="Verdana"/>
                <w:i/>
                <w:iCs/>
                <w:sz w:val="18"/>
                <w:szCs w:val="18"/>
              </w:rPr>
              <w:t xml:space="preserve">Daarnaast worden de apparaatskosten van NCG bijgesteld naar aanleiding van de actualisatie van de versterkingsraming. Dit betekent dat de materiële kosten in 2026 en 2027 dalen en in plaats daarvan de loonkosten in latere jaren stijgen, doordat personeel langer ingezet wordt. Het betreft een </w:t>
            </w:r>
            <w:r w:rsidRPr="002E6A2E">
              <w:rPr>
                <w:rFonts w:ascii="Verdana" w:hAnsi="Verdana"/>
                <w:i/>
                <w:iCs/>
                <w:sz w:val="18"/>
                <w:szCs w:val="18"/>
              </w:rPr>
              <w:t>budgetneutrale</w:t>
            </w:r>
            <w:r w:rsidRPr="002E6A2E">
              <w:rPr>
                <w:rFonts w:ascii="Verdana" w:hAnsi="Verdana"/>
                <w:i/>
                <w:iCs/>
                <w:sz w:val="18"/>
                <w:szCs w:val="18"/>
              </w:rPr>
              <w:t xml:space="preserve"> ramingsbijstelling binnen artikel 11. Ten behoeve van de uitvoering van de enveloppe Goed Bestuur zijn middelen toegevoegd aan het apparaatsartikel van € 4,3 mln.. Tot slot zijn er middelen vanuit artikel 7 toegevoegd aan artikel 11 ‘eigen personeel’ voor de voortzetting van het programma versterking Ambtelijk Vakmanschap en het versterken van de weerbaarheid van het Rijk door de Beveiligingsautoriteit Rijk. </w:t>
            </w:r>
          </w:p>
          <w:p w:rsidRPr="00332F44" w:rsidR="00332F44" w:rsidP="00332F44" w14:paraId="192F881A" w14:textId="77777777">
            <w:pPr>
              <w:spacing w:line="276" w:lineRule="auto"/>
              <w:rPr>
                <w:rFonts w:ascii="Verdana" w:hAnsi="Verdana"/>
                <w:sz w:val="18"/>
                <w:szCs w:val="18"/>
              </w:rPr>
            </w:pPr>
          </w:p>
          <w:p w:rsidRPr="00332F44" w:rsidR="00332F44" w:rsidP="00332F44" w14:paraId="0C5D886B" w14:textId="77777777">
            <w:pPr>
              <w:spacing w:line="276" w:lineRule="auto"/>
              <w:rPr>
                <w:rFonts w:ascii="Verdana" w:hAnsi="Verdana"/>
                <w:sz w:val="18"/>
                <w:szCs w:val="18"/>
              </w:rPr>
            </w:pPr>
          </w:p>
          <w:p w:rsidRPr="00332F44" w:rsidR="00332F44" w:rsidP="00332F44" w14:paraId="210E827B" w14:textId="581D1034">
            <w:pPr>
              <w:spacing w:line="276" w:lineRule="auto"/>
              <w:rPr>
                <w:rFonts w:ascii="Verdana" w:hAnsi="Verdana"/>
                <w:sz w:val="18"/>
                <w:szCs w:val="18"/>
              </w:rPr>
            </w:pPr>
          </w:p>
        </w:tc>
      </w:tr>
    </w:tbl>
    <w:p w:rsidR="003D0E7A" w14:paraId="6AFEEEFF" w14:textId="77777777"/>
    <w:sectPr w:rsidSect="009320BE">
      <w:footerReference w:type="default" r:id="rId9"/>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D072F" w14:paraId="058E6A9D" w14:textId="77777777">
      <w:pPr>
        <w:spacing w:before="0" w:after="0"/>
      </w:pPr>
      <w:r>
        <w:separator/>
      </w:r>
    </w:p>
  </w:endnote>
  <w:endnote w:type="continuationSeparator" w:id="1">
    <w:p w:rsidR="00FD072F" w14:paraId="6E0FE9BC" w14:textId="77777777">
      <w:pPr>
        <w:spacing w:before="0" w:after="0"/>
      </w:pPr>
      <w:r>
        <w:continuationSeparator/>
      </w:r>
    </w:p>
  </w:endnote>
  <w:endnote w:type="continuationNotice" w:id="2">
    <w:p w:rsidR="000F3FD8" w14:paraId="1456E1BD"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0E7A" w14:paraId="3EE5169E" w14:textId="085E436D">
    <w:pPr>
      <w:pStyle w:val="Footer"/>
    </w:pPr>
    <w:r>
      <w:t xml:space="preserve">Totaallijst feitelijke vragen Wijziging van de begrotingsstaten van het Ministerie van Binnenlandse Zaken en Koninkrijksrelaties (VII) voor het jaar 2026 (wijziging samenhangende met de Voorjaarsnota) (36915-VII)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r>
      <w:fldChar w:fldCharType="begin"/>
    </w:r>
    <w:r>
      <w:instrText xml:space="preserve"> NUMPAGES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D072F" w14:paraId="16D68546" w14:textId="77777777">
      <w:pPr>
        <w:spacing w:before="0" w:after="0"/>
      </w:pPr>
      <w:r>
        <w:separator/>
      </w:r>
    </w:p>
  </w:footnote>
  <w:footnote w:type="continuationSeparator" w:id="1">
    <w:p w:rsidR="00FD072F" w14:paraId="70B9CC27" w14:textId="77777777">
      <w:pPr>
        <w:spacing w:before="0" w:after="0"/>
      </w:pPr>
      <w:r>
        <w:continuationSeparator/>
      </w:r>
    </w:p>
  </w:footnote>
  <w:footnote w:type="continuationNotice" w:id="2">
    <w:p w:rsidR="000F3FD8" w14:paraId="1D22020A" w14:textId="7777777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8F173C"/>
    <w:multiLevelType w:val="hybridMultilevel"/>
    <w:tmpl w:val="72A4674A"/>
    <w:lvl w:ilvl="0">
      <w:start w:val="0"/>
      <w:numFmt w:val="bullet"/>
      <w:lvlText w:val=""/>
      <w:lvlJc w:val="left"/>
      <w:pPr>
        <w:ind w:left="720" w:hanging="360"/>
      </w:pPr>
      <w:rPr>
        <w:rFonts w:ascii="Symbol" w:hAnsi="Symbol" w:eastAsiaTheme="minorHAnsi" w:cstheme="minorBidi"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194054"/>
    <w:multiLevelType w:val="hybridMultilevel"/>
    <w:tmpl w:val="1EACF3A8"/>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9855BB"/>
    <w:multiLevelType w:val="hybridMultilevel"/>
    <w:tmpl w:val="E2C2E4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7F5705A"/>
    <w:multiLevelType w:val="hybridMultilevel"/>
    <w:tmpl w:val="027825C2"/>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09C6FE6"/>
    <w:multiLevelType w:val="hybridMultilevel"/>
    <w:tmpl w:val="5FA808A6"/>
    <w:lvl w:ilvl="0">
      <w:start w:val="10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6636805">
    <w:abstractNumId w:val="2"/>
  </w:num>
  <w:num w:numId="2" w16cid:durableId="1583879105">
    <w:abstractNumId w:val="3"/>
  </w:num>
  <w:num w:numId="3" w16cid:durableId="1969241425">
    <w:abstractNumId w:val="1"/>
  </w:num>
  <w:num w:numId="4" w16cid:durableId="640580133">
    <w:abstractNumId w:val="0"/>
  </w:num>
  <w:num w:numId="5" w16cid:durableId="1566338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435C"/>
    <w:rsid w:val="00011787"/>
    <w:rsid w:val="000148BE"/>
    <w:rsid w:val="000153F7"/>
    <w:rsid w:val="000209B1"/>
    <w:rsid w:val="00023F64"/>
    <w:rsid w:val="000305E4"/>
    <w:rsid w:val="000313AD"/>
    <w:rsid w:val="00032232"/>
    <w:rsid w:val="00046E8E"/>
    <w:rsid w:val="0005182E"/>
    <w:rsid w:val="00052803"/>
    <w:rsid w:val="0005425A"/>
    <w:rsid w:val="00060053"/>
    <w:rsid w:val="00061593"/>
    <w:rsid w:val="000668A9"/>
    <w:rsid w:val="000676B1"/>
    <w:rsid w:val="0007271E"/>
    <w:rsid w:val="00072992"/>
    <w:rsid w:val="0007572A"/>
    <w:rsid w:val="00076CBB"/>
    <w:rsid w:val="00086BF9"/>
    <w:rsid w:val="000A25C8"/>
    <w:rsid w:val="000A2727"/>
    <w:rsid w:val="000A54A2"/>
    <w:rsid w:val="000A670B"/>
    <w:rsid w:val="000B7ACC"/>
    <w:rsid w:val="000B7E28"/>
    <w:rsid w:val="000C170A"/>
    <w:rsid w:val="000C1B5C"/>
    <w:rsid w:val="000C5F8A"/>
    <w:rsid w:val="000C7583"/>
    <w:rsid w:val="000D440F"/>
    <w:rsid w:val="000F05D0"/>
    <w:rsid w:val="000F32B9"/>
    <w:rsid w:val="000F3FD8"/>
    <w:rsid w:val="000F6D59"/>
    <w:rsid w:val="00101084"/>
    <w:rsid w:val="00103748"/>
    <w:rsid w:val="001052F1"/>
    <w:rsid w:val="00105874"/>
    <w:rsid w:val="00106426"/>
    <w:rsid w:val="00121DAB"/>
    <w:rsid w:val="001309CB"/>
    <w:rsid w:val="001327F0"/>
    <w:rsid w:val="00133C83"/>
    <w:rsid w:val="00160AE9"/>
    <w:rsid w:val="00161873"/>
    <w:rsid w:val="00161B5C"/>
    <w:rsid w:val="001628CA"/>
    <w:rsid w:val="0016533D"/>
    <w:rsid w:val="001660B7"/>
    <w:rsid w:val="001663A6"/>
    <w:rsid w:val="00166EF3"/>
    <w:rsid w:val="00170188"/>
    <w:rsid w:val="00172C8E"/>
    <w:rsid w:val="00172EAE"/>
    <w:rsid w:val="00177834"/>
    <w:rsid w:val="00177D9C"/>
    <w:rsid w:val="001849EF"/>
    <w:rsid w:val="001856D0"/>
    <w:rsid w:val="00185D2F"/>
    <w:rsid w:val="00193C6C"/>
    <w:rsid w:val="00197507"/>
    <w:rsid w:val="001A4173"/>
    <w:rsid w:val="001A47AF"/>
    <w:rsid w:val="001A56AB"/>
    <w:rsid w:val="001A7650"/>
    <w:rsid w:val="001B0F82"/>
    <w:rsid w:val="001B307F"/>
    <w:rsid w:val="001C5A82"/>
    <w:rsid w:val="001C7981"/>
    <w:rsid w:val="001D0866"/>
    <w:rsid w:val="001D2BA9"/>
    <w:rsid w:val="001D71A9"/>
    <w:rsid w:val="001E04A3"/>
    <w:rsid w:val="001E47B2"/>
    <w:rsid w:val="001E6739"/>
    <w:rsid w:val="001E732B"/>
    <w:rsid w:val="001F2722"/>
    <w:rsid w:val="00207867"/>
    <w:rsid w:val="0021132C"/>
    <w:rsid w:val="00214834"/>
    <w:rsid w:val="00214F4A"/>
    <w:rsid w:val="0021686A"/>
    <w:rsid w:val="00216D93"/>
    <w:rsid w:val="00221005"/>
    <w:rsid w:val="00221B4E"/>
    <w:rsid w:val="00223BEA"/>
    <w:rsid w:val="00224755"/>
    <w:rsid w:val="002311A7"/>
    <w:rsid w:val="00237B34"/>
    <w:rsid w:val="00261591"/>
    <w:rsid w:val="002667DC"/>
    <w:rsid w:val="00266D47"/>
    <w:rsid w:val="00267D1C"/>
    <w:rsid w:val="00283C66"/>
    <w:rsid w:val="0028533D"/>
    <w:rsid w:val="00296025"/>
    <w:rsid w:val="002A6251"/>
    <w:rsid w:val="002A744D"/>
    <w:rsid w:val="002A7DAB"/>
    <w:rsid w:val="002C345D"/>
    <w:rsid w:val="002C5413"/>
    <w:rsid w:val="002C70AE"/>
    <w:rsid w:val="002D053E"/>
    <w:rsid w:val="002D0C08"/>
    <w:rsid w:val="002D75A0"/>
    <w:rsid w:val="002E0CCC"/>
    <w:rsid w:val="002E3AF9"/>
    <w:rsid w:val="002E6A2E"/>
    <w:rsid w:val="002E77C7"/>
    <w:rsid w:val="002F512B"/>
    <w:rsid w:val="002F7284"/>
    <w:rsid w:val="0030227D"/>
    <w:rsid w:val="0030409D"/>
    <w:rsid w:val="003050CC"/>
    <w:rsid w:val="003175CA"/>
    <w:rsid w:val="00332F44"/>
    <w:rsid w:val="003333D5"/>
    <w:rsid w:val="00333863"/>
    <w:rsid w:val="003338C4"/>
    <w:rsid w:val="003465C9"/>
    <w:rsid w:val="00366DE1"/>
    <w:rsid w:val="00394DCF"/>
    <w:rsid w:val="003A0D0D"/>
    <w:rsid w:val="003B5E6B"/>
    <w:rsid w:val="003B6776"/>
    <w:rsid w:val="003C42F5"/>
    <w:rsid w:val="003D0E7A"/>
    <w:rsid w:val="003D44DD"/>
    <w:rsid w:val="003D52C4"/>
    <w:rsid w:val="003E0878"/>
    <w:rsid w:val="003E14A1"/>
    <w:rsid w:val="003E651E"/>
    <w:rsid w:val="003F2FAA"/>
    <w:rsid w:val="003F4766"/>
    <w:rsid w:val="0040457B"/>
    <w:rsid w:val="00416760"/>
    <w:rsid w:val="0041694D"/>
    <w:rsid w:val="00422B88"/>
    <w:rsid w:val="00425967"/>
    <w:rsid w:val="00425992"/>
    <w:rsid w:val="00430AFA"/>
    <w:rsid w:val="00433201"/>
    <w:rsid w:val="00434104"/>
    <w:rsid w:val="00436093"/>
    <w:rsid w:val="00450144"/>
    <w:rsid w:val="00457063"/>
    <w:rsid w:val="00461C32"/>
    <w:rsid w:val="00464320"/>
    <w:rsid w:val="00466DBF"/>
    <w:rsid w:val="004671D4"/>
    <w:rsid w:val="00471960"/>
    <w:rsid w:val="00477C40"/>
    <w:rsid w:val="00483418"/>
    <w:rsid w:val="00483AAB"/>
    <w:rsid w:val="00485D1F"/>
    <w:rsid w:val="004864D6"/>
    <w:rsid w:val="00486A09"/>
    <w:rsid w:val="00494C2D"/>
    <w:rsid w:val="00497DB6"/>
    <w:rsid w:val="004A28B7"/>
    <w:rsid w:val="004A4AA0"/>
    <w:rsid w:val="004B771B"/>
    <w:rsid w:val="004C38F6"/>
    <w:rsid w:val="004C605E"/>
    <w:rsid w:val="004D0E2C"/>
    <w:rsid w:val="004D5616"/>
    <w:rsid w:val="004D7CC9"/>
    <w:rsid w:val="004E2799"/>
    <w:rsid w:val="004E6F79"/>
    <w:rsid w:val="004F0514"/>
    <w:rsid w:val="004F6F27"/>
    <w:rsid w:val="00501724"/>
    <w:rsid w:val="00506A7C"/>
    <w:rsid w:val="00507D80"/>
    <w:rsid w:val="0051557D"/>
    <w:rsid w:val="005203CD"/>
    <w:rsid w:val="00522119"/>
    <w:rsid w:val="0052431A"/>
    <w:rsid w:val="00527929"/>
    <w:rsid w:val="00530F0B"/>
    <w:rsid w:val="005311B5"/>
    <w:rsid w:val="005333E8"/>
    <w:rsid w:val="00543F84"/>
    <w:rsid w:val="00545C14"/>
    <w:rsid w:val="00546800"/>
    <w:rsid w:val="0054714B"/>
    <w:rsid w:val="00550462"/>
    <w:rsid w:val="005516FB"/>
    <w:rsid w:val="005543A7"/>
    <w:rsid w:val="005638CD"/>
    <w:rsid w:val="00566FB4"/>
    <w:rsid w:val="00575421"/>
    <w:rsid w:val="00582F64"/>
    <w:rsid w:val="005849B8"/>
    <w:rsid w:val="00586330"/>
    <w:rsid w:val="005916F7"/>
    <w:rsid w:val="00597ABA"/>
    <w:rsid w:val="005A05A8"/>
    <w:rsid w:val="005A16FD"/>
    <w:rsid w:val="005A2A6E"/>
    <w:rsid w:val="005B1D57"/>
    <w:rsid w:val="005B38FA"/>
    <w:rsid w:val="005B40DD"/>
    <w:rsid w:val="005C23A9"/>
    <w:rsid w:val="005C325D"/>
    <w:rsid w:val="005C395E"/>
    <w:rsid w:val="005C3CA7"/>
    <w:rsid w:val="005D22C7"/>
    <w:rsid w:val="005D6BB1"/>
    <w:rsid w:val="005D6F40"/>
    <w:rsid w:val="005E4787"/>
    <w:rsid w:val="005E70E0"/>
    <w:rsid w:val="005F245F"/>
    <w:rsid w:val="005F256D"/>
    <w:rsid w:val="005F50CE"/>
    <w:rsid w:val="005F6202"/>
    <w:rsid w:val="005F7481"/>
    <w:rsid w:val="0060735E"/>
    <w:rsid w:val="00610C5F"/>
    <w:rsid w:val="006131A7"/>
    <w:rsid w:val="00613957"/>
    <w:rsid w:val="00614D32"/>
    <w:rsid w:val="00615823"/>
    <w:rsid w:val="00616021"/>
    <w:rsid w:val="006305D3"/>
    <w:rsid w:val="0063093A"/>
    <w:rsid w:val="0063563B"/>
    <w:rsid w:val="00637F2E"/>
    <w:rsid w:val="0064174E"/>
    <w:rsid w:val="00642326"/>
    <w:rsid w:val="006434D4"/>
    <w:rsid w:val="006530D8"/>
    <w:rsid w:val="00657AC9"/>
    <w:rsid w:val="00661B01"/>
    <w:rsid w:val="0066770E"/>
    <w:rsid w:val="00671723"/>
    <w:rsid w:val="00676466"/>
    <w:rsid w:val="00677DC1"/>
    <w:rsid w:val="0068581E"/>
    <w:rsid w:val="006915C2"/>
    <w:rsid w:val="0069624F"/>
    <w:rsid w:val="006966DA"/>
    <w:rsid w:val="006A66CE"/>
    <w:rsid w:val="006A6E5F"/>
    <w:rsid w:val="006B37D3"/>
    <w:rsid w:val="006B502A"/>
    <w:rsid w:val="006B57C9"/>
    <w:rsid w:val="006C17DF"/>
    <w:rsid w:val="006C2D9A"/>
    <w:rsid w:val="006C4E43"/>
    <w:rsid w:val="006D0119"/>
    <w:rsid w:val="006D33DD"/>
    <w:rsid w:val="006D3ABE"/>
    <w:rsid w:val="006D5733"/>
    <w:rsid w:val="006E2A1F"/>
    <w:rsid w:val="006E392C"/>
    <w:rsid w:val="006E4534"/>
    <w:rsid w:val="006F068D"/>
    <w:rsid w:val="007041C2"/>
    <w:rsid w:val="00707ED2"/>
    <w:rsid w:val="00710B00"/>
    <w:rsid w:val="007143DF"/>
    <w:rsid w:val="00720A63"/>
    <w:rsid w:val="00725768"/>
    <w:rsid w:val="00747D25"/>
    <w:rsid w:val="007506CE"/>
    <w:rsid w:val="00756BB8"/>
    <w:rsid w:val="00760A22"/>
    <w:rsid w:val="007712DB"/>
    <w:rsid w:val="00773600"/>
    <w:rsid w:val="00774AB9"/>
    <w:rsid w:val="00776346"/>
    <w:rsid w:val="00776B72"/>
    <w:rsid w:val="007821FA"/>
    <w:rsid w:val="007828FE"/>
    <w:rsid w:val="00791219"/>
    <w:rsid w:val="007938B9"/>
    <w:rsid w:val="007A1B17"/>
    <w:rsid w:val="007A4A02"/>
    <w:rsid w:val="007A4B92"/>
    <w:rsid w:val="007A77EE"/>
    <w:rsid w:val="007B4B43"/>
    <w:rsid w:val="007C0546"/>
    <w:rsid w:val="007C2CAE"/>
    <w:rsid w:val="007C38FA"/>
    <w:rsid w:val="007C7A2B"/>
    <w:rsid w:val="007D4768"/>
    <w:rsid w:val="007E13ED"/>
    <w:rsid w:val="007E7575"/>
    <w:rsid w:val="007E7DD6"/>
    <w:rsid w:val="0080252A"/>
    <w:rsid w:val="00804C28"/>
    <w:rsid w:val="00807EDE"/>
    <w:rsid w:val="0082355C"/>
    <w:rsid w:val="00823A0A"/>
    <w:rsid w:val="00835437"/>
    <w:rsid w:val="008424ED"/>
    <w:rsid w:val="00843E95"/>
    <w:rsid w:val="00846F03"/>
    <w:rsid w:val="008545AC"/>
    <w:rsid w:val="008561D1"/>
    <w:rsid w:val="0085651A"/>
    <w:rsid w:val="00856A01"/>
    <w:rsid w:val="008607EF"/>
    <w:rsid w:val="00871431"/>
    <w:rsid w:val="0087227E"/>
    <w:rsid w:val="0087236F"/>
    <w:rsid w:val="00875885"/>
    <w:rsid w:val="0087620B"/>
    <w:rsid w:val="00881B4D"/>
    <w:rsid w:val="00883F46"/>
    <w:rsid w:val="00891D46"/>
    <w:rsid w:val="00894624"/>
    <w:rsid w:val="008B2733"/>
    <w:rsid w:val="008B5707"/>
    <w:rsid w:val="008B6A86"/>
    <w:rsid w:val="008C0155"/>
    <w:rsid w:val="008C3973"/>
    <w:rsid w:val="008C3BBD"/>
    <w:rsid w:val="008C7589"/>
    <w:rsid w:val="008C75C9"/>
    <w:rsid w:val="008D1E22"/>
    <w:rsid w:val="008D57AE"/>
    <w:rsid w:val="008D7FFA"/>
    <w:rsid w:val="008E0D0B"/>
    <w:rsid w:val="008E53DF"/>
    <w:rsid w:val="008E5DD5"/>
    <w:rsid w:val="008F26D8"/>
    <w:rsid w:val="008F5047"/>
    <w:rsid w:val="009061C1"/>
    <w:rsid w:val="00907CA9"/>
    <w:rsid w:val="009306C5"/>
    <w:rsid w:val="00930BF9"/>
    <w:rsid w:val="009320BE"/>
    <w:rsid w:val="0093327B"/>
    <w:rsid w:val="00943765"/>
    <w:rsid w:val="0094578B"/>
    <w:rsid w:val="00947386"/>
    <w:rsid w:val="009528CA"/>
    <w:rsid w:val="0095409D"/>
    <w:rsid w:val="00961B7A"/>
    <w:rsid w:val="00961D00"/>
    <w:rsid w:val="0097739A"/>
    <w:rsid w:val="00977D79"/>
    <w:rsid w:val="0098215A"/>
    <w:rsid w:val="00994808"/>
    <w:rsid w:val="009A0E77"/>
    <w:rsid w:val="009A4B7A"/>
    <w:rsid w:val="009A5282"/>
    <w:rsid w:val="009B5C49"/>
    <w:rsid w:val="009C3738"/>
    <w:rsid w:val="009D33B6"/>
    <w:rsid w:val="009D4EB0"/>
    <w:rsid w:val="009E00CA"/>
    <w:rsid w:val="009E0381"/>
    <w:rsid w:val="009E7DCA"/>
    <w:rsid w:val="009F67AA"/>
    <w:rsid w:val="00A059C0"/>
    <w:rsid w:val="00A108DB"/>
    <w:rsid w:val="00A15E06"/>
    <w:rsid w:val="00A230EE"/>
    <w:rsid w:val="00A27835"/>
    <w:rsid w:val="00A30C9E"/>
    <w:rsid w:val="00A3116A"/>
    <w:rsid w:val="00A325DF"/>
    <w:rsid w:val="00A32CE5"/>
    <w:rsid w:val="00A342F5"/>
    <w:rsid w:val="00A47127"/>
    <w:rsid w:val="00A605CA"/>
    <w:rsid w:val="00A64DB6"/>
    <w:rsid w:val="00A65B5B"/>
    <w:rsid w:val="00A6744F"/>
    <w:rsid w:val="00A77C3E"/>
    <w:rsid w:val="00A81B60"/>
    <w:rsid w:val="00A843D4"/>
    <w:rsid w:val="00A8661C"/>
    <w:rsid w:val="00A900B6"/>
    <w:rsid w:val="00A90304"/>
    <w:rsid w:val="00A93894"/>
    <w:rsid w:val="00AA31F0"/>
    <w:rsid w:val="00AA5F38"/>
    <w:rsid w:val="00AA6DBD"/>
    <w:rsid w:val="00AA7262"/>
    <w:rsid w:val="00AB2586"/>
    <w:rsid w:val="00AB648E"/>
    <w:rsid w:val="00AB73D0"/>
    <w:rsid w:val="00AC3199"/>
    <w:rsid w:val="00AD5CE0"/>
    <w:rsid w:val="00AE1B2E"/>
    <w:rsid w:val="00AE36D5"/>
    <w:rsid w:val="00AF79B8"/>
    <w:rsid w:val="00B00CD8"/>
    <w:rsid w:val="00B12E54"/>
    <w:rsid w:val="00B13F13"/>
    <w:rsid w:val="00B2006A"/>
    <w:rsid w:val="00B20D91"/>
    <w:rsid w:val="00B24248"/>
    <w:rsid w:val="00B3319D"/>
    <w:rsid w:val="00B36337"/>
    <w:rsid w:val="00B3641B"/>
    <w:rsid w:val="00B45522"/>
    <w:rsid w:val="00B47F92"/>
    <w:rsid w:val="00B5366B"/>
    <w:rsid w:val="00B5586D"/>
    <w:rsid w:val="00B60883"/>
    <w:rsid w:val="00B64D69"/>
    <w:rsid w:val="00B842DB"/>
    <w:rsid w:val="00B915EC"/>
    <w:rsid w:val="00B91BCD"/>
    <w:rsid w:val="00BA17AA"/>
    <w:rsid w:val="00BA17BE"/>
    <w:rsid w:val="00BA7184"/>
    <w:rsid w:val="00BA7E63"/>
    <w:rsid w:val="00BC6398"/>
    <w:rsid w:val="00BD4E94"/>
    <w:rsid w:val="00BD6511"/>
    <w:rsid w:val="00BE0739"/>
    <w:rsid w:val="00BE44CE"/>
    <w:rsid w:val="00BE7FCE"/>
    <w:rsid w:val="00BF323C"/>
    <w:rsid w:val="00BF4DD8"/>
    <w:rsid w:val="00C0223B"/>
    <w:rsid w:val="00C05234"/>
    <w:rsid w:val="00C1141D"/>
    <w:rsid w:val="00C14E00"/>
    <w:rsid w:val="00C219F9"/>
    <w:rsid w:val="00C21F19"/>
    <w:rsid w:val="00C277CC"/>
    <w:rsid w:val="00C44E98"/>
    <w:rsid w:val="00C55B2C"/>
    <w:rsid w:val="00C602C0"/>
    <w:rsid w:val="00C60FD5"/>
    <w:rsid w:val="00C62B2B"/>
    <w:rsid w:val="00C71B36"/>
    <w:rsid w:val="00C76678"/>
    <w:rsid w:val="00C76775"/>
    <w:rsid w:val="00C76AD8"/>
    <w:rsid w:val="00C81177"/>
    <w:rsid w:val="00C873AF"/>
    <w:rsid w:val="00C9012F"/>
    <w:rsid w:val="00C93AD0"/>
    <w:rsid w:val="00CA3B2C"/>
    <w:rsid w:val="00CC26AF"/>
    <w:rsid w:val="00CC59F0"/>
    <w:rsid w:val="00CD4BF8"/>
    <w:rsid w:val="00CE509E"/>
    <w:rsid w:val="00CF17DA"/>
    <w:rsid w:val="00D00C6E"/>
    <w:rsid w:val="00D03C30"/>
    <w:rsid w:val="00D04235"/>
    <w:rsid w:val="00D050CC"/>
    <w:rsid w:val="00D055B0"/>
    <w:rsid w:val="00D11BD3"/>
    <w:rsid w:val="00D251A0"/>
    <w:rsid w:val="00D27620"/>
    <w:rsid w:val="00D32D2E"/>
    <w:rsid w:val="00D35306"/>
    <w:rsid w:val="00D36320"/>
    <w:rsid w:val="00D51AE7"/>
    <w:rsid w:val="00D52592"/>
    <w:rsid w:val="00D67225"/>
    <w:rsid w:val="00D67D81"/>
    <w:rsid w:val="00D71DE3"/>
    <w:rsid w:val="00D9263E"/>
    <w:rsid w:val="00D92DF8"/>
    <w:rsid w:val="00D94B4C"/>
    <w:rsid w:val="00D9775E"/>
    <w:rsid w:val="00DB2AFD"/>
    <w:rsid w:val="00DB5047"/>
    <w:rsid w:val="00DC5E4F"/>
    <w:rsid w:val="00DD0EC3"/>
    <w:rsid w:val="00DD3BF7"/>
    <w:rsid w:val="00DD62B3"/>
    <w:rsid w:val="00DD79A9"/>
    <w:rsid w:val="00DE501A"/>
    <w:rsid w:val="00DE510C"/>
    <w:rsid w:val="00DE7366"/>
    <w:rsid w:val="00DE786A"/>
    <w:rsid w:val="00DF721F"/>
    <w:rsid w:val="00E14DBF"/>
    <w:rsid w:val="00E17639"/>
    <w:rsid w:val="00E217C3"/>
    <w:rsid w:val="00E22839"/>
    <w:rsid w:val="00E24F09"/>
    <w:rsid w:val="00E31EAB"/>
    <w:rsid w:val="00E4110F"/>
    <w:rsid w:val="00E419D1"/>
    <w:rsid w:val="00E41C30"/>
    <w:rsid w:val="00E43E1F"/>
    <w:rsid w:val="00E4449A"/>
    <w:rsid w:val="00E46B5D"/>
    <w:rsid w:val="00E60FC9"/>
    <w:rsid w:val="00E61E23"/>
    <w:rsid w:val="00E7153D"/>
    <w:rsid w:val="00E74D6C"/>
    <w:rsid w:val="00E75868"/>
    <w:rsid w:val="00E90927"/>
    <w:rsid w:val="00EA1F32"/>
    <w:rsid w:val="00EA39A4"/>
    <w:rsid w:val="00EA5FDF"/>
    <w:rsid w:val="00EA6473"/>
    <w:rsid w:val="00EA74AD"/>
    <w:rsid w:val="00EB0EA0"/>
    <w:rsid w:val="00EB7CE6"/>
    <w:rsid w:val="00ED6CBB"/>
    <w:rsid w:val="00EE477E"/>
    <w:rsid w:val="00EE4960"/>
    <w:rsid w:val="00EE5F67"/>
    <w:rsid w:val="00EF155C"/>
    <w:rsid w:val="00EF282D"/>
    <w:rsid w:val="00F10A14"/>
    <w:rsid w:val="00F11A39"/>
    <w:rsid w:val="00F11AF2"/>
    <w:rsid w:val="00F1583D"/>
    <w:rsid w:val="00F172E4"/>
    <w:rsid w:val="00F212A4"/>
    <w:rsid w:val="00F26AE7"/>
    <w:rsid w:val="00F30DE0"/>
    <w:rsid w:val="00F33350"/>
    <w:rsid w:val="00F34504"/>
    <w:rsid w:val="00F37685"/>
    <w:rsid w:val="00F41DAB"/>
    <w:rsid w:val="00F42CE1"/>
    <w:rsid w:val="00F42E9E"/>
    <w:rsid w:val="00F458FE"/>
    <w:rsid w:val="00F47E99"/>
    <w:rsid w:val="00F54A07"/>
    <w:rsid w:val="00F65019"/>
    <w:rsid w:val="00F7603F"/>
    <w:rsid w:val="00F863A1"/>
    <w:rsid w:val="00F90EA0"/>
    <w:rsid w:val="00FA0F5D"/>
    <w:rsid w:val="00FA1414"/>
    <w:rsid w:val="00FB1788"/>
    <w:rsid w:val="00FB3A75"/>
    <w:rsid w:val="00FB7364"/>
    <w:rsid w:val="00FC7AA4"/>
    <w:rsid w:val="00FD072F"/>
    <w:rsid w:val="00FE0B22"/>
    <w:rsid w:val="00FE4BA1"/>
    <w:rsid w:val="00FE5E99"/>
    <w:rsid w:val="00FF1CB6"/>
    <w:rsid w:val="00FF4242"/>
    <w:rsid w:val="01740C75"/>
    <w:rsid w:val="01E0041C"/>
    <w:rsid w:val="028C2A3F"/>
    <w:rsid w:val="059D310B"/>
    <w:rsid w:val="093E04D2"/>
    <w:rsid w:val="0A5ABEA0"/>
    <w:rsid w:val="0C392810"/>
    <w:rsid w:val="0CEF7160"/>
    <w:rsid w:val="0FF8AA49"/>
    <w:rsid w:val="11320856"/>
    <w:rsid w:val="137FE88F"/>
    <w:rsid w:val="13E85BE3"/>
    <w:rsid w:val="1571347D"/>
    <w:rsid w:val="15DCA7C1"/>
    <w:rsid w:val="15DE141A"/>
    <w:rsid w:val="16313956"/>
    <w:rsid w:val="186033D3"/>
    <w:rsid w:val="1A31CC9A"/>
    <w:rsid w:val="1AE662B0"/>
    <w:rsid w:val="1CD1952E"/>
    <w:rsid w:val="1CE72623"/>
    <w:rsid w:val="2051D2FC"/>
    <w:rsid w:val="2062FE23"/>
    <w:rsid w:val="21310377"/>
    <w:rsid w:val="21C8AAEF"/>
    <w:rsid w:val="23D87177"/>
    <w:rsid w:val="24CE4D6B"/>
    <w:rsid w:val="258DDB8F"/>
    <w:rsid w:val="26969089"/>
    <w:rsid w:val="294AFDE6"/>
    <w:rsid w:val="299EA873"/>
    <w:rsid w:val="2F27D1A6"/>
    <w:rsid w:val="2F75B69A"/>
    <w:rsid w:val="307EA6FB"/>
    <w:rsid w:val="315FC8DD"/>
    <w:rsid w:val="328D0BC2"/>
    <w:rsid w:val="3359874E"/>
    <w:rsid w:val="33E424B8"/>
    <w:rsid w:val="33EC60BA"/>
    <w:rsid w:val="35F6CC88"/>
    <w:rsid w:val="36037E70"/>
    <w:rsid w:val="3672F73B"/>
    <w:rsid w:val="37EB350C"/>
    <w:rsid w:val="39A48D85"/>
    <w:rsid w:val="3AAF97E2"/>
    <w:rsid w:val="3B683164"/>
    <w:rsid w:val="3E34EEE4"/>
    <w:rsid w:val="3F11A079"/>
    <w:rsid w:val="3FD753A0"/>
    <w:rsid w:val="407F6CA1"/>
    <w:rsid w:val="40DBF0E0"/>
    <w:rsid w:val="4279DCA0"/>
    <w:rsid w:val="43322030"/>
    <w:rsid w:val="45F5C54B"/>
    <w:rsid w:val="4ADFDB10"/>
    <w:rsid w:val="4B99A9BA"/>
    <w:rsid w:val="4C178AE2"/>
    <w:rsid w:val="5174605C"/>
    <w:rsid w:val="51933F41"/>
    <w:rsid w:val="520305A6"/>
    <w:rsid w:val="522F33A2"/>
    <w:rsid w:val="5567A945"/>
    <w:rsid w:val="580223B9"/>
    <w:rsid w:val="595DDC0C"/>
    <w:rsid w:val="5CFE43B6"/>
    <w:rsid w:val="626D3E18"/>
    <w:rsid w:val="63786502"/>
    <w:rsid w:val="638630AA"/>
    <w:rsid w:val="65A3C19C"/>
    <w:rsid w:val="67D4500C"/>
    <w:rsid w:val="6A6D9855"/>
    <w:rsid w:val="6CA1562D"/>
    <w:rsid w:val="6E675076"/>
    <w:rsid w:val="6E959515"/>
    <w:rsid w:val="6FD74497"/>
    <w:rsid w:val="70F0F7FA"/>
    <w:rsid w:val="72770293"/>
    <w:rsid w:val="73F2742C"/>
    <w:rsid w:val="79130430"/>
    <w:rsid w:val="7B25AE02"/>
    <w:rsid w:val="7EE75E85"/>
    <w:rsid w:val="7F46B3D6"/>
    <w:rsid w:val="7F62E30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476D6815"/>
  <w15:docId w15:val="{6A0525EE-2A6D-4C3A-9E01-C7DC4027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B915EC"/>
    <w:pPr>
      <w:tabs>
        <w:tab w:val="center" w:pos="4513"/>
        <w:tab w:val="right" w:pos="9026"/>
      </w:tabs>
      <w:spacing w:before="0" w:after="0"/>
    </w:pPr>
  </w:style>
  <w:style w:type="character" w:customStyle="1" w:styleId="KoptekstChar">
    <w:name w:val="Koptekst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VoettekstChar"/>
    <w:uiPriority w:val="99"/>
    <w:unhideWhenUsed/>
    <w:rsid w:val="00B915EC"/>
    <w:pPr>
      <w:tabs>
        <w:tab w:val="center" w:pos="4513"/>
        <w:tab w:val="right" w:pos="9026"/>
      </w:tabs>
      <w:spacing w:before="0" w:after="0"/>
    </w:pPr>
  </w:style>
  <w:style w:type="character" w:customStyle="1" w:styleId="VoettekstChar">
    <w:name w:val="Voettekst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styleId="ListParagraph">
    <w:name w:val="List Paragraph"/>
    <w:basedOn w:val="Normal"/>
    <w:uiPriority w:val="34"/>
    <w:qFormat/>
    <w:rsid w:val="005916F7"/>
    <w:pPr>
      <w:spacing w:before="0" w:after="160" w:line="259" w:lineRule="auto"/>
      <w:ind w:left="720"/>
      <w:contextualSpacing/>
    </w:pPr>
    <w:rPr>
      <w:rFonts w:ascii="Verdana" w:hAnsi="Verdana" w:eastAsiaTheme="minorHAnsi" w:cstheme="minorBidi"/>
      <w:sz w:val="18"/>
      <w:szCs w:val="22"/>
      <w:lang w:val="en-US" w:eastAsia="en-US"/>
    </w:rPr>
  </w:style>
  <w:style w:type="character" w:styleId="CommentReference">
    <w:name w:val="annotation reference"/>
    <w:basedOn w:val="DefaultParagraphFont"/>
    <w:uiPriority w:val="99"/>
    <w:semiHidden/>
    <w:unhideWhenUsed/>
    <w:rsid w:val="006305D3"/>
    <w:rPr>
      <w:sz w:val="16"/>
      <w:szCs w:val="16"/>
    </w:rPr>
  </w:style>
  <w:style w:type="paragraph" w:styleId="CommentText">
    <w:name w:val="annotation text"/>
    <w:basedOn w:val="Normal"/>
    <w:link w:val="TekstopmerkingChar"/>
    <w:uiPriority w:val="99"/>
    <w:unhideWhenUsed/>
    <w:rsid w:val="006305D3"/>
  </w:style>
  <w:style w:type="character" w:customStyle="1" w:styleId="TekstopmerkingChar">
    <w:name w:val="Tekst opmerking Char"/>
    <w:basedOn w:val="DefaultParagraphFont"/>
    <w:link w:val="CommentText"/>
    <w:uiPriority w:val="99"/>
    <w:rsid w:val="006305D3"/>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OnderwerpvanopmerkingChar"/>
    <w:uiPriority w:val="99"/>
    <w:semiHidden/>
    <w:unhideWhenUsed/>
    <w:rsid w:val="006305D3"/>
    <w:rPr>
      <w:b/>
      <w:bCs/>
    </w:rPr>
  </w:style>
  <w:style w:type="character" w:customStyle="1" w:styleId="OnderwerpvanopmerkingChar">
    <w:name w:val="Onderwerp van opmerking Char"/>
    <w:basedOn w:val="TekstopmerkingChar"/>
    <w:link w:val="CommentSubject"/>
    <w:uiPriority w:val="99"/>
    <w:semiHidden/>
    <w:rsid w:val="006305D3"/>
    <w:rPr>
      <w:rFonts w:ascii="Times New Roman" w:eastAsia="Times New Roman" w:hAnsi="Times New Roman" w:cs="Times New Roman"/>
      <w:b/>
      <w:bCs/>
      <w:sz w:val="20"/>
      <w:szCs w:val="20"/>
      <w:lang w:val="nl-NL" w:eastAsia="nl-NL"/>
    </w:rPr>
  </w:style>
  <w:style w:type="paragraph" w:styleId="Revision">
    <w:name w:val="Revision"/>
    <w:hidden/>
    <w:uiPriority w:val="99"/>
    <w:semiHidden/>
    <w:rsid w:val="00F47E99"/>
    <w:rPr>
      <w:rFonts w:ascii="Times New Roman" w:eastAsia="Times New Roman" w:hAnsi="Times New Roman" w:cs="Times New Roman"/>
      <w:sz w:val="20"/>
      <w:szCs w:val="20"/>
      <w:lang w:val="nl-NL" w:eastAsia="nl-N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endnotes" Target="endnotes.xml" Id="rId2" /><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fontTable" Target="fontTable.xml" Id="rId5"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2470</ap:Words>
  <ap:Characters>13591</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2026-04-17T14:16:00.0000000Z</dcterms:created>
  <dcterms:modified xsi:type="dcterms:W3CDTF">2026-04-17T14:16:00.0000000Z</dcterms:modified>
  <dc:creator/>
  <lastModifiedBy/>
  <dc:description>------------------------</dc:description>
  <dc:subject/>
  <dc:title/>
  <keywords/>
  <version/>
  <category/>
</coreProperties>
</file>