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157187" w:rsidR="00861AE2" w:rsidP="00D06478" w14:paraId="7778BCE1" w14:textId="30467F27">
      <w:pPr>
        <w:autoSpaceDE w:val="0"/>
        <w:autoSpaceDN w:val="0"/>
        <w:adjustRightInd w:val="0"/>
        <w:spacing w:before="0" w:after="0" w:line="276" w:lineRule="auto"/>
        <w:ind w:left="45"/>
        <w:rPr>
          <w:rFonts w:ascii="Verdana" w:hAnsi="Verdana"/>
          <w:b/>
          <w:bCs/>
          <w:sz w:val="22"/>
          <w:szCs w:val="22"/>
        </w:rPr>
      </w:pPr>
      <w:r w:rsidRPr="00157187">
        <w:rPr>
          <w:rFonts w:ascii="Verdana" w:hAnsi="Verdana"/>
          <w:b/>
          <w:bCs/>
          <w:sz w:val="22"/>
          <w:szCs w:val="22"/>
        </w:rPr>
        <w:t>36915-IV</w:t>
      </w:r>
      <w:r w:rsidRPr="00157187">
        <w:rPr>
          <w:rFonts w:ascii="Verdana" w:hAnsi="Verdana"/>
          <w:b/>
          <w:bCs/>
          <w:sz w:val="22"/>
          <w:szCs w:val="22"/>
        </w:rPr>
        <w:tab/>
        <w:t>Wijziging van de begrotingsstaten van Koninkrijksrelaties (IV) en het BES-fonds (H) voor het jaar 2026 (wijziging samenhangende met de Voorjaarsnota)</w:t>
      </w:r>
    </w:p>
    <w:p w:rsidRPr="00157187" w:rsidR="00861AE2" w:rsidP="00D06478" w14:paraId="6DF2ED03" w14:textId="77777777">
      <w:pPr>
        <w:autoSpaceDE w:val="0"/>
        <w:autoSpaceDN w:val="0"/>
        <w:adjustRightInd w:val="0"/>
        <w:spacing w:before="0" w:after="0" w:line="276" w:lineRule="auto"/>
        <w:ind w:left="1416" w:hanging="1371"/>
        <w:rPr>
          <w:rFonts w:ascii="Verdana" w:hAnsi="Verdana"/>
          <w:b/>
          <w:sz w:val="18"/>
          <w:szCs w:val="18"/>
        </w:rPr>
      </w:pPr>
    </w:p>
    <w:p w:rsidRPr="00157187" w:rsidR="00861AE2" w:rsidP="00D06478" w14:paraId="1B7B6DE0" w14:textId="77777777">
      <w:pPr>
        <w:spacing w:line="276" w:lineRule="auto"/>
        <w:rPr>
          <w:rFonts w:ascii="Verdana" w:hAnsi="Verdana"/>
          <w:b/>
          <w:bCs/>
          <w:sz w:val="18"/>
          <w:szCs w:val="18"/>
        </w:rPr>
      </w:pPr>
      <w:r w:rsidRPr="00157187">
        <w:rPr>
          <w:rFonts w:ascii="Verdana" w:hAnsi="Verdana"/>
          <w:b/>
          <w:bCs/>
          <w:sz w:val="18"/>
          <w:szCs w:val="18"/>
        </w:rPr>
        <w:t xml:space="preserve">nr. </w:t>
      </w:r>
      <w:r w:rsidRPr="00157187">
        <w:rPr>
          <w:rFonts w:ascii="Verdana" w:hAnsi="Verdana"/>
          <w:b/>
          <w:sz w:val="18"/>
          <w:szCs w:val="18"/>
        </w:rPr>
        <w:tab/>
      </w:r>
      <w:r w:rsidRPr="00157187">
        <w:rPr>
          <w:rFonts w:ascii="Verdana" w:hAnsi="Verdana"/>
          <w:b/>
          <w:sz w:val="18"/>
          <w:szCs w:val="18"/>
        </w:rPr>
        <w:tab/>
      </w:r>
      <w:r w:rsidRPr="00157187">
        <w:rPr>
          <w:rFonts w:ascii="Verdana" w:hAnsi="Verdana"/>
          <w:b/>
          <w:bCs/>
          <w:sz w:val="18"/>
          <w:szCs w:val="18"/>
        </w:rPr>
        <w:t>Lijst van vragen en antwoorden</w:t>
      </w:r>
    </w:p>
    <w:p w:rsidRPr="00157187" w:rsidR="00861AE2" w:rsidP="00D06478" w14:paraId="6932DF7F" w14:textId="77777777">
      <w:pPr>
        <w:spacing w:line="276" w:lineRule="auto"/>
        <w:rPr>
          <w:rFonts w:ascii="Verdana" w:hAnsi="Verdana"/>
          <w:sz w:val="18"/>
          <w:szCs w:val="18"/>
        </w:rPr>
      </w:pPr>
      <w:r w:rsidRPr="00157187">
        <w:rPr>
          <w:rFonts w:ascii="Verdana" w:hAnsi="Verdana"/>
          <w:sz w:val="18"/>
          <w:szCs w:val="18"/>
        </w:rPr>
        <w:tab/>
      </w:r>
      <w:r w:rsidRPr="00157187">
        <w:rPr>
          <w:rFonts w:ascii="Verdana" w:hAnsi="Verdana"/>
          <w:sz w:val="18"/>
          <w:szCs w:val="18"/>
        </w:rPr>
        <w:tab/>
      </w:r>
    </w:p>
    <w:p w:rsidRPr="00157187" w:rsidR="00861AE2" w:rsidP="00D06478" w14:paraId="5FB50305" w14:textId="77777777">
      <w:pPr>
        <w:spacing w:line="276" w:lineRule="auto"/>
        <w:ind w:left="702" w:firstLine="708"/>
        <w:rPr>
          <w:rFonts w:ascii="Verdana" w:hAnsi="Verdana"/>
          <w:i/>
          <w:iCs/>
          <w:sz w:val="18"/>
          <w:szCs w:val="18"/>
        </w:rPr>
      </w:pPr>
      <w:r w:rsidRPr="00157187">
        <w:rPr>
          <w:rFonts w:ascii="Verdana" w:hAnsi="Verdana"/>
          <w:sz w:val="18"/>
          <w:szCs w:val="18"/>
        </w:rPr>
        <w:t xml:space="preserve">Vastgesteld </w:t>
      </w:r>
      <w:r w:rsidRPr="00157187">
        <w:rPr>
          <w:rFonts w:ascii="Verdana" w:hAnsi="Verdana"/>
          <w:i/>
          <w:iCs/>
          <w:sz w:val="18"/>
          <w:szCs w:val="18"/>
        </w:rPr>
        <w:t>(wordt door griffie ingevuld als antwoorden er zijn)</w:t>
      </w:r>
    </w:p>
    <w:p w:rsidRPr="00157187" w:rsidR="00861AE2" w:rsidP="00D06478" w14:paraId="3E41C8A2" w14:textId="3BDE6BE3">
      <w:pPr>
        <w:spacing w:line="276" w:lineRule="auto"/>
        <w:ind w:left="1410"/>
        <w:rPr>
          <w:rFonts w:ascii="Verdana" w:hAnsi="Verdana"/>
          <w:sz w:val="18"/>
          <w:szCs w:val="18"/>
        </w:rPr>
      </w:pPr>
      <w:r w:rsidRPr="00157187">
        <w:rPr>
          <w:rFonts w:ascii="Verdana" w:hAnsi="Verdana"/>
          <w:sz w:val="18"/>
          <w:szCs w:val="18"/>
        </w:rPr>
        <w:t xml:space="preserve">De vaste commissie voor Koninkrijksrelaties heeft een aantal vragen voorgelegd aan de staatssecretaris van Binnenlandse Zaken en Koninkrijksrelaties over de brief van 2 april 2026 houdende de </w:t>
      </w:r>
      <w:r w:rsidRPr="00157187">
        <w:rPr>
          <w:rFonts w:ascii="Verdana" w:hAnsi="Verdana"/>
          <w:b/>
          <w:bCs/>
          <w:sz w:val="18"/>
          <w:szCs w:val="18"/>
        </w:rPr>
        <w:t>Wijziging van de begrotingsstaten van Koninkrijksrelaties (IV) en het BES-fonds (H) voor het jaar 2026 (wijziging samenhangende met de Voorjaarsnota)</w:t>
      </w:r>
      <w:r w:rsidRPr="00157187">
        <w:rPr>
          <w:rFonts w:ascii="Verdana" w:hAnsi="Verdana"/>
          <w:sz w:val="18"/>
          <w:szCs w:val="18"/>
        </w:rPr>
        <w:t xml:space="preserve"> (</w:t>
      </w:r>
      <w:r w:rsidRPr="00157187">
        <w:rPr>
          <w:rFonts w:ascii="Verdana" w:hAnsi="Verdana"/>
          <w:b/>
          <w:bCs/>
          <w:sz w:val="18"/>
          <w:szCs w:val="18"/>
        </w:rPr>
        <w:t>36915-IV</w:t>
      </w:r>
      <w:r w:rsidRPr="00157187">
        <w:rPr>
          <w:rFonts w:ascii="Verdana" w:hAnsi="Verdana"/>
          <w:sz w:val="18"/>
          <w:szCs w:val="18"/>
        </w:rPr>
        <w:t xml:space="preserve">, </w:t>
      </w:r>
      <w:r w:rsidRPr="00B26A55">
        <w:rPr>
          <w:rFonts w:ascii="Verdana" w:hAnsi="Verdana"/>
          <w:b/>
          <w:bCs/>
          <w:sz w:val="18"/>
          <w:szCs w:val="18"/>
        </w:rPr>
        <w:t>nr.</w:t>
      </w:r>
      <w:r w:rsidRPr="00157187">
        <w:rPr>
          <w:rFonts w:ascii="Verdana" w:hAnsi="Verdana"/>
          <w:sz w:val="18"/>
          <w:szCs w:val="18"/>
        </w:rPr>
        <w:t xml:space="preserve"> </w:t>
      </w:r>
      <w:r w:rsidRPr="00157187">
        <w:rPr>
          <w:rFonts w:ascii="Verdana" w:hAnsi="Verdana"/>
          <w:b/>
          <w:bCs/>
          <w:sz w:val="18"/>
          <w:szCs w:val="18"/>
        </w:rPr>
        <w:t>1</w:t>
      </w:r>
      <w:r w:rsidRPr="00157187">
        <w:rPr>
          <w:rFonts w:ascii="Verdana" w:hAnsi="Verdana"/>
          <w:sz w:val="18"/>
          <w:szCs w:val="18"/>
        </w:rPr>
        <w:t>).</w:t>
      </w:r>
    </w:p>
    <w:p w:rsidRPr="00157187" w:rsidR="00861AE2" w:rsidP="00D06478" w14:paraId="7CBAC551" w14:textId="242E45F7">
      <w:pPr>
        <w:spacing w:line="276" w:lineRule="auto"/>
        <w:ind w:left="1410"/>
        <w:rPr>
          <w:rFonts w:ascii="Verdana" w:hAnsi="Verdana"/>
          <w:sz w:val="18"/>
          <w:szCs w:val="18"/>
        </w:rPr>
      </w:pPr>
      <w:r w:rsidRPr="00157187">
        <w:rPr>
          <w:rFonts w:ascii="Verdana" w:hAnsi="Verdana"/>
          <w:sz w:val="18"/>
          <w:szCs w:val="18"/>
        </w:rPr>
        <w:t>De daarop door de staatssecretaris gegeven antwoorden zijn hierbij afgedrukt.</w:t>
      </w:r>
    </w:p>
    <w:p w:rsidRPr="00157187" w:rsidR="00861AE2" w:rsidP="00D06478" w14:paraId="2430A5CB" w14:textId="77777777">
      <w:pPr>
        <w:spacing w:before="0" w:after="0" w:line="276" w:lineRule="auto"/>
        <w:rPr>
          <w:rFonts w:ascii="Verdana" w:hAnsi="Verdana"/>
          <w:sz w:val="18"/>
          <w:szCs w:val="18"/>
        </w:rPr>
      </w:pPr>
    </w:p>
    <w:p w:rsidRPr="00157187" w:rsidR="00861AE2" w:rsidP="00D06478" w14:paraId="79552FD7" w14:textId="77777777">
      <w:pPr>
        <w:spacing w:before="0" w:after="0" w:line="276" w:lineRule="auto"/>
        <w:ind w:left="703" w:firstLine="709"/>
        <w:rPr>
          <w:rFonts w:ascii="Verdana" w:hAnsi="Verdana"/>
          <w:sz w:val="18"/>
          <w:szCs w:val="18"/>
        </w:rPr>
      </w:pPr>
      <w:r w:rsidRPr="00157187">
        <w:rPr>
          <w:rFonts w:ascii="Verdana" w:hAnsi="Verdana"/>
          <w:sz w:val="18"/>
          <w:szCs w:val="18"/>
        </w:rPr>
        <w:t xml:space="preserve">Voorzitter van de commissie, </w:t>
      </w:r>
    </w:p>
    <w:p w:rsidRPr="00157187" w:rsidR="00861AE2" w:rsidP="00D06478" w14:paraId="541935CD" w14:textId="63EC0A78">
      <w:pPr>
        <w:spacing w:before="0" w:after="0" w:line="276" w:lineRule="auto"/>
        <w:rPr>
          <w:rFonts w:ascii="Verdana" w:hAnsi="Verdana"/>
          <w:sz w:val="18"/>
          <w:szCs w:val="18"/>
        </w:rPr>
      </w:pPr>
      <w:r w:rsidRPr="00157187">
        <w:rPr>
          <w:rFonts w:ascii="Verdana" w:hAnsi="Verdana"/>
          <w:sz w:val="18"/>
          <w:szCs w:val="18"/>
        </w:rPr>
        <w:tab/>
      </w:r>
      <w:r w:rsidRPr="00157187">
        <w:rPr>
          <w:rFonts w:ascii="Verdana" w:hAnsi="Verdana"/>
          <w:sz w:val="18"/>
          <w:szCs w:val="18"/>
        </w:rPr>
        <w:tab/>
      </w:r>
      <w:r w:rsidRPr="00157187" w:rsidR="00F17720">
        <w:rPr>
          <w:rFonts w:ascii="Verdana" w:hAnsi="Verdana"/>
          <w:sz w:val="18"/>
          <w:szCs w:val="18"/>
        </w:rPr>
        <w:t>Biekman</w:t>
      </w:r>
    </w:p>
    <w:p w:rsidRPr="00157187" w:rsidR="00861AE2" w:rsidP="00D06478" w14:paraId="6631EC7C" w14:textId="77777777">
      <w:pPr>
        <w:spacing w:before="0" w:after="0" w:line="276" w:lineRule="auto"/>
        <w:rPr>
          <w:rFonts w:ascii="Verdana" w:hAnsi="Verdana"/>
          <w:sz w:val="18"/>
          <w:szCs w:val="18"/>
        </w:rPr>
      </w:pPr>
      <w:r w:rsidRPr="00157187">
        <w:rPr>
          <w:rFonts w:ascii="Verdana" w:hAnsi="Verdana"/>
          <w:sz w:val="18"/>
          <w:szCs w:val="18"/>
        </w:rPr>
        <w:tab/>
      </w:r>
      <w:r w:rsidRPr="00157187">
        <w:rPr>
          <w:rFonts w:ascii="Verdana" w:hAnsi="Verdana"/>
          <w:sz w:val="18"/>
          <w:szCs w:val="18"/>
        </w:rPr>
        <w:tab/>
      </w:r>
    </w:p>
    <w:p w:rsidRPr="00157187" w:rsidR="00861AE2" w:rsidP="00D06478" w14:paraId="244A4A48" w14:textId="77777777">
      <w:pPr>
        <w:spacing w:before="0" w:after="0" w:line="276" w:lineRule="auto"/>
        <w:rPr>
          <w:rFonts w:ascii="Verdana" w:hAnsi="Verdana"/>
          <w:sz w:val="18"/>
          <w:szCs w:val="18"/>
        </w:rPr>
      </w:pPr>
      <w:r w:rsidRPr="00157187">
        <w:rPr>
          <w:rFonts w:ascii="Verdana" w:hAnsi="Verdana"/>
          <w:sz w:val="18"/>
          <w:szCs w:val="18"/>
        </w:rPr>
        <w:tab/>
      </w:r>
      <w:r w:rsidRPr="00157187">
        <w:rPr>
          <w:rFonts w:ascii="Verdana" w:hAnsi="Verdana"/>
          <w:sz w:val="18"/>
          <w:szCs w:val="18"/>
        </w:rPr>
        <w:tab/>
        <w:t>Griffier van de commissie,</w:t>
      </w:r>
    </w:p>
    <w:p w:rsidRPr="00157187" w:rsidR="00861AE2" w:rsidP="00D06478" w14:paraId="511081F3" w14:textId="0A68295E">
      <w:pPr>
        <w:spacing w:before="0" w:after="0" w:line="276" w:lineRule="auto"/>
        <w:rPr>
          <w:rFonts w:ascii="Verdana" w:hAnsi="Verdana"/>
          <w:sz w:val="18"/>
          <w:szCs w:val="18"/>
        </w:rPr>
      </w:pPr>
      <w:r w:rsidRPr="00157187">
        <w:rPr>
          <w:rFonts w:ascii="Verdana" w:hAnsi="Verdana"/>
          <w:sz w:val="18"/>
          <w:szCs w:val="18"/>
        </w:rPr>
        <w:tab/>
      </w:r>
      <w:r w:rsidRPr="00157187">
        <w:rPr>
          <w:rFonts w:ascii="Verdana" w:hAnsi="Verdana"/>
          <w:sz w:val="18"/>
          <w:szCs w:val="18"/>
        </w:rPr>
        <w:tab/>
      </w:r>
      <w:r w:rsidRPr="00157187" w:rsidR="00F17720">
        <w:rPr>
          <w:rFonts w:ascii="Verdana" w:hAnsi="Verdana"/>
          <w:sz w:val="18"/>
          <w:szCs w:val="18"/>
        </w:rPr>
        <w:t>Hessing-Puts</w:t>
      </w:r>
    </w:p>
    <w:p w:rsidRPr="00157187" w:rsidR="00F17720" w:rsidP="00D06478" w14:paraId="0156204C" w14:textId="59079E70">
      <w:pPr>
        <w:spacing w:before="0" w:after="0" w:line="276" w:lineRule="auto"/>
        <w:rPr>
          <w:rFonts w:ascii="Verdana" w:hAnsi="Verdana"/>
          <w:sz w:val="18"/>
          <w:szCs w:val="18"/>
        </w:rPr>
      </w:pPr>
      <w:r w:rsidRPr="00157187">
        <w:rPr>
          <w:rFonts w:ascii="Verdana" w:hAnsi="Verdana"/>
          <w:sz w:val="18"/>
          <w:szCs w:val="18"/>
        </w:rPr>
        <w:br w:type="page"/>
      </w:r>
    </w:p>
    <w:tbl>
      <w:tblPr>
        <w:tblW w:w="8364" w:type="dxa"/>
        <w:tblLayout w:type="fixed"/>
        <w:tblCellMar>
          <w:left w:w="0" w:type="dxa"/>
          <w:right w:w="0" w:type="dxa"/>
        </w:tblCellMar>
        <w:tblLook w:val="0000"/>
      </w:tblPr>
      <w:tblGrid>
        <w:gridCol w:w="8364"/>
      </w:tblGrid>
      <w:tr w:rsidTr="00D06478" w14:paraId="1BB251F4" w14:textId="77777777">
        <w:tblPrEx>
          <w:tblW w:w="8364" w:type="dxa"/>
          <w:tblLayout w:type="fixed"/>
          <w:tblCellMar>
            <w:left w:w="0" w:type="dxa"/>
            <w:right w:w="0" w:type="dxa"/>
          </w:tblCellMar>
          <w:tblLook w:val="0000"/>
        </w:tblPrEx>
        <w:tc>
          <w:tcPr>
            <w:tcW w:w="8364" w:type="dxa"/>
          </w:tcPr>
          <w:p w:rsidRPr="00157187" w:rsidR="00CD460A" w:rsidP="00D06478" w14:paraId="3C679D29" w14:textId="77777777">
            <w:pPr>
              <w:spacing w:line="276" w:lineRule="auto"/>
              <w:rPr>
                <w:rFonts w:ascii="Verdana" w:hAnsi="Verdana"/>
                <w:b/>
                <w:bCs/>
                <w:sz w:val="18"/>
                <w:szCs w:val="18"/>
              </w:rPr>
            </w:pPr>
            <w:r w:rsidRPr="00157187">
              <w:rPr>
                <w:rFonts w:ascii="Verdana" w:hAnsi="Verdana"/>
                <w:b/>
                <w:bCs/>
                <w:sz w:val="18"/>
                <w:szCs w:val="18"/>
              </w:rPr>
              <w:t xml:space="preserve">Vraag 1 </w:t>
            </w:r>
          </w:p>
          <w:p w:rsidRPr="00157187" w:rsidR="00CD460A" w:rsidP="00D06478" w14:paraId="6D22BAB2" w14:textId="5BFAB7BC">
            <w:pPr>
              <w:spacing w:line="276" w:lineRule="auto"/>
              <w:rPr>
                <w:rFonts w:ascii="Verdana" w:hAnsi="Verdana"/>
                <w:sz w:val="18"/>
                <w:szCs w:val="18"/>
              </w:rPr>
            </w:pPr>
            <w:r w:rsidRPr="00157187">
              <w:rPr>
                <w:rFonts w:ascii="Verdana" w:hAnsi="Verdana"/>
                <w:sz w:val="18"/>
                <w:szCs w:val="18"/>
              </w:rPr>
              <w:t xml:space="preserve">Welke middelen zijn er binnen de begroting vrijgemaakt voor het oplossen van de problemen rondom </w:t>
            </w:r>
            <w:r w:rsidRPr="00157187">
              <w:rPr>
                <w:rFonts w:ascii="Verdana" w:hAnsi="Verdana"/>
                <w:sz w:val="18"/>
                <w:szCs w:val="18"/>
              </w:rPr>
              <w:t>Selibon</w:t>
            </w:r>
            <w:r w:rsidRPr="00157187">
              <w:rPr>
                <w:rFonts w:ascii="Verdana" w:hAnsi="Verdana"/>
                <w:sz w:val="18"/>
                <w:szCs w:val="18"/>
              </w:rPr>
              <w:t>? Is dit voldoende om sluiting van de vuilstort te realiseren? Zo nee, hoeveel extra middelen zijn nodig?</w:t>
            </w:r>
          </w:p>
          <w:p w:rsidRPr="00157187" w:rsidR="00CD460A" w:rsidP="00D06478" w14:paraId="6D5BCA04" w14:textId="654DFDB5">
            <w:pPr>
              <w:spacing w:line="276" w:lineRule="auto"/>
              <w:rPr>
                <w:rFonts w:ascii="Verdana" w:hAnsi="Verdana"/>
                <w:sz w:val="18"/>
                <w:szCs w:val="18"/>
              </w:rPr>
            </w:pPr>
          </w:p>
          <w:p w:rsidRPr="00157187" w:rsidR="00FB4E39" w:rsidP="00FB4E39" w14:paraId="7EC10DC2" w14:textId="0FC9E924">
            <w:pPr>
              <w:spacing w:line="276" w:lineRule="auto"/>
              <w:rPr>
                <w:rFonts w:ascii="Verdana" w:hAnsi="Verdana"/>
                <w:i/>
                <w:iCs/>
                <w:sz w:val="18"/>
                <w:szCs w:val="18"/>
              </w:rPr>
            </w:pPr>
            <w:r w:rsidRPr="00157187">
              <w:rPr>
                <w:rFonts w:ascii="Verdana" w:hAnsi="Verdana"/>
                <w:i/>
                <w:iCs/>
                <w:sz w:val="18"/>
                <w:szCs w:val="18"/>
              </w:rPr>
              <w:t xml:space="preserve">De staatssecretaris van BZK geeft in afstemming met IenW momenteel uitvoering aan de motie Ceder (ChristenUnie)/van der Burg (VVD) om voor 1 juli een gedragen (financieel) plan aan te leveren voor een structurele oplossing van </w:t>
            </w:r>
            <w:r w:rsidRPr="00157187">
              <w:rPr>
                <w:rFonts w:ascii="Verdana" w:hAnsi="Verdana"/>
                <w:i/>
                <w:iCs/>
                <w:sz w:val="18"/>
                <w:szCs w:val="18"/>
              </w:rPr>
              <w:t>Selibon</w:t>
            </w:r>
            <w:r w:rsidRPr="00157187">
              <w:rPr>
                <w:rFonts w:ascii="Verdana" w:hAnsi="Verdana"/>
                <w:i/>
                <w:iCs/>
                <w:sz w:val="18"/>
                <w:szCs w:val="18"/>
              </w:rPr>
              <w:t xml:space="preserve"> </w:t>
            </w:r>
            <w:r w:rsidRPr="00157187">
              <w:rPr>
                <w:rFonts w:ascii="Verdana" w:hAnsi="Verdana"/>
                <w:i/>
                <w:iCs/>
                <w:sz w:val="18"/>
                <w:szCs w:val="18"/>
              </w:rPr>
              <w:t>Lagun</w:t>
            </w:r>
            <w:r w:rsidRPr="00157187">
              <w:rPr>
                <w:rFonts w:ascii="Verdana" w:hAnsi="Verdana"/>
                <w:i/>
                <w:iCs/>
                <w:sz w:val="18"/>
                <w:szCs w:val="18"/>
              </w:rPr>
              <w:t xml:space="preserve"> [Kamerstukken II 2025/2026, 36800 IV, nr. 38]. Het ministerie van BZK vervult daarbij een coördinerende en regisserende rol, passend bij de verantwoordelijkheid voor goed bestuur, interbestuurlijke verhoudingen en de samenhang in het Rijksoptreden richting Caribisch Nederland Het ministerie van IenW (de staatssecretaris van IenW) is stelselverantwoordelijk voor milieu en duurzame leefomgeving, waaronder kaderstelling afval. Het ministerie van EZK (de minister van KGG) is beleidsverantwoordelijk voor circulariteit en grondstoffenbeleid.</w:t>
            </w:r>
            <w:r w:rsidR="00CC2D78">
              <w:t xml:space="preserve"> </w:t>
            </w:r>
            <w:r w:rsidRPr="00CC2D78" w:rsidR="00CC2D78">
              <w:rPr>
                <w:rFonts w:ascii="Verdana" w:hAnsi="Verdana"/>
                <w:i/>
                <w:iCs/>
                <w:sz w:val="18"/>
                <w:szCs w:val="18"/>
              </w:rPr>
              <w:t xml:space="preserve">In het tweeminutendebat </w:t>
            </w:r>
            <w:r w:rsidRPr="00CC2D78" w:rsidR="00CC2D78">
              <w:rPr>
                <w:rFonts w:ascii="Verdana" w:hAnsi="Verdana"/>
                <w:i/>
                <w:iCs/>
                <w:sz w:val="18"/>
                <w:szCs w:val="18"/>
              </w:rPr>
              <w:t>Selibon</w:t>
            </w:r>
            <w:r w:rsidRPr="00CC2D78" w:rsidR="00CC2D78">
              <w:rPr>
                <w:rFonts w:ascii="Verdana" w:hAnsi="Verdana"/>
                <w:i/>
                <w:iCs/>
                <w:sz w:val="18"/>
                <w:szCs w:val="18"/>
              </w:rPr>
              <w:t xml:space="preserve"> van 4 maart heeft de staatssecretaris van IenW toegezegd terug te komen op de rolverdeling tussen de minister van KGG en haarzelf. </w:t>
            </w:r>
            <w:r w:rsidRPr="00157187">
              <w:rPr>
                <w:rFonts w:ascii="Verdana" w:hAnsi="Verdana"/>
                <w:i/>
                <w:iCs/>
                <w:sz w:val="18"/>
                <w:szCs w:val="18"/>
              </w:rPr>
              <w:t xml:space="preserve"> </w:t>
            </w:r>
          </w:p>
          <w:p w:rsidRPr="00157187" w:rsidR="00FB4E39" w:rsidP="00FB4E39" w14:paraId="4F39CBD4" w14:textId="77777777">
            <w:pPr>
              <w:spacing w:line="276" w:lineRule="auto"/>
              <w:rPr>
                <w:rFonts w:ascii="Verdana" w:hAnsi="Verdana"/>
                <w:i/>
                <w:iCs/>
                <w:sz w:val="18"/>
                <w:szCs w:val="18"/>
              </w:rPr>
            </w:pPr>
          </w:p>
          <w:p w:rsidRPr="00157187" w:rsidR="00FB4E39" w:rsidP="00FB4E39" w14:paraId="774D63B2" w14:textId="77777777">
            <w:pPr>
              <w:spacing w:line="276" w:lineRule="auto"/>
              <w:rPr>
                <w:rFonts w:ascii="Verdana" w:hAnsi="Verdana"/>
                <w:i/>
                <w:iCs/>
                <w:sz w:val="18"/>
                <w:szCs w:val="18"/>
              </w:rPr>
            </w:pPr>
            <w:r w:rsidRPr="00157187">
              <w:rPr>
                <w:rFonts w:ascii="Verdana" w:hAnsi="Verdana"/>
                <w:i/>
                <w:iCs/>
                <w:sz w:val="18"/>
                <w:szCs w:val="18"/>
              </w:rPr>
              <w:t xml:space="preserve">Er zijn bij de voorjaarsbesluitvorming binnen de begroting Koninkrijksrelaties geen middelen vrijgemaakt voor het oplossen van de problematiek rond </w:t>
            </w:r>
            <w:r w:rsidRPr="00157187">
              <w:rPr>
                <w:rFonts w:ascii="Verdana" w:hAnsi="Verdana"/>
                <w:i/>
                <w:iCs/>
                <w:sz w:val="18"/>
                <w:szCs w:val="18"/>
              </w:rPr>
              <w:t>Selibon</w:t>
            </w:r>
            <w:r w:rsidRPr="00157187">
              <w:rPr>
                <w:rFonts w:ascii="Verdana" w:hAnsi="Verdana"/>
                <w:i/>
                <w:iCs/>
                <w:sz w:val="18"/>
                <w:szCs w:val="18"/>
              </w:rPr>
              <w:t>. Uw Kamer wordt over de aanpak uiterlijk in het derde kwartaal van 2026 nader geïnformeerd.</w:t>
            </w:r>
          </w:p>
          <w:p w:rsidRPr="00157187" w:rsidR="00417D46" w:rsidP="00FB4E39" w14:paraId="4FB50533" w14:textId="53227F6B">
            <w:pPr>
              <w:spacing w:line="276" w:lineRule="auto"/>
              <w:rPr>
                <w:rFonts w:ascii="Verdana" w:hAnsi="Verdana"/>
                <w:sz w:val="18"/>
                <w:szCs w:val="18"/>
              </w:rPr>
            </w:pPr>
          </w:p>
        </w:tc>
      </w:tr>
      <w:tr w:rsidTr="00D06478" w14:paraId="2ED7101D" w14:textId="77777777">
        <w:tblPrEx>
          <w:tblW w:w="8364" w:type="dxa"/>
          <w:tblLayout w:type="fixed"/>
          <w:tblCellMar>
            <w:left w:w="0" w:type="dxa"/>
            <w:right w:w="0" w:type="dxa"/>
          </w:tblCellMar>
          <w:tblLook w:val="0000"/>
        </w:tblPrEx>
        <w:tc>
          <w:tcPr>
            <w:tcW w:w="8364" w:type="dxa"/>
          </w:tcPr>
          <w:p w:rsidRPr="00157187" w:rsidR="00CD460A" w:rsidP="00D06478" w14:paraId="03D3DEBA" w14:textId="77777777">
            <w:pPr>
              <w:spacing w:line="276" w:lineRule="auto"/>
              <w:rPr>
                <w:rFonts w:ascii="Verdana" w:hAnsi="Verdana"/>
                <w:b/>
                <w:bCs/>
                <w:sz w:val="18"/>
                <w:szCs w:val="18"/>
              </w:rPr>
            </w:pPr>
            <w:r w:rsidRPr="00157187">
              <w:rPr>
                <w:rFonts w:ascii="Verdana" w:hAnsi="Verdana"/>
                <w:b/>
                <w:bCs/>
                <w:sz w:val="18"/>
                <w:szCs w:val="18"/>
              </w:rPr>
              <w:t>Vraag 2</w:t>
            </w:r>
          </w:p>
          <w:p w:rsidRPr="00157187" w:rsidR="00CD460A" w:rsidP="00D06478" w14:paraId="6E64089E" w14:textId="4D8BB60D">
            <w:pPr>
              <w:spacing w:line="276" w:lineRule="auto"/>
              <w:rPr>
                <w:rFonts w:ascii="Verdana" w:hAnsi="Verdana"/>
                <w:sz w:val="18"/>
                <w:szCs w:val="18"/>
              </w:rPr>
            </w:pPr>
            <w:r w:rsidRPr="00157187">
              <w:rPr>
                <w:rFonts w:ascii="Verdana" w:hAnsi="Verdana"/>
                <w:sz w:val="18"/>
                <w:szCs w:val="18"/>
              </w:rPr>
              <w:t xml:space="preserve">Wanneer worden de wetsvoorstellen </w:t>
            </w:r>
            <w:r w:rsidRPr="00157187">
              <w:rPr>
                <w:rFonts w:ascii="Verdana" w:hAnsi="Verdana"/>
                <w:sz w:val="18"/>
                <w:szCs w:val="18"/>
              </w:rPr>
              <w:t>WolBES</w:t>
            </w:r>
            <w:r w:rsidRPr="00157187">
              <w:rPr>
                <w:rFonts w:ascii="Verdana" w:hAnsi="Verdana"/>
                <w:sz w:val="18"/>
                <w:szCs w:val="18"/>
              </w:rPr>
              <w:t xml:space="preserve"> en </w:t>
            </w:r>
            <w:r w:rsidRPr="00157187">
              <w:rPr>
                <w:rFonts w:ascii="Verdana" w:hAnsi="Verdana"/>
                <w:sz w:val="18"/>
                <w:szCs w:val="18"/>
              </w:rPr>
              <w:t>FinBES</w:t>
            </w:r>
            <w:r w:rsidRPr="00157187">
              <w:rPr>
                <w:rFonts w:ascii="Verdana" w:hAnsi="Verdana"/>
                <w:sz w:val="18"/>
                <w:szCs w:val="18"/>
              </w:rPr>
              <w:t xml:space="preserve"> naar de Kamer gestuurd?</w:t>
            </w:r>
          </w:p>
          <w:p w:rsidRPr="00157187" w:rsidR="00CD460A" w:rsidP="00D06478" w14:paraId="67C224D3" w14:textId="77777777">
            <w:pPr>
              <w:spacing w:line="276" w:lineRule="auto"/>
              <w:rPr>
                <w:rFonts w:ascii="Verdana" w:hAnsi="Verdana"/>
                <w:sz w:val="18"/>
                <w:szCs w:val="18"/>
              </w:rPr>
            </w:pPr>
          </w:p>
          <w:p w:rsidRPr="00157187" w:rsidR="00CD460A" w:rsidP="00D06478" w14:paraId="11E6BDBF" w14:textId="6509CCFA">
            <w:pPr>
              <w:spacing w:line="276" w:lineRule="auto"/>
              <w:rPr>
                <w:rFonts w:ascii="Verdana" w:hAnsi="Verdana"/>
                <w:i/>
                <w:iCs/>
                <w:sz w:val="18"/>
                <w:szCs w:val="18"/>
              </w:rPr>
            </w:pPr>
            <w:r w:rsidRPr="00157187">
              <w:rPr>
                <w:rFonts w:ascii="Verdana" w:hAnsi="Verdana"/>
                <w:i/>
                <w:iCs/>
                <w:sz w:val="18"/>
                <w:szCs w:val="18"/>
              </w:rPr>
              <w:t xml:space="preserve">Het streven is het Herzieningswetsvoorstel </w:t>
            </w:r>
            <w:r w:rsidR="008F39E0">
              <w:rPr>
                <w:rFonts w:ascii="Verdana" w:hAnsi="Verdana"/>
                <w:i/>
                <w:iCs/>
                <w:sz w:val="18"/>
                <w:szCs w:val="18"/>
              </w:rPr>
              <w:t>in</w:t>
            </w:r>
            <w:r w:rsidRPr="00157187">
              <w:rPr>
                <w:rFonts w:ascii="Verdana" w:hAnsi="Verdana"/>
                <w:i/>
                <w:iCs/>
                <w:sz w:val="18"/>
                <w:szCs w:val="18"/>
              </w:rPr>
              <w:t xml:space="preserve"> de zomer voor advies voor te leggen aan de Raad van State.</w:t>
            </w:r>
          </w:p>
          <w:p w:rsidRPr="00157187" w:rsidR="00CD460A" w:rsidP="00D06478" w14:paraId="1F39C4F2" w14:textId="04B5BF22">
            <w:pPr>
              <w:spacing w:line="276" w:lineRule="auto"/>
              <w:rPr>
                <w:rFonts w:ascii="Verdana" w:hAnsi="Verdana"/>
                <w:sz w:val="18"/>
                <w:szCs w:val="18"/>
              </w:rPr>
            </w:pPr>
          </w:p>
        </w:tc>
      </w:tr>
      <w:tr w:rsidTr="00D06478" w14:paraId="54713F62" w14:textId="77777777">
        <w:tblPrEx>
          <w:tblW w:w="8364" w:type="dxa"/>
          <w:tblLayout w:type="fixed"/>
          <w:tblCellMar>
            <w:left w:w="0" w:type="dxa"/>
            <w:right w:w="0" w:type="dxa"/>
          </w:tblCellMar>
          <w:tblLook w:val="0000"/>
        </w:tblPrEx>
        <w:tc>
          <w:tcPr>
            <w:tcW w:w="8364" w:type="dxa"/>
          </w:tcPr>
          <w:p w:rsidRPr="00157187" w:rsidR="00CD460A" w:rsidP="00D06478" w14:paraId="449BFD17" w14:textId="48989FD5">
            <w:pPr>
              <w:spacing w:line="276" w:lineRule="auto"/>
              <w:rPr>
                <w:rFonts w:ascii="Verdana" w:hAnsi="Verdana"/>
                <w:sz w:val="18"/>
                <w:szCs w:val="18"/>
              </w:rPr>
            </w:pPr>
            <w:r w:rsidRPr="00157187">
              <w:rPr>
                <w:rFonts w:ascii="Verdana" w:hAnsi="Verdana"/>
                <w:b/>
                <w:bCs/>
                <w:sz w:val="18"/>
                <w:szCs w:val="18"/>
              </w:rPr>
              <w:t>Vraag 3</w:t>
            </w:r>
            <w:r w:rsidRPr="00157187">
              <w:rPr>
                <w:rFonts w:ascii="Verdana" w:hAnsi="Verdana"/>
                <w:sz w:val="18"/>
                <w:szCs w:val="18"/>
              </w:rPr>
              <w:t xml:space="preserve"> </w:t>
            </w:r>
            <w:r w:rsidRPr="00157187">
              <w:rPr>
                <w:rFonts w:ascii="Verdana" w:hAnsi="Verdana"/>
                <w:sz w:val="18"/>
                <w:szCs w:val="18"/>
              </w:rPr>
              <w:br/>
              <w:t>Hoe staat het met de buslijn op Bonaire?</w:t>
            </w:r>
          </w:p>
          <w:p w:rsidRPr="00157187" w:rsidR="00CD460A" w:rsidP="00D06478" w14:paraId="6EA63450" w14:textId="77777777">
            <w:pPr>
              <w:spacing w:line="276" w:lineRule="auto"/>
              <w:rPr>
                <w:rFonts w:ascii="Verdana" w:hAnsi="Verdana"/>
                <w:sz w:val="18"/>
                <w:szCs w:val="18"/>
              </w:rPr>
            </w:pPr>
          </w:p>
          <w:p w:rsidRPr="00157187" w:rsidR="00CD460A" w:rsidP="00D06478" w14:paraId="2F99E723" w14:textId="0E332672">
            <w:pPr>
              <w:spacing w:line="276" w:lineRule="auto"/>
              <w:rPr>
                <w:rFonts w:ascii="Verdana" w:hAnsi="Verdana"/>
                <w:i/>
                <w:iCs/>
                <w:sz w:val="18"/>
                <w:szCs w:val="18"/>
              </w:rPr>
            </w:pPr>
            <w:r w:rsidRPr="00157187">
              <w:rPr>
                <w:rFonts w:ascii="Verdana" w:hAnsi="Verdana"/>
                <w:i/>
                <w:iCs/>
                <w:sz w:val="18"/>
                <w:szCs w:val="18"/>
              </w:rPr>
              <w:t xml:space="preserve">Bonaire is voornemens </w:t>
            </w:r>
            <w:r w:rsidR="008325A5">
              <w:rPr>
                <w:rFonts w:ascii="Verdana" w:hAnsi="Verdana"/>
                <w:i/>
                <w:iCs/>
                <w:sz w:val="18"/>
                <w:szCs w:val="18"/>
              </w:rPr>
              <w:t>in september</w:t>
            </w:r>
            <w:r w:rsidRPr="00157187">
              <w:rPr>
                <w:rFonts w:ascii="Verdana" w:hAnsi="Verdana"/>
                <w:i/>
                <w:iCs/>
                <w:sz w:val="18"/>
                <w:szCs w:val="18"/>
              </w:rPr>
              <w:t xml:space="preserve"> de eerste busverbinding te operationaliseren. De eilandsraad van Bonaire heeft in december 2025 akkoord gegeven op het oprichten van een NV die de integrale mobiliteits- en gebiedsontwikkelingsstrategie gaat uitvoeren. Hierbij wordt de uitvoering van openbaar vervoer, mobiliteit en gebiedsontwikkeling, aan elkaar verbonden. </w:t>
            </w:r>
          </w:p>
          <w:p w:rsidRPr="00157187" w:rsidR="00CD460A" w:rsidP="00D06478" w14:paraId="77FF763F" w14:textId="1EA79F98">
            <w:pPr>
              <w:spacing w:line="276" w:lineRule="auto"/>
              <w:rPr>
                <w:rFonts w:ascii="Verdana" w:hAnsi="Verdana"/>
                <w:sz w:val="18"/>
                <w:szCs w:val="18"/>
              </w:rPr>
            </w:pPr>
          </w:p>
        </w:tc>
      </w:tr>
      <w:tr w:rsidTr="00D06478" w14:paraId="77EDA633" w14:textId="77777777">
        <w:tblPrEx>
          <w:tblW w:w="8364" w:type="dxa"/>
          <w:tblLayout w:type="fixed"/>
          <w:tblCellMar>
            <w:left w:w="0" w:type="dxa"/>
            <w:right w:w="0" w:type="dxa"/>
          </w:tblCellMar>
          <w:tblLook w:val="0000"/>
        </w:tblPrEx>
        <w:tc>
          <w:tcPr>
            <w:tcW w:w="8364" w:type="dxa"/>
          </w:tcPr>
          <w:p w:rsidRPr="00157187" w:rsidR="00CD460A" w:rsidP="00D06478" w14:paraId="093723E8" w14:textId="461E00A3">
            <w:pPr>
              <w:spacing w:line="276" w:lineRule="auto"/>
              <w:rPr>
                <w:rFonts w:ascii="Verdana" w:hAnsi="Verdana"/>
                <w:b/>
                <w:bCs/>
                <w:sz w:val="18"/>
                <w:szCs w:val="18"/>
              </w:rPr>
            </w:pPr>
            <w:r w:rsidRPr="00157187">
              <w:rPr>
                <w:rFonts w:ascii="Verdana" w:hAnsi="Verdana"/>
                <w:b/>
                <w:bCs/>
                <w:sz w:val="18"/>
                <w:szCs w:val="18"/>
              </w:rPr>
              <w:t>Vraag 4</w:t>
            </w:r>
            <w:r w:rsidRPr="00157187" w:rsidR="00425C8E">
              <w:rPr>
                <w:rFonts w:ascii="Verdana" w:hAnsi="Verdana"/>
                <w:b/>
                <w:bCs/>
                <w:sz w:val="18"/>
                <w:szCs w:val="18"/>
              </w:rPr>
              <w:t xml:space="preserve"> (blz. 4)</w:t>
            </w:r>
          </w:p>
          <w:p w:rsidRPr="00157187" w:rsidR="00CD460A" w:rsidP="00D06478" w14:paraId="12352FF2" w14:textId="7F62BF25">
            <w:pPr>
              <w:spacing w:line="276" w:lineRule="auto"/>
              <w:rPr>
                <w:rFonts w:ascii="Verdana" w:hAnsi="Verdana"/>
                <w:sz w:val="18"/>
                <w:szCs w:val="18"/>
              </w:rPr>
            </w:pPr>
            <w:r w:rsidRPr="00157187">
              <w:rPr>
                <w:rFonts w:ascii="Verdana" w:hAnsi="Verdana"/>
                <w:sz w:val="18"/>
                <w:szCs w:val="18"/>
              </w:rPr>
              <w:t xml:space="preserve">Waarom ontbreekt bij de 1e suppletoire begroting Koninkrijksrelaties en BES-fonds het integraal overzicht Rijksuitgaven Caribisch Nederland n.a.v. de motie </w:t>
            </w:r>
            <w:r w:rsidRPr="00157187">
              <w:rPr>
                <w:rFonts w:ascii="Verdana" w:hAnsi="Verdana"/>
                <w:sz w:val="18"/>
                <w:szCs w:val="18"/>
              </w:rPr>
              <w:t>Bruyning</w:t>
            </w:r>
            <w:r w:rsidRPr="00157187">
              <w:rPr>
                <w:rFonts w:ascii="Verdana" w:hAnsi="Verdana"/>
                <w:sz w:val="18"/>
                <w:szCs w:val="18"/>
              </w:rPr>
              <w:t xml:space="preserve"> c.s. (Kamerstuk 36600-IV, nr. 19)? Bent u bereid dit integraal overzicht, net zoals bij de ontwerpbegroting 2026, als bijlage aan de 1e suppletoire begroting Koninkrijksrelaties en BES-fonds toe te voegen, zodat de Kamer een integraal overzicht heeft in de Voorjaarsbesluitvorming</w:t>
            </w:r>
            <w:r w:rsidR="00CC2D78">
              <w:rPr>
                <w:rFonts w:ascii="Verdana" w:hAnsi="Verdana"/>
                <w:sz w:val="18"/>
                <w:szCs w:val="18"/>
              </w:rPr>
              <w:t xml:space="preserve"> </w:t>
            </w:r>
            <w:r w:rsidRPr="00157187">
              <w:rPr>
                <w:rFonts w:ascii="Verdana" w:hAnsi="Verdana"/>
                <w:sz w:val="18"/>
                <w:szCs w:val="18"/>
              </w:rPr>
              <w:t>aangaande Caribisch Nederland?</w:t>
            </w:r>
          </w:p>
          <w:p w:rsidRPr="00157187" w:rsidR="00CD460A" w:rsidP="00D06478" w14:paraId="3515ACC1" w14:textId="77777777">
            <w:pPr>
              <w:spacing w:line="276" w:lineRule="auto"/>
              <w:rPr>
                <w:rFonts w:ascii="Verdana" w:hAnsi="Verdana"/>
                <w:sz w:val="18"/>
                <w:szCs w:val="18"/>
              </w:rPr>
            </w:pPr>
          </w:p>
          <w:p w:rsidRPr="00157187" w:rsidR="00CD460A" w:rsidP="00D06478" w14:paraId="6C009A25" w14:textId="47AA38E8">
            <w:pPr>
              <w:spacing w:line="276" w:lineRule="auto"/>
              <w:rPr>
                <w:rFonts w:ascii="Verdana" w:hAnsi="Verdana"/>
                <w:i/>
                <w:iCs/>
                <w:sz w:val="18"/>
                <w:szCs w:val="18"/>
              </w:rPr>
            </w:pPr>
            <w:r w:rsidRPr="00157187">
              <w:rPr>
                <w:rFonts w:ascii="Verdana" w:hAnsi="Verdana"/>
                <w:i/>
                <w:iCs/>
                <w:sz w:val="18"/>
                <w:szCs w:val="18"/>
              </w:rPr>
              <w:t xml:space="preserve">De Rijksbegrotingsvoorschriften 2026 schrijven voor dat de bijlage “Totaaloverzicht Rijksuitgaven Caribisch Nederland” moet worden opgenomen in de begroting en het jaarverslag van Koninkrijksrelaties. De suppletoire begrotingen zijn hiervan uitgezonderd. Bij het jaarverslag 2025 van Koninkrijksrelaties ontvangt uw Kamer een nieuwe tabel met </w:t>
            </w:r>
            <w:r w:rsidRPr="00157187">
              <w:rPr>
                <w:rFonts w:ascii="Verdana" w:hAnsi="Verdana"/>
                <w:i/>
                <w:iCs/>
                <w:sz w:val="18"/>
                <w:szCs w:val="18"/>
              </w:rPr>
              <w:t>daarin de realisatiecijfers over 2025 en bij Prinsjesdag in de ontwerpbegroting 2027 een bijgewerkte raming van de jaren 2026 tot en met 2031.</w:t>
            </w:r>
          </w:p>
          <w:p w:rsidRPr="00157187" w:rsidR="00CD460A" w:rsidP="00D06478" w14:paraId="751B4EA0" w14:textId="6E89AB4A">
            <w:pPr>
              <w:spacing w:line="276" w:lineRule="auto"/>
              <w:rPr>
                <w:rFonts w:ascii="Verdana" w:hAnsi="Verdana"/>
                <w:sz w:val="18"/>
                <w:szCs w:val="18"/>
              </w:rPr>
            </w:pPr>
          </w:p>
        </w:tc>
      </w:tr>
      <w:tr w:rsidTr="00D06478" w14:paraId="4E2237F4" w14:textId="77777777">
        <w:tblPrEx>
          <w:tblW w:w="8364" w:type="dxa"/>
          <w:tblLayout w:type="fixed"/>
          <w:tblCellMar>
            <w:left w:w="0" w:type="dxa"/>
            <w:right w:w="0" w:type="dxa"/>
          </w:tblCellMar>
          <w:tblLook w:val="0000"/>
        </w:tblPrEx>
        <w:tc>
          <w:tcPr>
            <w:tcW w:w="8364" w:type="dxa"/>
          </w:tcPr>
          <w:p w:rsidRPr="00157187" w:rsidR="00CD460A" w:rsidP="00D06478" w14:paraId="5D7FB5D7" w14:textId="67F0A698">
            <w:pPr>
              <w:spacing w:line="276" w:lineRule="auto"/>
              <w:rPr>
                <w:rFonts w:ascii="Verdana" w:hAnsi="Verdana"/>
                <w:sz w:val="18"/>
                <w:szCs w:val="18"/>
              </w:rPr>
            </w:pPr>
            <w:r w:rsidRPr="00157187">
              <w:rPr>
                <w:rFonts w:ascii="Verdana" w:hAnsi="Verdana"/>
                <w:b/>
                <w:bCs/>
                <w:sz w:val="18"/>
                <w:szCs w:val="18"/>
              </w:rPr>
              <w:t>Vraag 5</w:t>
            </w:r>
            <w:r w:rsidRPr="00157187" w:rsidR="00425C8E">
              <w:rPr>
                <w:rFonts w:ascii="Verdana" w:hAnsi="Verdana"/>
                <w:b/>
                <w:bCs/>
                <w:sz w:val="18"/>
                <w:szCs w:val="18"/>
              </w:rPr>
              <w:t xml:space="preserve"> (blz. 4)</w:t>
            </w:r>
            <w:r w:rsidRPr="00157187">
              <w:rPr>
                <w:rFonts w:ascii="Verdana" w:hAnsi="Verdana"/>
                <w:sz w:val="18"/>
                <w:szCs w:val="18"/>
              </w:rPr>
              <w:br/>
              <w:t>Wordt in augustus ook besloten over inkomsten en koopkracht Caribisch Nederland, evenals volgens de Voorjaarsnota 2026 (p. 8), het geval is voor Nederland?</w:t>
            </w:r>
          </w:p>
          <w:p w:rsidRPr="00157187" w:rsidR="00CD460A" w:rsidP="00D06478" w14:paraId="612876B2" w14:textId="77777777">
            <w:pPr>
              <w:spacing w:line="276" w:lineRule="auto"/>
              <w:rPr>
                <w:rFonts w:ascii="Verdana" w:hAnsi="Verdana"/>
                <w:sz w:val="18"/>
                <w:szCs w:val="18"/>
              </w:rPr>
            </w:pPr>
          </w:p>
          <w:p w:rsidRPr="00157187" w:rsidR="00CD460A" w:rsidP="00D06478" w14:paraId="092657C5" w14:textId="5EFF1A98">
            <w:pPr>
              <w:spacing w:line="276" w:lineRule="auto"/>
              <w:rPr>
                <w:rFonts w:ascii="Verdana" w:hAnsi="Verdana"/>
                <w:i/>
                <w:iCs/>
                <w:sz w:val="18"/>
                <w:szCs w:val="18"/>
              </w:rPr>
            </w:pPr>
            <w:r w:rsidRPr="00157187">
              <w:rPr>
                <w:rFonts w:ascii="Verdana" w:hAnsi="Verdana"/>
                <w:i/>
                <w:iCs/>
                <w:sz w:val="18"/>
                <w:szCs w:val="18"/>
              </w:rPr>
              <w:t>Ja, dat is het geval. Het uitgangspunt is dat het kabinet nieuw beleid in Europees Nederland ook invoert in Caribisch Nederland volgens het ‘</w:t>
            </w:r>
            <w:r w:rsidRPr="00157187">
              <w:rPr>
                <w:rFonts w:ascii="Verdana" w:hAnsi="Verdana"/>
                <w:i/>
                <w:iCs/>
                <w:sz w:val="18"/>
                <w:szCs w:val="18"/>
              </w:rPr>
              <w:t>comply</w:t>
            </w:r>
            <w:r w:rsidRPr="00157187">
              <w:rPr>
                <w:rFonts w:ascii="Verdana" w:hAnsi="Verdana"/>
                <w:i/>
                <w:iCs/>
                <w:sz w:val="18"/>
                <w:szCs w:val="18"/>
              </w:rPr>
              <w:t xml:space="preserve"> or </w:t>
            </w:r>
            <w:r w:rsidRPr="00157187">
              <w:rPr>
                <w:rFonts w:ascii="Verdana" w:hAnsi="Verdana"/>
                <w:i/>
                <w:iCs/>
                <w:sz w:val="18"/>
                <w:szCs w:val="18"/>
              </w:rPr>
              <w:t>explain</w:t>
            </w:r>
            <w:r w:rsidRPr="00157187">
              <w:rPr>
                <w:rFonts w:ascii="Verdana" w:hAnsi="Verdana"/>
                <w:i/>
                <w:iCs/>
                <w:sz w:val="18"/>
                <w:szCs w:val="18"/>
              </w:rPr>
              <w:t>’ principe. Bij de koopkrachtbesluitvorming in augustus wordt dus ook het belang van Caribisch Nederland meegewogen.</w:t>
            </w:r>
          </w:p>
          <w:p w:rsidRPr="00157187" w:rsidR="00CD460A" w:rsidP="00D06478" w14:paraId="766B4107" w14:textId="6A7EE487">
            <w:pPr>
              <w:spacing w:line="276" w:lineRule="auto"/>
              <w:rPr>
                <w:rFonts w:ascii="Verdana" w:hAnsi="Verdana"/>
                <w:sz w:val="18"/>
                <w:szCs w:val="18"/>
              </w:rPr>
            </w:pPr>
          </w:p>
        </w:tc>
      </w:tr>
      <w:tr w:rsidTr="00D06478" w14:paraId="04D1AF7D" w14:textId="77777777">
        <w:tblPrEx>
          <w:tblW w:w="8364" w:type="dxa"/>
          <w:tblLayout w:type="fixed"/>
          <w:tblCellMar>
            <w:left w:w="0" w:type="dxa"/>
            <w:right w:w="0" w:type="dxa"/>
          </w:tblCellMar>
          <w:tblLook w:val="0000"/>
        </w:tblPrEx>
        <w:tc>
          <w:tcPr>
            <w:tcW w:w="8364" w:type="dxa"/>
          </w:tcPr>
          <w:p w:rsidRPr="00157187" w:rsidR="00CD460A" w:rsidP="00D06478" w14:paraId="55C5C5C8" w14:textId="62DF732D">
            <w:pPr>
              <w:spacing w:line="276" w:lineRule="auto"/>
              <w:rPr>
                <w:rFonts w:ascii="Verdana" w:hAnsi="Verdana"/>
                <w:sz w:val="18"/>
                <w:szCs w:val="18"/>
              </w:rPr>
            </w:pPr>
            <w:r w:rsidRPr="00157187">
              <w:rPr>
                <w:rFonts w:ascii="Verdana" w:hAnsi="Verdana"/>
                <w:b/>
                <w:bCs/>
                <w:sz w:val="18"/>
                <w:szCs w:val="18"/>
              </w:rPr>
              <w:t>Vraag 6</w:t>
            </w:r>
            <w:r w:rsidRPr="00157187" w:rsidR="00425C8E">
              <w:rPr>
                <w:rFonts w:ascii="Verdana" w:hAnsi="Verdana"/>
                <w:b/>
                <w:bCs/>
                <w:sz w:val="18"/>
                <w:szCs w:val="18"/>
              </w:rPr>
              <w:t xml:space="preserve"> (blz. 4)</w:t>
            </w:r>
            <w:r w:rsidRPr="00157187">
              <w:rPr>
                <w:rFonts w:ascii="Verdana" w:hAnsi="Verdana"/>
                <w:sz w:val="18"/>
                <w:szCs w:val="18"/>
              </w:rPr>
              <w:br/>
              <w:t>Is de Kamer geïnformeerd over de verhoging van de vergoeding die kinderopvangorganisaties in Caribisch Nederland ontvangen voor de opvang van baby’s (de babytoeslag) (zie het persbericht van 27 maart 2026 van de Rijksdienst Caribisch Nederland)? Klopt het dat de eerste suppletoire SZW 2026 deze informatie niet bevat?</w:t>
            </w:r>
          </w:p>
          <w:p w:rsidRPr="00157187" w:rsidR="00CD460A" w:rsidP="00D06478" w14:paraId="2DDD0AEB" w14:textId="77777777">
            <w:pPr>
              <w:spacing w:line="276" w:lineRule="auto"/>
              <w:rPr>
                <w:rFonts w:ascii="Verdana" w:hAnsi="Verdana"/>
                <w:sz w:val="18"/>
                <w:szCs w:val="18"/>
              </w:rPr>
            </w:pPr>
          </w:p>
          <w:p w:rsidRPr="00157187" w:rsidR="00CD460A" w:rsidP="00D06478" w14:paraId="697D7123" w14:textId="1C996900">
            <w:pPr>
              <w:spacing w:line="276" w:lineRule="auto"/>
              <w:rPr>
                <w:rFonts w:ascii="Verdana" w:hAnsi="Verdana"/>
                <w:i/>
                <w:iCs/>
                <w:sz w:val="18"/>
                <w:szCs w:val="18"/>
              </w:rPr>
            </w:pPr>
            <w:r w:rsidRPr="00157187">
              <w:rPr>
                <w:rFonts w:ascii="Verdana" w:hAnsi="Verdana"/>
                <w:i/>
                <w:iCs/>
                <w:sz w:val="18"/>
                <w:szCs w:val="18"/>
              </w:rPr>
              <w:t xml:space="preserve">In de eerste suppletoire begroting van het ministerie van SZW over 2026 is € 0,1 mln. per jaar gereserveerd voor de verhoging van de babytoeslag voor kinderopvangorganisaties in Caribisch Nederland. </w:t>
            </w:r>
            <w:r w:rsidR="008F39E0">
              <w:rPr>
                <w:rFonts w:ascii="Verdana" w:hAnsi="Verdana"/>
                <w:i/>
                <w:iCs/>
                <w:sz w:val="18"/>
                <w:szCs w:val="18"/>
              </w:rPr>
              <w:t>Aangezien</w:t>
            </w:r>
            <w:r w:rsidRPr="00157187">
              <w:rPr>
                <w:rFonts w:ascii="Verdana" w:hAnsi="Verdana"/>
                <w:i/>
                <w:iCs/>
                <w:sz w:val="18"/>
                <w:szCs w:val="18"/>
              </w:rPr>
              <w:t xml:space="preserve"> het een geringe mutatie is (onder de staffelgrens), is dit niet afzonderlijk toegelicht. Uw Kamer wordt hier binnenkort over geïnformeerd middels een Kamerbrief van</w:t>
            </w:r>
            <w:r w:rsidRPr="00157187" w:rsidR="0079320C">
              <w:rPr>
                <w:rFonts w:ascii="Verdana" w:hAnsi="Verdana"/>
                <w:i/>
                <w:iCs/>
                <w:sz w:val="18"/>
                <w:szCs w:val="18"/>
              </w:rPr>
              <w:t xml:space="preserve"> de minister</w:t>
            </w:r>
            <w:r w:rsidRPr="00157187">
              <w:rPr>
                <w:rFonts w:ascii="Verdana" w:hAnsi="Verdana"/>
                <w:i/>
                <w:iCs/>
                <w:sz w:val="18"/>
                <w:szCs w:val="18"/>
              </w:rPr>
              <w:t xml:space="preserve"> van SZW.</w:t>
            </w:r>
          </w:p>
          <w:p w:rsidRPr="00157187" w:rsidR="00CD460A" w:rsidP="00D06478" w14:paraId="77A2C1B4" w14:textId="5CDB4FB3">
            <w:pPr>
              <w:spacing w:line="276" w:lineRule="auto"/>
              <w:rPr>
                <w:rFonts w:ascii="Verdana" w:hAnsi="Verdana"/>
                <w:sz w:val="18"/>
                <w:szCs w:val="18"/>
              </w:rPr>
            </w:pPr>
          </w:p>
        </w:tc>
      </w:tr>
      <w:tr w:rsidTr="00D06478" w14:paraId="0E363AA1" w14:textId="77777777">
        <w:tblPrEx>
          <w:tblW w:w="8364" w:type="dxa"/>
          <w:tblLayout w:type="fixed"/>
          <w:tblCellMar>
            <w:left w:w="0" w:type="dxa"/>
            <w:right w:w="0" w:type="dxa"/>
          </w:tblCellMar>
          <w:tblLook w:val="0000"/>
        </w:tblPrEx>
        <w:tc>
          <w:tcPr>
            <w:tcW w:w="8364" w:type="dxa"/>
          </w:tcPr>
          <w:p w:rsidRPr="00157187" w:rsidR="00CD460A" w:rsidP="00D06478" w14:paraId="3BDAA7B2" w14:textId="668586A2">
            <w:pPr>
              <w:spacing w:line="276" w:lineRule="auto"/>
              <w:rPr>
                <w:rFonts w:ascii="Verdana" w:hAnsi="Verdana"/>
                <w:b/>
                <w:bCs/>
                <w:sz w:val="18"/>
                <w:szCs w:val="18"/>
              </w:rPr>
            </w:pPr>
            <w:r w:rsidRPr="00157187">
              <w:rPr>
                <w:rFonts w:ascii="Verdana" w:hAnsi="Verdana"/>
                <w:b/>
                <w:bCs/>
                <w:sz w:val="18"/>
                <w:szCs w:val="18"/>
              </w:rPr>
              <w:t>Vraag 7</w:t>
            </w:r>
            <w:r w:rsidRPr="00157187" w:rsidR="00425C8E">
              <w:rPr>
                <w:rFonts w:ascii="Verdana" w:hAnsi="Verdana"/>
                <w:b/>
                <w:bCs/>
                <w:sz w:val="18"/>
                <w:szCs w:val="18"/>
              </w:rPr>
              <w:t xml:space="preserve"> (blz. 6)</w:t>
            </w:r>
            <w:r w:rsidRPr="00157187">
              <w:rPr>
                <w:rFonts w:ascii="Verdana" w:hAnsi="Verdana"/>
                <w:b/>
                <w:bCs/>
                <w:sz w:val="18"/>
                <w:szCs w:val="18"/>
              </w:rPr>
              <w:br/>
            </w:r>
            <w:r w:rsidRPr="00157187">
              <w:rPr>
                <w:rFonts w:ascii="Verdana" w:hAnsi="Verdana"/>
                <w:sz w:val="18"/>
                <w:szCs w:val="18"/>
              </w:rPr>
              <w:t>Waarom heeft de overboeking van RST-gelden in 2025 niet plaatsgevonden?</w:t>
            </w:r>
          </w:p>
          <w:p w:rsidRPr="00157187" w:rsidR="00CD460A" w:rsidP="00D06478" w14:paraId="596989C7" w14:textId="77777777">
            <w:pPr>
              <w:spacing w:line="276" w:lineRule="auto"/>
              <w:rPr>
                <w:rFonts w:ascii="Verdana" w:hAnsi="Verdana"/>
                <w:sz w:val="18"/>
                <w:szCs w:val="18"/>
              </w:rPr>
            </w:pPr>
          </w:p>
          <w:p w:rsidRPr="00157187" w:rsidR="00CD460A" w:rsidP="00D06478" w14:paraId="1F5AE6B8" w14:textId="4831DBC2">
            <w:pPr>
              <w:spacing w:line="276" w:lineRule="auto"/>
              <w:rPr>
                <w:rFonts w:ascii="Verdana" w:hAnsi="Verdana"/>
                <w:i/>
                <w:iCs/>
                <w:sz w:val="18"/>
                <w:szCs w:val="18"/>
              </w:rPr>
            </w:pPr>
            <w:r w:rsidRPr="00157187">
              <w:rPr>
                <w:rFonts w:ascii="Verdana" w:hAnsi="Verdana"/>
                <w:i/>
                <w:iCs/>
                <w:sz w:val="18"/>
                <w:szCs w:val="18"/>
              </w:rPr>
              <w:t>Deze overboeking heeft in 2025 per abuis niet plaatsgevonden en is 2026 in overleg met het RST en het ministerie van Justitie en Veiligheid, budgettair verwerkt in deze eerste suppletoire begroting.</w:t>
            </w:r>
          </w:p>
          <w:p w:rsidRPr="00157187" w:rsidR="00CD460A" w:rsidP="00D06478" w14:paraId="4A7DB3B6" w14:textId="14F9F09F">
            <w:pPr>
              <w:spacing w:line="276" w:lineRule="auto"/>
              <w:rPr>
                <w:rFonts w:ascii="Verdana" w:hAnsi="Verdana"/>
                <w:sz w:val="18"/>
                <w:szCs w:val="18"/>
              </w:rPr>
            </w:pPr>
          </w:p>
        </w:tc>
      </w:tr>
      <w:tr w:rsidTr="00D06478" w14:paraId="2EA17EBB" w14:textId="77777777">
        <w:tblPrEx>
          <w:tblW w:w="8364" w:type="dxa"/>
          <w:tblLayout w:type="fixed"/>
          <w:tblCellMar>
            <w:left w:w="0" w:type="dxa"/>
            <w:right w:w="0" w:type="dxa"/>
          </w:tblCellMar>
          <w:tblLook w:val="0000"/>
        </w:tblPrEx>
        <w:tc>
          <w:tcPr>
            <w:tcW w:w="8364" w:type="dxa"/>
          </w:tcPr>
          <w:p w:rsidRPr="00157187" w:rsidR="00CD460A" w:rsidP="00D06478" w14:paraId="1B140753" w14:textId="1CC99948">
            <w:pPr>
              <w:spacing w:line="276" w:lineRule="auto"/>
              <w:rPr>
                <w:rFonts w:ascii="Verdana" w:hAnsi="Verdana"/>
                <w:sz w:val="18"/>
                <w:szCs w:val="18"/>
              </w:rPr>
            </w:pPr>
            <w:r w:rsidRPr="00157187">
              <w:rPr>
                <w:rFonts w:ascii="Verdana" w:hAnsi="Verdana"/>
                <w:b/>
                <w:bCs/>
                <w:sz w:val="18"/>
                <w:szCs w:val="18"/>
              </w:rPr>
              <w:t>Vraag 8</w:t>
            </w:r>
            <w:r w:rsidRPr="00157187" w:rsidR="00425C8E">
              <w:rPr>
                <w:rFonts w:ascii="Verdana" w:hAnsi="Verdana"/>
                <w:b/>
                <w:bCs/>
                <w:sz w:val="18"/>
                <w:szCs w:val="18"/>
              </w:rPr>
              <w:t xml:space="preserve"> (blz. 6)</w:t>
            </w:r>
            <w:r w:rsidRPr="00157187">
              <w:rPr>
                <w:rFonts w:ascii="Verdana" w:hAnsi="Verdana"/>
                <w:sz w:val="18"/>
                <w:szCs w:val="18"/>
              </w:rPr>
              <w:br/>
              <w:t>Op welke lening heeft de aflossing in 2030 van € 186 miljoen betrekking?</w:t>
            </w:r>
          </w:p>
          <w:p w:rsidRPr="00157187" w:rsidR="00CD460A" w:rsidP="00D06478" w14:paraId="3033CAB3" w14:textId="1A38E830">
            <w:pPr>
              <w:spacing w:line="276" w:lineRule="auto"/>
              <w:rPr>
                <w:rFonts w:ascii="Verdana" w:hAnsi="Verdana"/>
                <w:sz w:val="18"/>
                <w:szCs w:val="18"/>
              </w:rPr>
            </w:pPr>
          </w:p>
          <w:p w:rsidRPr="00157187" w:rsidR="00CD460A" w:rsidP="00D06478" w14:paraId="14772B52" w14:textId="7634EDC0">
            <w:pPr>
              <w:spacing w:line="276" w:lineRule="auto"/>
              <w:rPr>
                <w:rFonts w:ascii="Verdana" w:hAnsi="Verdana"/>
                <w:i/>
                <w:iCs/>
                <w:sz w:val="18"/>
                <w:szCs w:val="18"/>
              </w:rPr>
            </w:pPr>
            <w:r w:rsidRPr="00157187">
              <w:rPr>
                <w:rFonts w:ascii="Verdana" w:hAnsi="Verdana"/>
                <w:i/>
                <w:iCs/>
                <w:sz w:val="18"/>
                <w:szCs w:val="18"/>
              </w:rPr>
              <w:t xml:space="preserve">De leningen uit 2010 met Curaçao met een rente van 2,875% (uitstaand bedrag in euro's: 147,5 mln.) en met Sint Maarten (uitstaand bedrag in euro's: 31,5 mln.) met een rentepercentage van 2,75% lopen in 2030 af. Dit zijn aflossingsvrije leningen, waarbij is overeengekomen dat het uitstaande bedrag aan het einde van de looptijd in één keer moet worden terugbetaald. </w:t>
            </w:r>
          </w:p>
          <w:p w:rsidRPr="00157187" w:rsidR="00CD460A" w:rsidP="00D06478" w14:paraId="660AC93F" w14:textId="6791E58B">
            <w:pPr>
              <w:spacing w:line="276" w:lineRule="auto"/>
              <w:rPr>
                <w:rFonts w:ascii="Verdana" w:hAnsi="Verdana"/>
                <w:sz w:val="18"/>
                <w:szCs w:val="18"/>
              </w:rPr>
            </w:pPr>
            <w:r w:rsidRPr="00157187">
              <w:rPr>
                <w:rFonts w:ascii="Verdana" w:hAnsi="Verdana"/>
                <w:i/>
                <w:iCs/>
                <w:sz w:val="18"/>
                <w:szCs w:val="18"/>
              </w:rPr>
              <w:t xml:space="preserve">Dit leidt in 2030 tot een hoger verwacht aflossingsbedrag dan gebruikelijk, in totaal wordt in 2030 € 258,6 mln. aan aflossing kapitaalleningen verwacht, waarvan er al € 72,8 mln. in de begroting was opgenomen. Dit komt neer op een totale bijstelling van €185,8 mln. </w:t>
            </w:r>
            <w:r w:rsidRPr="00157187">
              <w:rPr>
                <w:rFonts w:ascii="Verdana" w:hAnsi="Verdana"/>
                <w:i/>
                <w:iCs/>
                <w:sz w:val="18"/>
                <w:szCs w:val="18"/>
              </w:rPr>
              <w:br/>
            </w:r>
          </w:p>
        </w:tc>
      </w:tr>
      <w:tr w:rsidTr="00D06478" w14:paraId="75A07811" w14:textId="77777777">
        <w:tblPrEx>
          <w:tblW w:w="8364" w:type="dxa"/>
          <w:tblLayout w:type="fixed"/>
          <w:tblCellMar>
            <w:left w:w="0" w:type="dxa"/>
            <w:right w:w="0" w:type="dxa"/>
          </w:tblCellMar>
          <w:tblLook w:val="0000"/>
        </w:tblPrEx>
        <w:tc>
          <w:tcPr>
            <w:tcW w:w="8364" w:type="dxa"/>
          </w:tcPr>
          <w:p w:rsidRPr="00157187" w:rsidR="00CD460A" w:rsidP="00D06478" w14:paraId="48BF3762" w14:textId="08CE3EF6">
            <w:pPr>
              <w:spacing w:line="276" w:lineRule="auto"/>
              <w:rPr>
                <w:rFonts w:ascii="Verdana" w:hAnsi="Verdana"/>
                <w:sz w:val="18"/>
                <w:szCs w:val="18"/>
              </w:rPr>
            </w:pPr>
            <w:r w:rsidRPr="00157187">
              <w:rPr>
                <w:rFonts w:ascii="Verdana" w:hAnsi="Verdana"/>
                <w:b/>
                <w:bCs/>
                <w:sz w:val="18"/>
                <w:szCs w:val="18"/>
              </w:rPr>
              <w:t>Vraag 9</w:t>
            </w:r>
            <w:r w:rsidRPr="00157187" w:rsidR="00425C8E">
              <w:rPr>
                <w:rFonts w:ascii="Verdana" w:hAnsi="Verdana"/>
                <w:b/>
                <w:bCs/>
                <w:sz w:val="18"/>
                <w:szCs w:val="18"/>
              </w:rPr>
              <w:t xml:space="preserve"> (blz. 7)</w:t>
            </w:r>
            <w:r w:rsidRPr="00157187">
              <w:rPr>
                <w:rFonts w:ascii="Verdana" w:hAnsi="Verdana"/>
                <w:sz w:val="18"/>
                <w:szCs w:val="18"/>
              </w:rPr>
              <w:br/>
              <w:t xml:space="preserve">Wat is de oorzaak van de verwachte minder-inkomsten uit aflossingen kapitaalleningen in 2026-2028 en juist meer-inkomsten in de jaren daarna? </w:t>
            </w:r>
          </w:p>
          <w:p w:rsidRPr="00157187" w:rsidR="00CD460A" w:rsidP="00D06478" w14:paraId="1578A92A" w14:textId="77777777">
            <w:pPr>
              <w:spacing w:line="276" w:lineRule="auto"/>
              <w:rPr>
                <w:rFonts w:ascii="Verdana" w:hAnsi="Verdana"/>
                <w:sz w:val="18"/>
                <w:szCs w:val="18"/>
              </w:rPr>
            </w:pPr>
          </w:p>
          <w:p w:rsidRPr="00157187" w:rsidR="00CD460A" w:rsidP="00D06478" w14:paraId="4FFDC40D" w14:textId="655BA08B">
            <w:pPr>
              <w:spacing w:line="276" w:lineRule="auto"/>
              <w:rPr>
                <w:rFonts w:ascii="Verdana" w:hAnsi="Verdana"/>
                <w:i/>
                <w:iCs/>
                <w:sz w:val="18"/>
                <w:szCs w:val="18"/>
              </w:rPr>
            </w:pPr>
            <w:r w:rsidRPr="00157187">
              <w:rPr>
                <w:rFonts w:ascii="Verdana" w:hAnsi="Verdana"/>
                <w:i/>
                <w:iCs/>
                <w:sz w:val="18"/>
                <w:szCs w:val="18"/>
              </w:rPr>
              <w:t xml:space="preserve">De afspraken over aflossingen verschillen per lening, soms wordt jaarlijks afgelost, soms na een aflossingsvrije periode en soms aan het eind van de looptijd. Dit wordt afgestemd op </w:t>
            </w:r>
            <w:r w:rsidRPr="00157187">
              <w:rPr>
                <w:rFonts w:ascii="Verdana" w:hAnsi="Verdana"/>
                <w:i/>
                <w:iCs/>
                <w:sz w:val="18"/>
                <w:szCs w:val="18"/>
              </w:rPr>
              <w:t xml:space="preserve">het doel van de lening en de financiële draagkracht van de overheid van het land. Jaarlijks worden de ontvangsten uit aflossingen opnieuw geraamd op basis van de meest recente gegevens. Per abuis heeft de meerjarige bijstelling vorig jaar voor begrotingjaar 2029 en verder niet plaatsgevonden. </w:t>
            </w:r>
          </w:p>
          <w:p w:rsidRPr="00157187" w:rsidR="00F951C9" w:rsidP="00D06478" w14:paraId="2A992C9B" w14:textId="77777777">
            <w:pPr>
              <w:spacing w:line="276" w:lineRule="auto"/>
              <w:rPr>
                <w:rFonts w:ascii="Verdana" w:hAnsi="Verdana"/>
                <w:i/>
                <w:iCs/>
                <w:sz w:val="18"/>
                <w:szCs w:val="18"/>
              </w:rPr>
            </w:pPr>
          </w:p>
          <w:p w:rsidRPr="00157187" w:rsidR="00CD460A" w:rsidP="00D06478" w14:paraId="5A368E84" w14:textId="23B688E4">
            <w:pPr>
              <w:spacing w:line="276" w:lineRule="auto"/>
              <w:rPr>
                <w:rFonts w:ascii="Verdana" w:hAnsi="Verdana"/>
                <w:i/>
                <w:iCs/>
                <w:sz w:val="18"/>
                <w:szCs w:val="18"/>
              </w:rPr>
            </w:pPr>
            <w:r w:rsidRPr="00157187">
              <w:rPr>
                <w:rFonts w:ascii="Verdana" w:hAnsi="Verdana"/>
                <w:i/>
                <w:iCs/>
                <w:sz w:val="18"/>
                <w:szCs w:val="18"/>
              </w:rPr>
              <w:t>Vanaf 2029 lopen een aantal aflossingsvrije leningen af, waardoor het te verwachten aflossingsbedrag naar boven is bijgesteld. Daarnaast zijn de ontvangsten in de begroting herzien aan de hand van de begrotingskoers van het lopende jaar. Dit leidt tot een negatieve correctie over alle jaren binnen de begrotingshorizon, omdat de begrotingskoers van 2025 naar 2026 is gewijzigd van XCG/AWG : EUR 0,51 naar 0,49 eurocent. Vanaf 2029 is dit echter niet zichtbaar vanwege de omvangrijke positieve bijstelling als gevolg van het aflopen van de aflossingsvrije leningen.</w:t>
            </w:r>
          </w:p>
          <w:p w:rsidRPr="00157187" w:rsidR="00CD460A" w:rsidP="00D06478" w14:paraId="6390675C" w14:textId="59325E80">
            <w:pPr>
              <w:spacing w:line="276" w:lineRule="auto"/>
              <w:rPr>
                <w:rFonts w:ascii="Verdana" w:hAnsi="Verdana"/>
                <w:sz w:val="18"/>
                <w:szCs w:val="18"/>
              </w:rPr>
            </w:pPr>
          </w:p>
        </w:tc>
      </w:tr>
      <w:tr w:rsidTr="00D06478" w14:paraId="3CCBBC1B" w14:textId="77777777">
        <w:tblPrEx>
          <w:tblW w:w="8364" w:type="dxa"/>
          <w:tblLayout w:type="fixed"/>
          <w:tblCellMar>
            <w:left w:w="0" w:type="dxa"/>
            <w:right w:w="0" w:type="dxa"/>
          </w:tblCellMar>
          <w:tblLook w:val="0000"/>
        </w:tblPrEx>
        <w:tc>
          <w:tcPr>
            <w:tcW w:w="8364" w:type="dxa"/>
          </w:tcPr>
          <w:p w:rsidRPr="00157187" w:rsidR="00CD460A" w:rsidP="00D06478" w14:paraId="467FA734" w14:textId="341B0037">
            <w:pPr>
              <w:spacing w:line="276" w:lineRule="auto"/>
              <w:rPr>
                <w:rFonts w:ascii="Verdana" w:hAnsi="Verdana"/>
                <w:sz w:val="18"/>
                <w:szCs w:val="18"/>
              </w:rPr>
            </w:pPr>
            <w:r w:rsidRPr="00157187">
              <w:rPr>
                <w:rFonts w:ascii="Verdana" w:hAnsi="Verdana"/>
                <w:b/>
                <w:bCs/>
                <w:sz w:val="18"/>
                <w:szCs w:val="18"/>
              </w:rPr>
              <w:t>Vraag 10</w:t>
            </w:r>
            <w:r w:rsidRPr="00157187" w:rsidR="00425C8E">
              <w:rPr>
                <w:rFonts w:ascii="Verdana" w:hAnsi="Verdana"/>
                <w:b/>
                <w:bCs/>
                <w:sz w:val="18"/>
                <w:szCs w:val="18"/>
              </w:rPr>
              <w:t xml:space="preserve"> (blz. 7)</w:t>
            </w:r>
            <w:r w:rsidRPr="00157187">
              <w:rPr>
                <w:rFonts w:ascii="Verdana" w:hAnsi="Verdana"/>
                <w:sz w:val="18"/>
                <w:szCs w:val="18"/>
              </w:rPr>
              <w:br/>
              <w:t>Waarom worden de aflossingen covidleningen nu pas aan de begroting toegevoegd, terwijl al lange tijd bekend is dat aflossingen te verwachten zijn?</w:t>
            </w:r>
          </w:p>
          <w:p w:rsidRPr="00157187" w:rsidR="00CD460A" w:rsidP="00D06478" w14:paraId="1AE9C779" w14:textId="77777777">
            <w:pPr>
              <w:spacing w:line="276" w:lineRule="auto"/>
              <w:rPr>
                <w:rFonts w:ascii="Verdana" w:hAnsi="Verdana"/>
                <w:sz w:val="18"/>
                <w:szCs w:val="18"/>
              </w:rPr>
            </w:pPr>
          </w:p>
          <w:p w:rsidRPr="00157187" w:rsidR="00CD460A" w:rsidP="00D06478" w14:paraId="7D4BBEEA" w14:textId="34873905">
            <w:pPr>
              <w:spacing w:line="276" w:lineRule="auto"/>
              <w:rPr>
                <w:rFonts w:ascii="Verdana" w:hAnsi="Verdana"/>
                <w:i/>
                <w:iCs/>
                <w:sz w:val="18"/>
                <w:szCs w:val="18"/>
              </w:rPr>
            </w:pPr>
            <w:r w:rsidRPr="00157187">
              <w:rPr>
                <w:rFonts w:ascii="Verdana" w:hAnsi="Verdana"/>
                <w:i/>
                <w:iCs/>
                <w:sz w:val="18"/>
                <w:szCs w:val="18"/>
              </w:rPr>
              <w:t>De verwachte ontvangsten worden jaarlijks verwerkt met de Voorjaarsnota, het opnemen van deze gegevens in de Ontwerpbegroting is te vroeg. De begrotingskoers waartegen de aflossingen worden geraamd, wordt na het publiceren van de Ontwerpbegroting bekend gemaakt.</w:t>
            </w:r>
          </w:p>
          <w:p w:rsidRPr="00157187" w:rsidR="00CD460A" w:rsidP="00D06478" w14:paraId="19A6B46B" w14:textId="7A1B4E71">
            <w:pPr>
              <w:spacing w:line="276" w:lineRule="auto"/>
              <w:rPr>
                <w:rFonts w:ascii="Verdana" w:hAnsi="Verdana"/>
                <w:sz w:val="18"/>
                <w:szCs w:val="18"/>
              </w:rPr>
            </w:pPr>
          </w:p>
        </w:tc>
      </w:tr>
      <w:tr w:rsidTr="00D06478" w14:paraId="2EBC0A41" w14:textId="77777777">
        <w:tblPrEx>
          <w:tblW w:w="8364" w:type="dxa"/>
          <w:tblLayout w:type="fixed"/>
          <w:tblCellMar>
            <w:left w:w="0" w:type="dxa"/>
            <w:right w:w="0" w:type="dxa"/>
          </w:tblCellMar>
          <w:tblLook w:val="0000"/>
        </w:tblPrEx>
        <w:trPr>
          <w:trHeight w:val="4340"/>
        </w:trPr>
        <w:tc>
          <w:tcPr>
            <w:tcW w:w="8364" w:type="dxa"/>
          </w:tcPr>
          <w:p w:rsidRPr="00157187" w:rsidR="00CD460A" w:rsidP="00D06478" w14:paraId="34DA3E96" w14:textId="6B4A66C5">
            <w:pPr>
              <w:spacing w:line="276" w:lineRule="auto"/>
              <w:rPr>
                <w:rFonts w:ascii="Verdana" w:hAnsi="Verdana"/>
                <w:sz w:val="18"/>
                <w:szCs w:val="18"/>
              </w:rPr>
            </w:pPr>
            <w:r w:rsidRPr="00157187">
              <w:rPr>
                <w:rFonts w:ascii="Verdana" w:hAnsi="Verdana"/>
                <w:b/>
                <w:bCs/>
                <w:sz w:val="18"/>
                <w:szCs w:val="18"/>
              </w:rPr>
              <w:t>Vraag 11</w:t>
            </w:r>
            <w:r w:rsidRPr="00157187" w:rsidR="00425C8E">
              <w:rPr>
                <w:rFonts w:ascii="Verdana" w:hAnsi="Verdana"/>
                <w:b/>
                <w:bCs/>
                <w:sz w:val="18"/>
                <w:szCs w:val="18"/>
              </w:rPr>
              <w:t xml:space="preserve"> (blz. 7)</w:t>
            </w:r>
            <w:r w:rsidRPr="00157187">
              <w:rPr>
                <w:rFonts w:ascii="Verdana" w:hAnsi="Verdana"/>
                <w:sz w:val="18"/>
                <w:szCs w:val="18"/>
              </w:rPr>
              <w:br/>
              <w:t>Hoe is het bedrag van € 58,9 miljoen aan ontvangsten aan aflossingen en rente samengesteld?</w:t>
            </w:r>
          </w:p>
          <w:p w:rsidRPr="00157187" w:rsidR="00CD460A" w:rsidP="00D06478" w14:paraId="12B94C65" w14:textId="77777777">
            <w:pPr>
              <w:spacing w:line="276" w:lineRule="auto"/>
              <w:rPr>
                <w:rFonts w:ascii="Verdana" w:hAnsi="Verdana"/>
                <w:sz w:val="18"/>
                <w:szCs w:val="18"/>
              </w:rPr>
            </w:pPr>
          </w:p>
          <w:p w:rsidRPr="00157187" w:rsidR="00CD460A" w:rsidP="00D06478" w14:paraId="129AE489" w14:textId="200EC6C6">
            <w:pPr>
              <w:spacing w:line="276" w:lineRule="auto"/>
              <w:rPr>
                <w:rFonts w:ascii="Verdana" w:hAnsi="Verdana"/>
                <w:i/>
                <w:iCs/>
                <w:sz w:val="18"/>
                <w:szCs w:val="18"/>
              </w:rPr>
            </w:pPr>
            <w:r w:rsidRPr="00157187">
              <w:rPr>
                <w:rFonts w:ascii="Verdana" w:hAnsi="Verdana"/>
                <w:i/>
                <w:iCs/>
                <w:sz w:val="18"/>
                <w:szCs w:val="18"/>
              </w:rPr>
              <w:t xml:space="preserve">De € 58,9 mln. heeft alleen betrekking op het bijstellen van de renteontvangsten van de leningen van Aruba, Curaçao en Sint Maarten. De renteontvangsten worden jaarlijks alleen voor het lopende jaar, in dit geval 2026, bijgesteld. </w:t>
            </w:r>
          </w:p>
          <w:p w:rsidRPr="00157187" w:rsidR="00CD460A" w:rsidP="00D06478" w14:paraId="595DC55B" w14:textId="48244A42">
            <w:pPr>
              <w:spacing w:line="276" w:lineRule="auto"/>
              <w:rPr>
                <w:rFonts w:ascii="Verdana" w:hAnsi="Verdana"/>
                <w:i/>
                <w:iCs/>
                <w:sz w:val="18"/>
                <w:szCs w:val="18"/>
              </w:rPr>
            </w:pPr>
            <w:r w:rsidRPr="00157187">
              <w:rPr>
                <w:rFonts w:ascii="Verdana" w:hAnsi="Verdana"/>
                <w:i/>
                <w:iCs/>
                <w:sz w:val="18"/>
                <w:szCs w:val="18"/>
              </w:rPr>
              <w:t xml:space="preserve"> </w:t>
            </w:r>
          </w:p>
          <w:p w:rsidRPr="00157187" w:rsidR="00CD460A" w:rsidP="00D06478" w14:paraId="438D3E1B" w14:textId="11F8F91F">
            <w:pPr>
              <w:pStyle w:val="Heading5"/>
              <w:spacing w:line="276" w:lineRule="auto"/>
              <w:rPr>
                <w:rFonts w:ascii="Verdana" w:hAnsi="Verdana" w:eastAsia="Times New Roman" w:cs="Times New Roman"/>
                <w:i/>
                <w:iCs/>
                <w:color w:val="auto"/>
                <w:sz w:val="18"/>
                <w:szCs w:val="18"/>
              </w:rPr>
            </w:pPr>
            <w:r w:rsidRPr="00157187">
              <w:rPr>
                <w:rFonts w:ascii="Verdana" w:hAnsi="Verdana" w:eastAsia="Times New Roman" w:cs="Times New Roman"/>
                <w:i/>
                <w:iCs/>
                <w:color w:val="auto"/>
                <w:sz w:val="18"/>
                <w:szCs w:val="18"/>
              </w:rPr>
              <w:t xml:space="preserve">De samenstelling van de bijstelling is als volgt: </w:t>
            </w:r>
          </w:p>
          <w:tbl>
            <w:tblPr>
              <w:tblStyle w:val="GridTable1LightAccent1"/>
              <w:tblW w:w="0" w:type="auto"/>
              <w:tblLayout w:type="fixed"/>
              <w:tblLook w:val="06A0"/>
            </w:tblPr>
            <w:tblGrid>
              <w:gridCol w:w="1695"/>
              <w:gridCol w:w="1695"/>
            </w:tblGrid>
            <w:tr w:rsidTr="00840C11" w14:paraId="583BCE68" w14:textId="77777777">
              <w:tblPrEx>
                <w:tblW w:w="0" w:type="auto"/>
                <w:tblLayout w:type="fixed"/>
                <w:tblLook w:val="06A0"/>
              </w:tblPrEx>
              <w:tc>
                <w:tcPr>
                  <w:tcW w:w="1695" w:type="dxa"/>
                </w:tcPr>
                <w:p w:rsidRPr="00157187" w:rsidR="00CD460A" w:rsidP="00D06478" w14:paraId="34EA4341" w14:textId="3C2F5A2D">
                  <w:pPr>
                    <w:spacing w:line="276" w:lineRule="auto"/>
                    <w:rPr>
                      <w:rFonts w:ascii="Verdana" w:hAnsi="Verdana"/>
                      <w:i/>
                      <w:iCs/>
                      <w:sz w:val="18"/>
                      <w:szCs w:val="18"/>
                    </w:rPr>
                  </w:pPr>
                  <w:r w:rsidRPr="00157187">
                    <w:rPr>
                      <w:rFonts w:ascii="Verdana" w:hAnsi="Verdana"/>
                      <w:i/>
                      <w:iCs/>
                      <w:sz w:val="18"/>
                      <w:szCs w:val="18"/>
                    </w:rPr>
                    <w:t>Land</w:t>
                  </w:r>
                </w:p>
              </w:tc>
              <w:tc>
                <w:tcPr>
                  <w:tcW w:w="1695" w:type="dxa"/>
                </w:tcPr>
                <w:p w:rsidRPr="00157187" w:rsidR="00CD460A" w:rsidP="00D06478" w14:paraId="7BBEAAAB" w14:textId="56DDC81A">
                  <w:pPr>
                    <w:spacing w:line="276" w:lineRule="auto"/>
                    <w:jc w:val="right"/>
                    <w:rPr>
                      <w:rFonts w:ascii="Verdana" w:hAnsi="Verdana"/>
                      <w:i/>
                      <w:iCs/>
                      <w:sz w:val="18"/>
                      <w:szCs w:val="18"/>
                    </w:rPr>
                  </w:pPr>
                  <w:r w:rsidRPr="00157187">
                    <w:rPr>
                      <w:rFonts w:ascii="Verdana" w:hAnsi="Verdana"/>
                      <w:i/>
                      <w:iCs/>
                      <w:sz w:val="18"/>
                      <w:szCs w:val="18"/>
                    </w:rPr>
                    <w:t xml:space="preserve">Bedrag (x 1.000) </w:t>
                  </w:r>
                </w:p>
              </w:tc>
            </w:tr>
            <w:tr w:rsidTr="00840C11" w14:paraId="2A73E680" w14:textId="77777777">
              <w:tblPrEx>
                <w:tblW w:w="0" w:type="auto"/>
                <w:tblLayout w:type="fixed"/>
                <w:tblLook w:val="06A0"/>
              </w:tblPrEx>
              <w:tc>
                <w:tcPr>
                  <w:tcW w:w="1695" w:type="dxa"/>
                </w:tcPr>
                <w:p w:rsidRPr="00157187" w:rsidR="00CD460A" w:rsidP="00D06478" w14:paraId="0BC16101" w14:textId="7AC299F4">
                  <w:pPr>
                    <w:spacing w:line="276" w:lineRule="auto"/>
                    <w:rPr>
                      <w:rFonts w:ascii="Verdana" w:hAnsi="Verdana"/>
                      <w:b w:val="0"/>
                      <w:bCs w:val="0"/>
                      <w:i/>
                      <w:iCs/>
                      <w:sz w:val="18"/>
                      <w:szCs w:val="18"/>
                    </w:rPr>
                  </w:pPr>
                  <w:r w:rsidRPr="00157187">
                    <w:rPr>
                      <w:rFonts w:ascii="Verdana" w:hAnsi="Verdana"/>
                      <w:i/>
                      <w:iCs/>
                      <w:sz w:val="18"/>
                      <w:szCs w:val="18"/>
                    </w:rPr>
                    <w:t xml:space="preserve">Aruba </w:t>
                  </w:r>
                </w:p>
              </w:tc>
              <w:tc>
                <w:tcPr>
                  <w:tcW w:w="1695" w:type="dxa"/>
                </w:tcPr>
                <w:p w:rsidRPr="00157187" w:rsidR="00CD460A" w:rsidP="00D06478" w14:paraId="65401533" w14:textId="2A845E93">
                  <w:pPr>
                    <w:spacing w:line="276" w:lineRule="auto"/>
                    <w:jc w:val="right"/>
                    <w:rPr>
                      <w:rFonts w:ascii="Verdana" w:hAnsi="Verdana"/>
                      <w:i/>
                      <w:iCs/>
                      <w:sz w:val="18"/>
                      <w:szCs w:val="18"/>
                    </w:rPr>
                  </w:pPr>
                  <w:r w:rsidRPr="00157187">
                    <w:rPr>
                      <w:rFonts w:ascii="Verdana" w:hAnsi="Verdana"/>
                      <w:i/>
                      <w:iCs/>
                      <w:sz w:val="18"/>
                      <w:szCs w:val="18"/>
                    </w:rPr>
                    <w:t xml:space="preserve"> € 33.892 </w:t>
                  </w:r>
                </w:p>
              </w:tc>
            </w:tr>
            <w:tr w:rsidTr="00840C11" w14:paraId="7B4E6D07" w14:textId="77777777">
              <w:tblPrEx>
                <w:tblW w:w="0" w:type="auto"/>
                <w:tblLayout w:type="fixed"/>
                <w:tblLook w:val="06A0"/>
              </w:tblPrEx>
              <w:tc>
                <w:tcPr>
                  <w:tcW w:w="1695" w:type="dxa"/>
                </w:tcPr>
                <w:p w:rsidRPr="00157187" w:rsidR="00CD460A" w:rsidP="00D06478" w14:paraId="408D1201" w14:textId="34055BE7">
                  <w:pPr>
                    <w:spacing w:line="276" w:lineRule="auto"/>
                    <w:rPr>
                      <w:rFonts w:ascii="Verdana" w:hAnsi="Verdana"/>
                      <w:b w:val="0"/>
                      <w:bCs w:val="0"/>
                      <w:i/>
                      <w:iCs/>
                      <w:sz w:val="18"/>
                      <w:szCs w:val="18"/>
                    </w:rPr>
                  </w:pPr>
                  <w:r w:rsidRPr="00157187">
                    <w:rPr>
                      <w:rFonts w:ascii="Verdana" w:hAnsi="Verdana"/>
                      <w:i/>
                      <w:iCs/>
                      <w:sz w:val="18"/>
                      <w:szCs w:val="18"/>
                    </w:rPr>
                    <w:t>Curaçao</w:t>
                  </w:r>
                </w:p>
              </w:tc>
              <w:tc>
                <w:tcPr>
                  <w:tcW w:w="1695" w:type="dxa"/>
                </w:tcPr>
                <w:p w:rsidRPr="00157187" w:rsidR="00CD460A" w:rsidP="00D06478" w14:paraId="60C63C21" w14:textId="673CE66B">
                  <w:pPr>
                    <w:spacing w:line="276" w:lineRule="auto"/>
                    <w:jc w:val="right"/>
                    <w:rPr>
                      <w:rFonts w:ascii="Verdana" w:hAnsi="Verdana"/>
                      <w:i/>
                      <w:iCs/>
                      <w:sz w:val="18"/>
                      <w:szCs w:val="18"/>
                    </w:rPr>
                  </w:pPr>
                  <w:r w:rsidRPr="00157187">
                    <w:rPr>
                      <w:rFonts w:ascii="Verdana" w:hAnsi="Verdana"/>
                      <w:i/>
                      <w:iCs/>
                      <w:sz w:val="18"/>
                      <w:szCs w:val="18"/>
                    </w:rPr>
                    <w:t xml:space="preserve"> € 11.878 </w:t>
                  </w:r>
                </w:p>
              </w:tc>
            </w:tr>
            <w:tr w:rsidTr="00840C11" w14:paraId="41DBD3F3" w14:textId="77777777">
              <w:tblPrEx>
                <w:tblW w:w="0" w:type="auto"/>
                <w:tblLayout w:type="fixed"/>
                <w:tblLook w:val="06A0"/>
              </w:tblPrEx>
              <w:tc>
                <w:tcPr>
                  <w:tcW w:w="1695" w:type="dxa"/>
                </w:tcPr>
                <w:p w:rsidRPr="00157187" w:rsidR="00CD460A" w:rsidP="00D06478" w14:paraId="565C0C12" w14:textId="434A826E">
                  <w:pPr>
                    <w:spacing w:line="276" w:lineRule="auto"/>
                    <w:rPr>
                      <w:rFonts w:ascii="Verdana" w:hAnsi="Verdana"/>
                      <w:b w:val="0"/>
                      <w:bCs w:val="0"/>
                      <w:i/>
                      <w:iCs/>
                      <w:sz w:val="18"/>
                      <w:szCs w:val="18"/>
                    </w:rPr>
                  </w:pPr>
                  <w:r w:rsidRPr="00157187">
                    <w:rPr>
                      <w:rFonts w:ascii="Verdana" w:hAnsi="Verdana"/>
                      <w:i/>
                      <w:iCs/>
                      <w:sz w:val="18"/>
                      <w:szCs w:val="18"/>
                    </w:rPr>
                    <w:t>Sint Maarten</w:t>
                  </w:r>
                </w:p>
              </w:tc>
              <w:tc>
                <w:tcPr>
                  <w:tcW w:w="1695" w:type="dxa"/>
                </w:tcPr>
                <w:p w:rsidRPr="00157187" w:rsidR="00CD460A" w:rsidP="00D06478" w14:paraId="0B8645ED" w14:textId="6C44F556">
                  <w:pPr>
                    <w:spacing w:line="276" w:lineRule="auto"/>
                    <w:jc w:val="right"/>
                    <w:rPr>
                      <w:rFonts w:ascii="Verdana" w:hAnsi="Verdana"/>
                      <w:i/>
                      <w:iCs/>
                      <w:sz w:val="18"/>
                      <w:szCs w:val="18"/>
                    </w:rPr>
                  </w:pPr>
                  <w:r w:rsidRPr="00157187">
                    <w:rPr>
                      <w:rFonts w:ascii="Verdana" w:hAnsi="Verdana"/>
                      <w:i/>
                      <w:iCs/>
                      <w:sz w:val="18"/>
                      <w:szCs w:val="18"/>
                    </w:rPr>
                    <w:t xml:space="preserve"> € 13.086 </w:t>
                  </w:r>
                </w:p>
              </w:tc>
            </w:tr>
            <w:tr w:rsidTr="00840C11" w14:paraId="54F60EA4" w14:textId="77777777">
              <w:tblPrEx>
                <w:tblW w:w="0" w:type="auto"/>
                <w:tblLayout w:type="fixed"/>
                <w:tblLook w:val="06A0"/>
              </w:tblPrEx>
              <w:tc>
                <w:tcPr>
                  <w:tcW w:w="1695" w:type="dxa"/>
                </w:tcPr>
                <w:p w:rsidRPr="00157187" w:rsidR="00CD460A" w:rsidP="00D06478" w14:paraId="1B846224" w14:textId="6C59C24B">
                  <w:pPr>
                    <w:spacing w:line="276" w:lineRule="auto"/>
                    <w:rPr>
                      <w:rFonts w:ascii="Verdana" w:hAnsi="Verdana"/>
                      <w:i/>
                      <w:iCs/>
                      <w:sz w:val="18"/>
                      <w:szCs w:val="18"/>
                    </w:rPr>
                  </w:pPr>
                  <w:r w:rsidRPr="00157187">
                    <w:rPr>
                      <w:rFonts w:ascii="Verdana" w:hAnsi="Verdana"/>
                      <w:i/>
                      <w:iCs/>
                      <w:sz w:val="18"/>
                      <w:szCs w:val="18"/>
                    </w:rPr>
                    <w:t>Totaal</w:t>
                  </w:r>
                </w:p>
              </w:tc>
              <w:tc>
                <w:tcPr>
                  <w:tcW w:w="1695" w:type="dxa"/>
                </w:tcPr>
                <w:p w:rsidRPr="00157187" w:rsidR="00CD460A" w:rsidP="00D06478" w14:paraId="750E8B8A" w14:textId="6056763F">
                  <w:pPr>
                    <w:spacing w:line="276" w:lineRule="auto"/>
                    <w:jc w:val="right"/>
                    <w:rPr>
                      <w:rFonts w:ascii="Verdana" w:hAnsi="Verdana"/>
                      <w:i/>
                      <w:iCs/>
                      <w:sz w:val="18"/>
                      <w:szCs w:val="18"/>
                    </w:rPr>
                  </w:pPr>
                  <w:r w:rsidRPr="00157187">
                    <w:rPr>
                      <w:rFonts w:ascii="Verdana" w:hAnsi="Verdana"/>
                      <w:b/>
                      <w:bCs/>
                      <w:i/>
                      <w:iCs/>
                      <w:sz w:val="18"/>
                      <w:szCs w:val="18"/>
                    </w:rPr>
                    <w:t xml:space="preserve"> € 58.856 </w:t>
                  </w:r>
                </w:p>
              </w:tc>
            </w:tr>
          </w:tbl>
          <w:p w:rsidRPr="00157187" w:rsidR="00CD460A" w:rsidP="00D06478" w14:paraId="59B679BF" w14:textId="56A4AECA">
            <w:pPr>
              <w:spacing w:line="276" w:lineRule="auto"/>
              <w:rPr>
                <w:rFonts w:ascii="Verdana" w:hAnsi="Verdana"/>
                <w:sz w:val="18"/>
                <w:szCs w:val="18"/>
              </w:rPr>
            </w:pPr>
          </w:p>
        </w:tc>
      </w:tr>
      <w:tr w:rsidTr="00D06478" w14:paraId="3B3ADE8D" w14:textId="77777777">
        <w:tblPrEx>
          <w:tblW w:w="8364" w:type="dxa"/>
          <w:tblLayout w:type="fixed"/>
          <w:tblCellMar>
            <w:left w:w="0" w:type="dxa"/>
            <w:right w:w="0" w:type="dxa"/>
          </w:tblCellMar>
          <w:tblLook w:val="0000"/>
        </w:tblPrEx>
        <w:tc>
          <w:tcPr>
            <w:tcW w:w="8364" w:type="dxa"/>
          </w:tcPr>
          <w:p w:rsidRPr="00157187" w:rsidR="00CD460A" w:rsidP="00D06478" w14:paraId="34E265DA" w14:textId="77777777">
            <w:pPr>
              <w:spacing w:line="276" w:lineRule="auto"/>
              <w:rPr>
                <w:rFonts w:ascii="Verdana" w:hAnsi="Verdana"/>
                <w:sz w:val="18"/>
                <w:szCs w:val="18"/>
              </w:rPr>
            </w:pPr>
          </w:p>
          <w:p w:rsidRPr="00157187" w:rsidR="00CD460A" w:rsidP="00D06478" w14:paraId="43F2CE8C" w14:textId="0931C98A">
            <w:pPr>
              <w:spacing w:line="276" w:lineRule="auto"/>
              <w:rPr>
                <w:rFonts w:ascii="Verdana" w:hAnsi="Verdana"/>
                <w:b/>
                <w:bCs/>
                <w:sz w:val="18"/>
                <w:szCs w:val="18"/>
              </w:rPr>
            </w:pPr>
            <w:r w:rsidRPr="00157187">
              <w:rPr>
                <w:rFonts w:ascii="Verdana" w:hAnsi="Verdana"/>
                <w:b/>
                <w:bCs/>
                <w:sz w:val="18"/>
                <w:szCs w:val="18"/>
              </w:rPr>
              <w:t>Vraag 12</w:t>
            </w:r>
            <w:r w:rsidRPr="00157187" w:rsidR="00425C8E">
              <w:rPr>
                <w:rFonts w:ascii="Verdana" w:hAnsi="Verdana"/>
                <w:b/>
                <w:bCs/>
                <w:sz w:val="18"/>
                <w:szCs w:val="18"/>
              </w:rPr>
              <w:t xml:space="preserve"> (blz. 7</w:t>
            </w:r>
            <w:r w:rsidRPr="00157187" w:rsidR="00127631">
              <w:rPr>
                <w:rFonts w:ascii="Verdana" w:hAnsi="Verdana"/>
                <w:b/>
                <w:bCs/>
                <w:sz w:val="18"/>
                <w:szCs w:val="18"/>
              </w:rPr>
              <w:t xml:space="preserve"> t/m 18</w:t>
            </w:r>
            <w:r w:rsidRPr="00157187" w:rsidR="00425C8E">
              <w:rPr>
                <w:rFonts w:ascii="Verdana" w:hAnsi="Verdana"/>
                <w:b/>
                <w:bCs/>
                <w:sz w:val="18"/>
                <w:szCs w:val="18"/>
              </w:rPr>
              <w:t>)</w:t>
            </w:r>
          </w:p>
          <w:p w:rsidRPr="00157187" w:rsidR="00CD460A" w:rsidP="00D06478" w14:paraId="45B1BEA7" w14:textId="30A4F90A">
            <w:pPr>
              <w:spacing w:line="276" w:lineRule="auto"/>
              <w:rPr>
                <w:rFonts w:ascii="Verdana" w:hAnsi="Verdana"/>
                <w:sz w:val="18"/>
                <w:szCs w:val="18"/>
              </w:rPr>
            </w:pPr>
            <w:r w:rsidRPr="00157187">
              <w:rPr>
                <w:rFonts w:ascii="Verdana" w:hAnsi="Verdana"/>
                <w:sz w:val="18"/>
                <w:szCs w:val="18"/>
              </w:rPr>
              <w:t>Zal de wisselkoers afhankelijk van de omstandigheden gedurende het begrotingsjaar 2026 nog een aantal keren worden aangepast, nu in het wetsvoorstel verhoging aantal eilandraadsleden en eilandgedeputeerden (Kamerstuk 36867) een andere wisselkoers werd gehanteerd?</w:t>
            </w:r>
          </w:p>
          <w:p w:rsidRPr="00157187" w:rsidR="00CD460A" w:rsidP="00D06478" w14:paraId="4FD5C4DC" w14:textId="77777777">
            <w:pPr>
              <w:spacing w:line="276" w:lineRule="auto"/>
              <w:rPr>
                <w:rFonts w:ascii="Verdana" w:hAnsi="Verdana"/>
                <w:sz w:val="18"/>
                <w:szCs w:val="18"/>
              </w:rPr>
            </w:pPr>
          </w:p>
          <w:p w:rsidRPr="00157187" w:rsidR="00CD460A" w:rsidP="00D06478" w14:paraId="6DCE1F19" w14:textId="6628BDE2">
            <w:pPr>
              <w:spacing w:line="276" w:lineRule="auto"/>
              <w:rPr>
                <w:rFonts w:ascii="Verdana" w:hAnsi="Verdana"/>
                <w:i/>
                <w:iCs/>
                <w:sz w:val="18"/>
                <w:szCs w:val="18"/>
              </w:rPr>
            </w:pPr>
            <w:r w:rsidRPr="00157187">
              <w:rPr>
                <w:rFonts w:ascii="Verdana" w:hAnsi="Verdana"/>
                <w:i/>
                <w:iCs/>
                <w:sz w:val="18"/>
                <w:szCs w:val="18"/>
              </w:rPr>
              <w:t xml:space="preserve">De wisselkoers wordt slechts één keer per jaar aangepast via de zogeheten begrotingskoers. De financiële onderbouwing van het wetsvoorstel is gebaseerd op de begrotingskoers over 2025. De daarvoor gereserveerde middelen op de begroting (in euro’s) zullen jaarlijks aangepast worden naar de begrotingskoers van het jaar in kwestie: </w:t>
            </w:r>
            <w:r w:rsidRPr="00157187">
              <w:rPr>
                <w:rFonts w:ascii="Verdana" w:hAnsi="Verdana"/>
                <w:i/>
                <w:iCs/>
                <w:sz w:val="18"/>
                <w:szCs w:val="18"/>
              </w:rPr>
              <w:t>voor 2026 de begrotingskoers over 2026. Uitgangspunt is dat het bedrag in dollars voor de openbare lichamen op jaarbasis niet verandert. Voor een nadere toelichting op hantering van de wisselkoers bij het genoemde wetsvoorstel verwijs ik u naar de beantwoording op de door u gestelde vragen over dit wetsvoorstel [Kamerstukken II 2025/2026, 36867, 2026Z07575, p. 15-20].</w:t>
            </w:r>
          </w:p>
          <w:p w:rsidRPr="00157187" w:rsidR="00CD460A" w:rsidP="00D06478" w14:paraId="47ABE9D9" w14:textId="561F863B">
            <w:pPr>
              <w:spacing w:line="276" w:lineRule="auto"/>
              <w:rPr>
                <w:rFonts w:ascii="Verdana" w:hAnsi="Verdana"/>
                <w:sz w:val="18"/>
                <w:szCs w:val="18"/>
              </w:rPr>
            </w:pPr>
          </w:p>
        </w:tc>
      </w:tr>
      <w:tr w:rsidTr="00D06478" w14:paraId="084C8B88" w14:textId="77777777">
        <w:tblPrEx>
          <w:tblW w:w="8364" w:type="dxa"/>
          <w:tblLayout w:type="fixed"/>
          <w:tblCellMar>
            <w:left w:w="0" w:type="dxa"/>
            <w:right w:w="0" w:type="dxa"/>
          </w:tblCellMar>
          <w:tblLook w:val="0000"/>
        </w:tblPrEx>
        <w:tc>
          <w:tcPr>
            <w:tcW w:w="8364" w:type="dxa"/>
          </w:tcPr>
          <w:p w:rsidRPr="00157187" w:rsidR="00CD460A" w:rsidP="00D06478" w14:paraId="480A0ABB" w14:textId="21F5CF1D">
            <w:pPr>
              <w:spacing w:line="276" w:lineRule="auto"/>
              <w:rPr>
                <w:rFonts w:ascii="Verdana" w:hAnsi="Verdana"/>
                <w:b/>
                <w:bCs/>
                <w:sz w:val="18"/>
                <w:szCs w:val="18"/>
              </w:rPr>
            </w:pPr>
            <w:r w:rsidRPr="00157187">
              <w:rPr>
                <w:rFonts w:ascii="Verdana" w:hAnsi="Verdana"/>
                <w:b/>
                <w:bCs/>
                <w:sz w:val="18"/>
                <w:szCs w:val="18"/>
              </w:rPr>
              <w:t>Vraag 13</w:t>
            </w:r>
            <w:r w:rsidRPr="00157187" w:rsidR="00425C8E">
              <w:rPr>
                <w:rFonts w:ascii="Verdana" w:hAnsi="Verdana"/>
                <w:b/>
                <w:bCs/>
                <w:sz w:val="18"/>
                <w:szCs w:val="18"/>
              </w:rPr>
              <w:t xml:space="preserve"> (blz. 8</w:t>
            </w:r>
            <w:r w:rsidRPr="00157187" w:rsidR="00127631">
              <w:rPr>
                <w:rFonts w:ascii="Verdana" w:hAnsi="Verdana"/>
                <w:b/>
                <w:bCs/>
                <w:sz w:val="18"/>
                <w:szCs w:val="18"/>
              </w:rPr>
              <w:t xml:space="preserve"> t/m 9</w:t>
            </w:r>
            <w:r w:rsidRPr="00157187" w:rsidR="00425C8E">
              <w:rPr>
                <w:rFonts w:ascii="Verdana" w:hAnsi="Verdana"/>
                <w:b/>
                <w:bCs/>
                <w:sz w:val="18"/>
                <w:szCs w:val="18"/>
              </w:rPr>
              <w:t>)</w:t>
            </w:r>
          </w:p>
          <w:p w:rsidRPr="00157187" w:rsidR="00CD460A" w:rsidP="00D06478" w14:paraId="6C10CB39" w14:textId="3C69F5DE">
            <w:pPr>
              <w:spacing w:line="276" w:lineRule="auto"/>
              <w:rPr>
                <w:rFonts w:ascii="Verdana" w:hAnsi="Verdana"/>
                <w:sz w:val="18"/>
                <w:szCs w:val="18"/>
              </w:rPr>
            </w:pPr>
            <w:r w:rsidRPr="00157187">
              <w:rPr>
                <w:rFonts w:ascii="Verdana" w:hAnsi="Verdana"/>
                <w:sz w:val="18"/>
                <w:szCs w:val="18"/>
              </w:rPr>
              <w:t xml:space="preserve">Waar in de begrotingstabel van de eerste suppletoire </w:t>
            </w:r>
            <w:r w:rsidRPr="00157187">
              <w:rPr>
                <w:rFonts w:ascii="Verdana" w:hAnsi="Verdana"/>
                <w:sz w:val="18"/>
                <w:szCs w:val="18"/>
              </w:rPr>
              <w:t>JenV</w:t>
            </w:r>
            <w:r w:rsidRPr="00157187">
              <w:rPr>
                <w:rFonts w:ascii="Verdana" w:hAnsi="Verdana"/>
                <w:sz w:val="18"/>
                <w:szCs w:val="18"/>
              </w:rPr>
              <w:t xml:space="preserve"> zijn de overboekingen vanuit de begroting Koninkrijksrelaties terug te vinden?</w:t>
            </w:r>
          </w:p>
          <w:p w:rsidRPr="00157187" w:rsidR="00CD460A" w:rsidP="00D06478" w14:paraId="36C1286F" w14:textId="77777777">
            <w:pPr>
              <w:spacing w:line="276" w:lineRule="auto"/>
              <w:rPr>
                <w:rFonts w:ascii="Verdana" w:hAnsi="Verdana"/>
                <w:sz w:val="18"/>
                <w:szCs w:val="18"/>
              </w:rPr>
            </w:pPr>
          </w:p>
          <w:p w:rsidRPr="00157187" w:rsidR="00CD460A" w:rsidP="00D06478" w14:paraId="1888CE5A" w14:textId="5A0F1CE8">
            <w:pPr>
              <w:spacing w:line="276" w:lineRule="auto"/>
              <w:rPr>
                <w:rFonts w:ascii="Verdana" w:hAnsi="Verdana"/>
                <w:i/>
                <w:iCs/>
                <w:sz w:val="18"/>
                <w:szCs w:val="18"/>
              </w:rPr>
            </w:pPr>
            <w:r w:rsidRPr="00157187">
              <w:rPr>
                <w:rFonts w:ascii="Verdana" w:hAnsi="Verdana"/>
                <w:i/>
                <w:iCs/>
                <w:sz w:val="18"/>
                <w:szCs w:val="18"/>
              </w:rPr>
              <w:t xml:space="preserve">In de eerste suppletoire begroting van het ministerie van Justitie en Veiligheid is de overboeking voor de ondermijningsmiddelen die beschikbaar zijn voor het Recherche Samenwerkingsteam (RST) te vinden onder post 5 (pagina 6) van tabel 1 met de belangrijkste uitgaven- en inkomstenmutaties. De overboekingen voor het Openbaar Ministerie en het Gemeenschappelijk Hof zijn te vinden in de toelichting op tabel 5 (pagina 14) onder 32.3 'Optimale randvoorwaarden doelmatig en doeltreffend rechtsbestel'. </w:t>
            </w:r>
          </w:p>
        </w:tc>
      </w:tr>
      <w:tr w:rsidTr="00D06478" w14:paraId="16D3C336" w14:textId="77777777">
        <w:tblPrEx>
          <w:tblW w:w="8364" w:type="dxa"/>
          <w:tblLayout w:type="fixed"/>
          <w:tblCellMar>
            <w:left w:w="0" w:type="dxa"/>
            <w:right w:w="0" w:type="dxa"/>
          </w:tblCellMar>
          <w:tblLook w:val="0000"/>
        </w:tblPrEx>
        <w:tc>
          <w:tcPr>
            <w:tcW w:w="8364" w:type="dxa"/>
          </w:tcPr>
          <w:p w:rsidRPr="00157187" w:rsidR="00CD460A" w:rsidP="00D06478" w14:paraId="19F20DED" w14:textId="77777777">
            <w:pPr>
              <w:spacing w:line="276" w:lineRule="auto"/>
              <w:rPr>
                <w:rFonts w:ascii="Verdana" w:hAnsi="Verdana"/>
                <w:sz w:val="18"/>
                <w:szCs w:val="18"/>
              </w:rPr>
            </w:pPr>
          </w:p>
          <w:p w:rsidRPr="00157187" w:rsidR="00CD460A" w:rsidP="00D06478" w14:paraId="43956336" w14:textId="7DC0665E">
            <w:pPr>
              <w:spacing w:line="276" w:lineRule="auto"/>
              <w:rPr>
                <w:rFonts w:ascii="Verdana" w:hAnsi="Verdana"/>
                <w:b/>
                <w:bCs/>
                <w:sz w:val="18"/>
                <w:szCs w:val="18"/>
              </w:rPr>
            </w:pPr>
            <w:r w:rsidRPr="00157187">
              <w:rPr>
                <w:rFonts w:ascii="Verdana" w:hAnsi="Verdana"/>
                <w:b/>
                <w:bCs/>
                <w:sz w:val="18"/>
                <w:szCs w:val="18"/>
              </w:rPr>
              <w:t>Vraag 14</w:t>
            </w:r>
            <w:r w:rsidRPr="00157187" w:rsidR="00425C8E">
              <w:rPr>
                <w:rFonts w:ascii="Verdana" w:hAnsi="Verdana"/>
                <w:b/>
                <w:bCs/>
                <w:sz w:val="18"/>
                <w:szCs w:val="18"/>
              </w:rPr>
              <w:t xml:space="preserve"> (blz. 8</w:t>
            </w:r>
            <w:r w:rsidRPr="00157187" w:rsidR="00127631">
              <w:rPr>
                <w:rFonts w:ascii="Verdana" w:hAnsi="Verdana"/>
                <w:b/>
                <w:bCs/>
                <w:sz w:val="18"/>
                <w:szCs w:val="18"/>
              </w:rPr>
              <w:t xml:space="preserve"> t/m 11</w:t>
            </w:r>
            <w:r w:rsidRPr="00157187" w:rsidR="00425C8E">
              <w:rPr>
                <w:rFonts w:ascii="Verdana" w:hAnsi="Verdana"/>
                <w:b/>
                <w:bCs/>
                <w:sz w:val="18"/>
                <w:szCs w:val="18"/>
              </w:rPr>
              <w:t>)</w:t>
            </w:r>
          </w:p>
          <w:p w:rsidRPr="00157187" w:rsidR="00CD460A" w:rsidP="00D06478" w14:paraId="31FDB5B0" w14:textId="01060CC6">
            <w:pPr>
              <w:spacing w:line="276" w:lineRule="auto"/>
              <w:rPr>
                <w:rFonts w:ascii="Verdana" w:hAnsi="Verdana"/>
                <w:sz w:val="18"/>
                <w:szCs w:val="18"/>
              </w:rPr>
            </w:pPr>
            <w:r w:rsidRPr="00157187">
              <w:rPr>
                <w:rFonts w:ascii="Verdana" w:hAnsi="Verdana"/>
                <w:sz w:val="18"/>
                <w:szCs w:val="18"/>
              </w:rPr>
              <w:t>Zijn de actieplannen bewustwording, betrokkenheid en doorwerking Slavernijverleden van de eilanden bekend gemaakt aan het de Tweede Kamer? Zo ja, bij welke gelegenheid? Zo nee, wanneer krijgt de Kamer daar inzicht in?</w:t>
            </w:r>
          </w:p>
          <w:p w:rsidRPr="00157187" w:rsidR="00CD460A" w:rsidP="00D06478" w14:paraId="25896F53" w14:textId="4FE777AB">
            <w:pPr>
              <w:spacing w:line="276" w:lineRule="auto"/>
              <w:rPr>
                <w:rFonts w:ascii="Verdana" w:hAnsi="Verdana"/>
                <w:sz w:val="18"/>
                <w:szCs w:val="18"/>
              </w:rPr>
            </w:pPr>
          </w:p>
          <w:p w:rsidRPr="00157187" w:rsidR="00CD460A" w:rsidP="00D06478" w14:paraId="1D4A3B1A" w14:textId="61AEC897">
            <w:pPr>
              <w:spacing w:line="276" w:lineRule="auto"/>
              <w:rPr>
                <w:rFonts w:ascii="Verdana" w:hAnsi="Verdana"/>
                <w:i/>
                <w:iCs/>
                <w:sz w:val="18"/>
                <w:szCs w:val="18"/>
              </w:rPr>
            </w:pPr>
            <w:r w:rsidRPr="00157187">
              <w:rPr>
                <w:rFonts w:ascii="Verdana" w:hAnsi="Verdana"/>
                <w:i/>
                <w:iCs/>
                <w:sz w:val="18"/>
                <w:szCs w:val="18"/>
              </w:rPr>
              <w:t xml:space="preserve">De inhoudelijke plannen van de actieagenda’s zijn niet bekend gemaakt aan de Tweede Kamer. Dit omdat de plannen worden uitgevoerd onder verantwoordelijkheid van de lokale overheden van Aruba, Bonaire, Curaçao, Saba, Sint Eustatius en Sint Maarten; het is dus aan hen om de inhoud al dan niet openbaar te maken of te delen. </w:t>
            </w:r>
          </w:p>
        </w:tc>
      </w:tr>
    </w:tbl>
    <w:p w:rsidRPr="00D06478" w:rsidR="00861AE2" w:rsidP="00D06478" w14:paraId="54F4BA5E" w14:textId="77777777">
      <w:pPr>
        <w:spacing w:line="276" w:lineRule="auto"/>
        <w:rPr>
          <w:rFonts w:ascii="Verdana" w:hAnsi="Verdana"/>
        </w:rPr>
      </w:pPr>
    </w:p>
    <w:sectPr w:rsidSect="00840C11">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A47AF" w14:paraId="27CC351A" w14:textId="77777777">
      <w:pPr>
        <w:spacing w:before="0" w:after="0"/>
      </w:pPr>
      <w:r>
        <w:separator/>
      </w:r>
    </w:p>
  </w:endnote>
  <w:endnote w:type="continuationSeparator" w:id="1">
    <w:p w:rsidR="001A47AF" w14:paraId="75E4916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AE2" w14:paraId="399D71E9" w14:textId="77777777">
    <w:pPr>
      <w:pStyle w:val="Footer"/>
    </w:pPr>
    <w:r>
      <w:t xml:space="preserve">Totaallijst feitelijke vragen Wijziging van de begrotingsstaten van Koninkrijksrelaties (IV) en het BES-fonds (H) voor het jaar 2026 (wijziging samenhangende met de Voorjaarsnota) (36915-IV-1)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2DB3862C" w14:textId="77777777">
      <w:pPr>
        <w:spacing w:before="0" w:after="0"/>
      </w:pPr>
      <w:r>
        <w:separator/>
      </w:r>
    </w:p>
  </w:footnote>
  <w:footnote w:type="continuationSeparator" w:id="1">
    <w:p w:rsidR="001A47AF" w14:paraId="375DF06C" w14:textId="7777777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497"/>
    <w:rsid w:val="000046C4"/>
    <w:rsid w:val="000301B7"/>
    <w:rsid w:val="00032361"/>
    <w:rsid w:val="00035615"/>
    <w:rsid w:val="000528B7"/>
    <w:rsid w:val="00054D38"/>
    <w:rsid w:val="00071CA6"/>
    <w:rsid w:val="000D277C"/>
    <w:rsid w:val="000F1417"/>
    <w:rsid w:val="00103A7F"/>
    <w:rsid w:val="00127631"/>
    <w:rsid w:val="00141BAA"/>
    <w:rsid w:val="00142990"/>
    <w:rsid w:val="00156F81"/>
    <w:rsid w:val="00157187"/>
    <w:rsid w:val="00164781"/>
    <w:rsid w:val="001732D7"/>
    <w:rsid w:val="001856D0"/>
    <w:rsid w:val="0019449D"/>
    <w:rsid w:val="001A47AF"/>
    <w:rsid w:val="001A56AB"/>
    <w:rsid w:val="001C392C"/>
    <w:rsid w:val="001D4B31"/>
    <w:rsid w:val="001E2AB4"/>
    <w:rsid w:val="001F251C"/>
    <w:rsid w:val="00217D45"/>
    <w:rsid w:val="00237DA9"/>
    <w:rsid w:val="002643B1"/>
    <w:rsid w:val="00270020"/>
    <w:rsid w:val="00276C80"/>
    <w:rsid w:val="002A4E4E"/>
    <w:rsid w:val="002C32E6"/>
    <w:rsid w:val="002C660A"/>
    <w:rsid w:val="002D153D"/>
    <w:rsid w:val="002D3E44"/>
    <w:rsid w:val="002F327D"/>
    <w:rsid w:val="00317687"/>
    <w:rsid w:val="003176BF"/>
    <w:rsid w:val="003345F3"/>
    <w:rsid w:val="003678E8"/>
    <w:rsid w:val="00367E93"/>
    <w:rsid w:val="003B2955"/>
    <w:rsid w:val="003D04D1"/>
    <w:rsid w:val="003D44DD"/>
    <w:rsid w:val="00405FA0"/>
    <w:rsid w:val="00416F21"/>
    <w:rsid w:val="00417D46"/>
    <w:rsid w:val="00425C8E"/>
    <w:rsid w:val="00435B8E"/>
    <w:rsid w:val="00464287"/>
    <w:rsid w:val="00473788"/>
    <w:rsid w:val="00476EC5"/>
    <w:rsid w:val="00492272"/>
    <w:rsid w:val="004B1609"/>
    <w:rsid w:val="004B6CFE"/>
    <w:rsid w:val="004C21FE"/>
    <w:rsid w:val="004D33B5"/>
    <w:rsid w:val="004D7CC9"/>
    <w:rsid w:val="004E6605"/>
    <w:rsid w:val="00525364"/>
    <w:rsid w:val="00531656"/>
    <w:rsid w:val="0053623F"/>
    <w:rsid w:val="005543A7"/>
    <w:rsid w:val="0056382C"/>
    <w:rsid w:val="005A0356"/>
    <w:rsid w:val="0064699C"/>
    <w:rsid w:val="006548F2"/>
    <w:rsid w:val="00675438"/>
    <w:rsid w:val="00681C7A"/>
    <w:rsid w:val="00683292"/>
    <w:rsid w:val="006969D4"/>
    <w:rsid w:val="006B3276"/>
    <w:rsid w:val="006B7A13"/>
    <w:rsid w:val="006C5439"/>
    <w:rsid w:val="006F4781"/>
    <w:rsid w:val="006F5C90"/>
    <w:rsid w:val="00706865"/>
    <w:rsid w:val="007211BF"/>
    <w:rsid w:val="00753483"/>
    <w:rsid w:val="00757B33"/>
    <w:rsid w:val="00782D3C"/>
    <w:rsid w:val="0079320C"/>
    <w:rsid w:val="007A77EE"/>
    <w:rsid w:val="007D5B47"/>
    <w:rsid w:val="008324B9"/>
    <w:rsid w:val="008325A5"/>
    <w:rsid w:val="00840C11"/>
    <w:rsid w:val="00850CA9"/>
    <w:rsid w:val="0085189E"/>
    <w:rsid w:val="00861AE2"/>
    <w:rsid w:val="00882EDA"/>
    <w:rsid w:val="00887677"/>
    <w:rsid w:val="00893058"/>
    <w:rsid w:val="00894624"/>
    <w:rsid w:val="00894942"/>
    <w:rsid w:val="00894B63"/>
    <w:rsid w:val="008B1934"/>
    <w:rsid w:val="008C5A51"/>
    <w:rsid w:val="008C7A53"/>
    <w:rsid w:val="008D0080"/>
    <w:rsid w:val="008E0843"/>
    <w:rsid w:val="008F2381"/>
    <w:rsid w:val="008F39E0"/>
    <w:rsid w:val="009054E3"/>
    <w:rsid w:val="00922785"/>
    <w:rsid w:val="009662F2"/>
    <w:rsid w:val="00971AFF"/>
    <w:rsid w:val="0097286E"/>
    <w:rsid w:val="009858E9"/>
    <w:rsid w:val="00994231"/>
    <w:rsid w:val="009E1840"/>
    <w:rsid w:val="00A009FE"/>
    <w:rsid w:val="00A032EC"/>
    <w:rsid w:val="00A2007A"/>
    <w:rsid w:val="00A24A17"/>
    <w:rsid w:val="00A77C3E"/>
    <w:rsid w:val="00A81B60"/>
    <w:rsid w:val="00A84053"/>
    <w:rsid w:val="00B1374C"/>
    <w:rsid w:val="00B22832"/>
    <w:rsid w:val="00B26A55"/>
    <w:rsid w:val="00B2764C"/>
    <w:rsid w:val="00B3319D"/>
    <w:rsid w:val="00B452FB"/>
    <w:rsid w:val="00B61B16"/>
    <w:rsid w:val="00B80076"/>
    <w:rsid w:val="00B860A2"/>
    <w:rsid w:val="00B907C8"/>
    <w:rsid w:val="00B915EC"/>
    <w:rsid w:val="00B97EA9"/>
    <w:rsid w:val="00BA7C85"/>
    <w:rsid w:val="00BD01A5"/>
    <w:rsid w:val="00BD06CE"/>
    <w:rsid w:val="00BE57F9"/>
    <w:rsid w:val="00BF5692"/>
    <w:rsid w:val="00C01F01"/>
    <w:rsid w:val="00C13A75"/>
    <w:rsid w:val="00C21B26"/>
    <w:rsid w:val="00C25F1D"/>
    <w:rsid w:val="00C5605C"/>
    <w:rsid w:val="00C568C9"/>
    <w:rsid w:val="00C57B73"/>
    <w:rsid w:val="00C71B1F"/>
    <w:rsid w:val="00C7428D"/>
    <w:rsid w:val="00C826FF"/>
    <w:rsid w:val="00C87C3D"/>
    <w:rsid w:val="00CB5A04"/>
    <w:rsid w:val="00CB6C38"/>
    <w:rsid w:val="00CC0176"/>
    <w:rsid w:val="00CC2D78"/>
    <w:rsid w:val="00CD460A"/>
    <w:rsid w:val="00CD61FC"/>
    <w:rsid w:val="00D06478"/>
    <w:rsid w:val="00D210A1"/>
    <w:rsid w:val="00D213D3"/>
    <w:rsid w:val="00D30B5E"/>
    <w:rsid w:val="00D346E2"/>
    <w:rsid w:val="00D50CD3"/>
    <w:rsid w:val="00D82297"/>
    <w:rsid w:val="00DA6A3D"/>
    <w:rsid w:val="00DC45A2"/>
    <w:rsid w:val="00DC66BC"/>
    <w:rsid w:val="00DE325F"/>
    <w:rsid w:val="00DE332A"/>
    <w:rsid w:val="00E0218D"/>
    <w:rsid w:val="00E15454"/>
    <w:rsid w:val="00E346BA"/>
    <w:rsid w:val="00E615D0"/>
    <w:rsid w:val="00E7153D"/>
    <w:rsid w:val="00E77CCE"/>
    <w:rsid w:val="00E87144"/>
    <w:rsid w:val="00E90C7C"/>
    <w:rsid w:val="00EB0E96"/>
    <w:rsid w:val="00ED67D3"/>
    <w:rsid w:val="00EE01AD"/>
    <w:rsid w:val="00EE57C2"/>
    <w:rsid w:val="00EF4225"/>
    <w:rsid w:val="00F00D3B"/>
    <w:rsid w:val="00F17720"/>
    <w:rsid w:val="00F20CB3"/>
    <w:rsid w:val="00F23F8A"/>
    <w:rsid w:val="00F32AD3"/>
    <w:rsid w:val="00F36D1D"/>
    <w:rsid w:val="00F46BD2"/>
    <w:rsid w:val="00F951C9"/>
    <w:rsid w:val="00FA1414"/>
    <w:rsid w:val="00FB4E39"/>
    <w:rsid w:val="00FC4CC5"/>
    <w:rsid w:val="00FE7B35"/>
    <w:rsid w:val="02C7EF2C"/>
    <w:rsid w:val="07F28815"/>
    <w:rsid w:val="0A3CDF9B"/>
    <w:rsid w:val="0E23C316"/>
    <w:rsid w:val="124CA5CA"/>
    <w:rsid w:val="1399E059"/>
    <w:rsid w:val="13ECF0FF"/>
    <w:rsid w:val="15E25D42"/>
    <w:rsid w:val="19CC4AA6"/>
    <w:rsid w:val="1CB03DF7"/>
    <w:rsid w:val="1F162B38"/>
    <w:rsid w:val="203AB207"/>
    <w:rsid w:val="216D05CD"/>
    <w:rsid w:val="22876419"/>
    <w:rsid w:val="2310B821"/>
    <w:rsid w:val="23437A78"/>
    <w:rsid w:val="23B1E692"/>
    <w:rsid w:val="247ACA1C"/>
    <w:rsid w:val="26426496"/>
    <w:rsid w:val="2697402E"/>
    <w:rsid w:val="27287D00"/>
    <w:rsid w:val="288059AB"/>
    <w:rsid w:val="28E31A94"/>
    <w:rsid w:val="2DC51DC9"/>
    <w:rsid w:val="34CBF513"/>
    <w:rsid w:val="3531798F"/>
    <w:rsid w:val="390DFA72"/>
    <w:rsid w:val="3A55282B"/>
    <w:rsid w:val="3D9AE829"/>
    <w:rsid w:val="3E5425D6"/>
    <w:rsid w:val="3FEFC366"/>
    <w:rsid w:val="41C03E69"/>
    <w:rsid w:val="43706F10"/>
    <w:rsid w:val="44B13AFC"/>
    <w:rsid w:val="490D0FDB"/>
    <w:rsid w:val="4A64BA11"/>
    <w:rsid w:val="4E86429A"/>
    <w:rsid w:val="5077860B"/>
    <w:rsid w:val="51104D62"/>
    <w:rsid w:val="542DE351"/>
    <w:rsid w:val="581D1F18"/>
    <w:rsid w:val="5A8BF7EF"/>
    <w:rsid w:val="5CA30AB1"/>
    <w:rsid w:val="627AECBE"/>
    <w:rsid w:val="64C35E14"/>
    <w:rsid w:val="6A55A9DC"/>
    <w:rsid w:val="6A9B75AC"/>
    <w:rsid w:val="6BC5973F"/>
    <w:rsid w:val="6C6232C8"/>
    <w:rsid w:val="6FF4FD7E"/>
    <w:rsid w:val="7245A878"/>
    <w:rsid w:val="75849B69"/>
    <w:rsid w:val="75C445FC"/>
    <w:rsid w:val="7CD5AB3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73DA052"/>
  <w15:docId w15:val="{CD9B5FEF-14AC-431F-87F1-3DB450FA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5">
    <w:name w:val="heading 5"/>
    <w:basedOn w:val="Normal"/>
    <w:next w:val="Normal"/>
    <w:link w:val="Kop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customStyle="1" w:styleId="Kop5Char">
    <w:name w:val="Kop 5 Char"/>
    <w:basedOn w:val="DefaultParagraphFont"/>
    <w:link w:val="Heading5"/>
    <w:uiPriority w:val="9"/>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345F3"/>
    <w:rPr>
      <w:sz w:val="16"/>
      <w:szCs w:val="16"/>
    </w:rPr>
  </w:style>
  <w:style w:type="paragraph" w:styleId="CommentText">
    <w:name w:val="annotation text"/>
    <w:basedOn w:val="Normal"/>
    <w:link w:val="TekstopmerkingChar"/>
    <w:uiPriority w:val="99"/>
    <w:unhideWhenUsed/>
    <w:rsid w:val="003345F3"/>
  </w:style>
  <w:style w:type="character" w:customStyle="1" w:styleId="TekstopmerkingChar">
    <w:name w:val="Tekst opmerking Char"/>
    <w:basedOn w:val="DefaultParagraphFont"/>
    <w:link w:val="CommentText"/>
    <w:uiPriority w:val="99"/>
    <w:rsid w:val="003345F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3345F3"/>
    <w:rPr>
      <w:b/>
      <w:bCs/>
    </w:rPr>
  </w:style>
  <w:style w:type="character" w:customStyle="1" w:styleId="OnderwerpvanopmerkingChar">
    <w:name w:val="Onderwerp van opmerking Char"/>
    <w:basedOn w:val="TekstopmerkingChar"/>
    <w:link w:val="CommentSubject"/>
    <w:uiPriority w:val="99"/>
    <w:semiHidden/>
    <w:rsid w:val="003345F3"/>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C568C9"/>
    <w:rPr>
      <w:color w:val="0000FF" w:themeColor="hyperlink"/>
      <w:u w:val="single"/>
    </w:rPr>
  </w:style>
  <w:style w:type="paragraph" w:styleId="Revision">
    <w:name w:val="Revision"/>
    <w:hidden/>
    <w:uiPriority w:val="99"/>
    <w:semiHidden/>
    <w:rsid w:val="00A2007A"/>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styles" Target="styles.xml" Id="rId11"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1596</ap:Words>
  <ap:Characters>8784</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2026-04-09T12:17:00.0000000Z</lastPrinted>
  <dcterms:created xsi:type="dcterms:W3CDTF">2026-04-17T08:15:00.0000000Z</dcterms:created>
  <dcterms:modified xsi:type="dcterms:W3CDTF">2026-04-17T08:15:00.0000000Z</dcterms:modified>
  <dc:creator/>
  <lastModifiedBy/>
  <dc:description>------------------------</dc:description>
  <dc:subject/>
  <dc:title/>
  <keywords/>
  <version/>
  <category/>
</coreProperties>
</file>