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47880" w:rsidR="00897805" w:rsidP="00203D02" w:rsidRDefault="00A47880" w14:paraId="2060B48B" w14:textId="615928F0">
      <w:pPr>
        <w:rPr>
          <w:rFonts w:ascii="Verdana" w:hAnsi="Verdana"/>
          <w:i/>
          <w:iCs/>
          <w:sz w:val="18"/>
          <w:szCs w:val="18"/>
          <w:lang w:val="en-GB"/>
        </w:rPr>
      </w:pPr>
      <w:r>
        <w:rPr>
          <w:rFonts w:ascii="Verdana" w:hAnsi="Verdana"/>
          <w:b/>
          <w:bCs/>
          <w:i/>
          <w:iCs/>
          <w:sz w:val="18"/>
          <w:szCs w:val="18"/>
          <w:lang w:val="en-GB"/>
        </w:rPr>
        <w:t>P</w:t>
      </w:r>
      <w:r w:rsidRPr="00A47880" w:rsidR="006B46E4">
        <w:rPr>
          <w:rFonts w:ascii="Verdana" w:hAnsi="Verdana"/>
          <w:b/>
          <w:bCs/>
          <w:i/>
          <w:iCs/>
          <w:sz w:val="18"/>
          <w:szCs w:val="18"/>
          <w:lang w:val="en-GB"/>
        </w:rPr>
        <w:t xml:space="preserve">roposals </w:t>
      </w:r>
      <w:r>
        <w:rPr>
          <w:rFonts w:ascii="Verdana" w:hAnsi="Verdana"/>
          <w:b/>
          <w:bCs/>
          <w:i/>
          <w:iCs/>
          <w:sz w:val="18"/>
          <w:szCs w:val="18"/>
          <w:lang w:val="en-GB"/>
        </w:rPr>
        <w:t xml:space="preserve">by the Netherlands </w:t>
      </w:r>
      <w:r w:rsidRPr="00A47880" w:rsidR="006B46E4">
        <w:rPr>
          <w:rFonts w:ascii="Verdana" w:hAnsi="Verdana"/>
          <w:b/>
          <w:bCs/>
          <w:i/>
          <w:iCs/>
          <w:sz w:val="18"/>
          <w:szCs w:val="18"/>
          <w:lang w:val="en-GB"/>
        </w:rPr>
        <w:t xml:space="preserve">to simplify the </w:t>
      </w:r>
      <w:r w:rsidRPr="00A47880" w:rsidR="00203D02">
        <w:rPr>
          <w:rFonts w:ascii="Verdana" w:hAnsi="Verdana"/>
          <w:b/>
          <w:bCs/>
          <w:i/>
          <w:iCs/>
          <w:sz w:val="18"/>
          <w:szCs w:val="18"/>
          <w:lang w:val="en-GB"/>
        </w:rPr>
        <w:t xml:space="preserve">banking </w:t>
      </w:r>
      <w:r w:rsidRPr="00A47880" w:rsidR="006B46E4">
        <w:rPr>
          <w:rFonts w:ascii="Verdana" w:hAnsi="Verdana"/>
          <w:b/>
          <w:bCs/>
          <w:i/>
          <w:iCs/>
          <w:sz w:val="18"/>
          <w:szCs w:val="18"/>
          <w:lang w:val="en-GB"/>
        </w:rPr>
        <w:t>regulatory and supervisory framework</w:t>
      </w:r>
      <w:r w:rsidRPr="00A47880" w:rsidR="00C672A0">
        <w:rPr>
          <w:rFonts w:ascii="Verdana" w:hAnsi="Verdana"/>
          <w:b/>
          <w:bCs/>
          <w:i/>
          <w:iCs/>
          <w:sz w:val="18"/>
          <w:szCs w:val="18"/>
          <w:lang w:val="en-GB"/>
        </w:rPr>
        <w:t xml:space="preserve"> and </w:t>
      </w:r>
      <w:r w:rsidRPr="00A47880" w:rsidR="00662A2E">
        <w:rPr>
          <w:rFonts w:ascii="Verdana" w:hAnsi="Verdana"/>
          <w:b/>
          <w:bCs/>
          <w:i/>
          <w:iCs/>
          <w:sz w:val="18"/>
          <w:szCs w:val="18"/>
          <w:lang w:val="en-GB"/>
        </w:rPr>
        <w:t xml:space="preserve">to </w:t>
      </w:r>
      <w:r w:rsidRPr="00A47880" w:rsidR="00C672A0">
        <w:rPr>
          <w:rFonts w:ascii="Verdana" w:hAnsi="Verdana"/>
          <w:b/>
          <w:bCs/>
          <w:i/>
          <w:iCs/>
          <w:sz w:val="18"/>
          <w:szCs w:val="18"/>
          <w:lang w:val="en-GB"/>
        </w:rPr>
        <w:t>improve the competitiveness of European banks</w:t>
      </w:r>
      <w:r>
        <w:rPr>
          <w:rFonts w:ascii="Verdana" w:hAnsi="Verdana"/>
          <w:b/>
          <w:bCs/>
          <w:i/>
          <w:iCs/>
          <w:sz w:val="18"/>
          <w:szCs w:val="18"/>
          <w:lang w:val="en-GB"/>
        </w:rPr>
        <w:br/>
      </w:r>
      <w:r w:rsidRPr="00A47880">
        <w:rPr>
          <w:rFonts w:ascii="Verdana" w:hAnsi="Verdana"/>
          <w:i/>
          <w:iCs/>
          <w:sz w:val="18"/>
          <w:szCs w:val="18"/>
          <w:lang w:val="en-GB"/>
        </w:rPr>
        <w:t xml:space="preserve">In response to the </w:t>
      </w:r>
      <w:r w:rsidRPr="00A47880">
        <w:rPr>
          <w:rFonts w:ascii="Verdana" w:hAnsi="Verdana"/>
          <w:i/>
          <w:iCs/>
          <w:sz w:val="18"/>
          <w:szCs w:val="18"/>
          <w:lang w:val="en-US"/>
        </w:rPr>
        <w:t>t</w:t>
      </w:r>
      <w:r w:rsidRPr="00F307E6">
        <w:rPr>
          <w:rFonts w:ascii="Verdana" w:hAnsi="Verdana"/>
          <w:i/>
          <w:iCs/>
          <w:sz w:val="18"/>
          <w:szCs w:val="18"/>
          <w:lang w:val="en-US"/>
        </w:rPr>
        <w:t>argeted consultation on the competitiveness of the EU banking sector</w:t>
      </w:r>
    </w:p>
    <w:p w:rsidRPr="0001707D" w:rsidR="009B6737" w:rsidP="00203D02" w:rsidRDefault="009B6737" w14:paraId="285CACEB" w14:textId="24B4563B">
      <w:pPr>
        <w:rPr>
          <w:rFonts w:ascii="Verdana" w:hAnsi="Verdana"/>
          <w:sz w:val="18"/>
          <w:szCs w:val="18"/>
          <w:lang w:val="en-GB"/>
        </w:rPr>
      </w:pPr>
      <w:r w:rsidRPr="0001707D">
        <w:rPr>
          <w:rFonts w:ascii="Verdana" w:hAnsi="Verdana"/>
          <w:sz w:val="18"/>
          <w:szCs w:val="18"/>
          <w:lang w:val="en-GB"/>
        </w:rPr>
        <w:t xml:space="preserve">The European Commission recently launched a consultation on the competitiveness of the EU banking sector. </w:t>
      </w:r>
      <w:r w:rsidRPr="0001707D" w:rsidR="000C69A1">
        <w:rPr>
          <w:rFonts w:ascii="Verdana" w:hAnsi="Verdana"/>
          <w:sz w:val="18"/>
          <w:szCs w:val="18"/>
          <w:lang w:val="en-GB"/>
        </w:rPr>
        <w:t>T</w:t>
      </w:r>
      <w:r w:rsidRPr="0001707D" w:rsidR="00DE7825">
        <w:rPr>
          <w:rFonts w:ascii="Verdana" w:hAnsi="Verdana"/>
          <w:sz w:val="18"/>
          <w:szCs w:val="18"/>
          <w:lang w:val="en-GB"/>
        </w:rPr>
        <w:t xml:space="preserve">he Ministry of Finance and De </w:t>
      </w:r>
      <w:proofErr w:type="spellStart"/>
      <w:r w:rsidRPr="0001707D" w:rsidR="00DE7825">
        <w:rPr>
          <w:rFonts w:ascii="Verdana" w:hAnsi="Verdana"/>
          <w:sz w:val="18"/>
          <w:szCs w:val="18"/>
          <w:lang w:val="en-GB"/>
        </w:rPr>
        <w:t>Nederlandsche</w:t>
      </w:r>
      <w:proofErr w:type="spellEnd"/>
      <w:r w:rsidRPr="0001707D" w:rsidR="00DE7825">
        <w:rPr>
          <w:rFonts w:ascii="Verdana" w:hAnsi="Verdana"/>
          <w:sz w:val="18"/>
          <w:szCs w:val="18"/>
          <w:lang w:val="en-GB"/>
        </w:rPr>
        <w:t xml:space="preserve"> Bank</w:t>
      </w:r>
      <w:r w:rsidRPr="0001707D" w:rsidR="000C69A1">
        <w:rPr>
          <w:rFonts w:ascii="Verdana" w:hAnsi="Verdana"/>
          <w:sz w:val="18"/>
          <w:szCs w:val="18"/>
          <w:lang w:val="en-GB"/>
        </w:rPr>
        <w:t xml:space="preserve"> </w:t>
      </w:r>
      <w:r w:rsidRPr="0001707D" w:rsidR="000E0B94">
        <w:rPr>
          <w:rFonts w:ascii="Verdana" w:hAnsi="Verdana"/>
          <w:sz w:val="18"/>
          <w:szCs w:val="18"/>
          <w:lang w:val="en-GB"/>
        </w:rPr>
        <w:t xml:space="preserve">(DNB) </w:t>
      </w:r>
      <w:r w:rsidRPr="0001707D" w:rsidR="000C69A1">
        <w:rPr>
          <w:rFonts w:ascii="Verdana" w:hAnsi="Verdana"/>
          <w:sz w:val="18"/>
          <w:szCs w:val="18"/>
          <w:lang w:val="en-GB"/>
        </w:rPr>
        <w:t>are jointly responding to this</w:t>
      </w:r>
      <w:r w:rsidR="00A47880">
        <w:rPr>
          <w:rFonts w:ascii="Verdana" w:hAnsi="Verdana"/>
          <w:sz w:val="18"/>
          <w:szCs w:val="18"/>
          <w:lang w:val="en-GB"/>
        </w:rPr>
        <w:t xml:space="preserve"> consultation</w:t>
      </w:r>
      <w:r w:rsidRPr="0001707D" w:rsidR="000C69A1">
        <w:rPr>
          <w:rFonts w:ascii="Verdana" w:hAnsi="Verdana"/>
          <w:sz w:val="18"/>
          <w:szCs w:val="18"/>
          <w:lang w:val="en-GB"/>
        </w:rPr>
        <w:t xml:space="preserve">. This note </w:t>
      </w:r>
      <w:r w:rsidRPr="0001707D" w:rsidR="008B2B4B">
        <w:rPr>
          <w:rFonts w:ascii="Verdana" w:hAnsi="Verdana"/>
          <w:sz w:val="18"/>
          <w:szCs w:val="18"/>
          <w:lang w:val="en-GB"/>
        </w:rPr>
        <w:t xml:space="preserve">summarises </w:t>
      </w:r>
      <w:r w:rsidRPr="0001707D" w:rsidR="00487564">
        <w:rPr>
          <w:rFonts w:ascii="Verdana" w:hAnsi="Verdana"/>
          <w:sz w:val="18"/>
          <w:szCs w:val="18"/>
          <w:lang w:val="en-GB"/>
        </w:rPr>
        <w:t>the overall approach of the response</w:t>
      </w:r>
      <w:r w:rsidR="004C77DA">
        <w:rPr>
          <w:rFonts w:ascii="Verdana" w:hAnsi="Verdana"/>
          <w:sz w:val="18"/>
          <w:szCs w:val="18"/>
          <w:lang w:val="en-GB"/>
        </w:rPr>
        <w:t>,</w:t>
      </w:r>
      <w:r w:rsidRPr="0001707D" w:rsidR="00487564">
        <w:rPr>
          <w:rFonts w:ascii="Verdana" w:hAnsi="Verdana"/>
          <w:sz w:val="18"/>
          <w:szCs w:val="18"/>
          <w:lang w:val="en-GB"/>
        </w:rPr>
        <w:t xml:space="preserve"> </w:t>
      </w:r>
      <w:r w:rsidRPr="0001707D" w:rsidR="00AB1C56">
        <w:rPr>
          <w:rFonts w:ascii="Verdana" w:hAnsi="Verdana"/>
          <w:sz w:val="18"/>
          <w:szCs w:val="18"/>
          <w:lang w:val="en-GB"/>
        </w:rPr>
        <w:t xml:space="preserve">highlighting </w:t>
      </w:r>
      <w:r w:rsidR="00A47880">
        <w:rPr>
          <w:rFonts w:ascii="Verdana" w:hAnsi="Verdana"/>
          <w:sz w:val="18"/>
          <w:szCs w:val="18"/>
          <w:lang w:val="en-GB"/>
        </w:rPr>
        <w:t>concrete</w:t>
      </w:r>
      <w:r w:rsidRPr="0001707D" w:rsidR="00AB1C56">
        <w:rPr>
          <w:rFonts w:ascii="Verdana" w:hAnsi="Verdana"/>
          <w:sz w:val="18"/>
          <w:szCs w:val="18"/>
          <w:lang w:val="en-GB"/>
        </w:rPr>
        <w:t xml:space="preserve"> proposals put forward to strengthen the competitiveness of </w:t>
      </w:r>
      <w:r w:rsidRPr="0001707D" w:rsidR="00305DC2">
        <w:rPr>
          <w:rFonts w:ascii="Verdana" w:hAnsi="Verdana"/>
          <w:sz w:val="18"/>
          <w:szCs w:val="18"/>
          <w:lang w:val="en-GB"/>
        </w:rPr>
        <w:t>the European banking sector.</w:t>
      </w:r>
      <w:r w:rsidRPr="0001707D" w:rsidR="000C69A1">
        <w:rPr>
          <w:rFonts w:ascii="Verdana" w:hAnsi="Verdana"/>
          <w:sz w:val="18"/>
          <w:szCs w:val="18"/>
          <w:lang w:val="en-GB"/>
        </w:rPr>
        <w:t xml:space="preserve"> </w:t>
      </w:r>
    </w:p>
    <w:p w:rsidRPr="00483D6C" w:rsidR="00483D6C" w:rsidP="00483D6C" w:rsidRDefault="00A47880" w14:paraId="2E498BAD" w14:textId="77777777">
      <w:pPr>
        <w:pStyle w:val="Lijstalinea"/>
        <w:numPr>
          <w:ilvl w:val="0"/>
          <w:numId w:val="11"/>
        </w:numPr>
        <w:rPr>
          <w:rFonts w:ascii="Verdana" w:hAnsi="Verdana"/>
          <w:sz w:val="18"/>
          <w:szCs w:val="18"/>
          <w:lang w:val="en-GB"/>
        </w:rPr>
      </w:pPr>
      <w:r w:rsidRPr="00483D6C">
        <w:rPr>
          <w:rFonts w:ascii="Verdana" w:hAnsi="Verdana"/>
          <w:bCs/>
          <w:i/>
          <w:iCs/>
          <w:sz w:val="18"/>
          <w:szCs w:val="18"/>
          <w:lang w:val="en-US"/>
        </w:rPr>
        <w:t>The pivotal role of banks in the European economy</w:t>
      </w:r>
    </w:p>
    <w:p w:rsidRPr="00483D6C" w:rsidR="00AE4AEF" w:rsidP="00483D6C" w:rsidRDefault="00A47880" w14:paraId="40E54B00" w14:textId="7B2AA6AF">
      <w:pPr>
        <w:rPr>
          <w:rFonts w:ascii="Verdana" w:hAnsi="Verdana"/>
          <w:sz w:val="18"/>
          <w:szCs w:val="18"/>
          <w:lang w:val="en-GB"/>
        </w:rPr>
      </w:pPr>
      <w:r w:rsidRPr="00483D6C">
        <w:rPr>
          <w:rFonts w:ascii="Verdana" w:hAnsi="Verdana"/>
          <w:bCs/>
          <w:sz w:val="18"/>
          <w:szCs w:val="18"/>
          <w:lang w:val="en-US"/>
        </w:rPr>
        <w:t>European b</w:t>
      </w:r>
      <w:r w:rsidRPr="00F307E6" w:rsidR="00512341">
        <w:rPr>
          <w:rFonts w:ascii="Verdana" w:hAnsi="Verdana"/>
          <w:bCs/>
          <w:sz w:val="18"/>
          <w:szCs w:val="18"/>
          <w:lang w:val="en-US"/>
        </w:rPr>
        <w:t>anks play a pivotal role in advancing Europe’s broader economic objectives.</w:t>
      </w:r>
      <w:r w:rsidRPr="00F307E6" w:rsidR="00512341">
        <w:rPr>
          <w:rFonts w:ascii="Verdana" w:hAnsi="Verdana"/>
          <w:b/>
          <w:sz w:val="18"/>
          <w:szCs w:val="18"/>
          <w:lang w:val="en-US"/>
        </w:rPr>
        <w:t xml:space="preserve"> </w:t>
      </w:r>
      <w:r w:rsidRPr="00F307E6" w:rsidR="00512341">
        <w:rPr>
          <w:rFonts w:ascii="Verdana" w:hAnsi="Verdana"/>
          <w:bCs/>
          <w:sz w:val="18"/>
          <w:szCs w:val="18"/>
          <w:lang w:val="en-US"/>
        </w:rPr>
        <w:t xml:space="preserve">As an integral part of the financial system, they enable the financing of investment, innovation, and sustainable growth. </w:t>
      </w:r>
      <w:r w:rsidRPr="00483D6C">
        <w:rPr>
          <w:rFonts w:ascii="Verdana" w:hAnsi="Verdana"/>
          <w:bCs/>
          <w:sz w:val="18"/>
          <w:szCs w:val="18"/>
          <w:lang w:val="en-US"/>
        </w:rPr>
        <w:t xml:space="preserve">While it is key to </w:t>
      </w:r>
      <w:proofErr w:type="gramStart"/>
      <w:r w:rsidRPr="00483D6C">
        <w:rPr>
          <w:rFonts w:ascii="Verdana" w:hAnsi="Verdana"/>
          <w:bCs/>
          <w:sz w:val="18"/>
          <w:szCs w:val="18"/>
          <w:lang w:val="en-US"/>
        </w:rPr>
        <w:t>improve</w:t>
      </w:r>
      <w:proofErr w:type="gramEnd"/>
      <w:r w:rsidRPr="00483D6C" w:rsidR="00206A77">
        <w:rPr>
          <w:rFonts w:ascii="Verdana" w:hAnsi="Verdana"/>
          <w:bCs/>
          <w:sz w:val="18"/>
          <w:szCs w:val="18"/>
          <w:lang w:val="en-US"/>
        </w:rPr>
        <w:t xml:space="preserve"> the </w:t>
      </w:r>
      <w:r w:rsidRPr="00483D6C" w:rsidR="00CF0678">
        <w:rPr>
          <w:rFonts w:ascii="Verdana" w:hAnsi="Verdana"/>
          <w:bCs/>
          <w:sz w:val="18"/>
          <w:szCs w:val="18"/>
          <w:lang w:val="en-US"/>
        </w:rPr>
        <w:t xml:space="preserve">role </w:t>
      </w:r>
      <w:r w:rsidRPr="00483D6C" w:rsidR="00206A77">
        <w:rPr>
          <w:rFonts w:ascii="Verdana" w:hAnsi="Verdana"/>
          <w:bCs/>
          <w:sz w:val="18"/>
          <w:szCs w:val="18"/>
          <w:lang w:val="en-US"/>
        </w:rPr>
        <w:t xml:space="preserve">of </w:t>
      </w:r>
      <w:r w:rsidRPr="00483D6C" w:rsidR="00CF0678">
        <w:rPr>
          <w:rFonts w:ascii="Verdana" w:hAnsi="Verdana"/>
          <w:bCs/>
          <w:sz w:val="18"/>
          <w:szCs w:val="18"/>
          <w:lang w:val="en-US"/>
        </w:rPr>
        <w:t xml:space="preserve">non-bank </w:t>
      </w:r>
      <w:r w:rsidRPr="00483D6C" w:rsidR="00206A77">
        <w:rPr>
          <w:rFonts w:ascii="Verdana" w:hAnsi="Verdana"/>
          <w:bCs/>
          <w:sz w:val="18"/>
          <w:szCs w:val="18"/>
          <w:lang w:val="en-US"/>
        </w:rPr>
        <w:t>ris</w:t>
      </w:r>
      <w:r w:rsidRPr="00483D6C" w:rsidR="00CF0678">
        <w:rPr>
          <w:rFonts w:ascii="Verdana" w:hAnsi="Verdana"/>
          <w:bCs/>
          <w:sz w:val="18"/>
          <w:szCs w:val="18"/>
          <w:lang w:val="en-US"/>
        </w:rPr>
        <w:t>k</w:t>
      </w:r>
      <w:r w:rsidRPr="00483D6C" w:rsidR="00206A77">
        <w:rPr>
          <w:rFonts w:ascii="Verdana" w:hAnsi="Verdana"/>
          <w:bCs/>
          <w:sz w:val="18"/>
          <w:szCs w:val="18"/>
          <w:lang w:val="en-US"/>
        </w:rPr>
        <w:t xml:space="preserve"> capital as part of the Savings and Investment Union agenda, </w:t>
      </w:r>
      <w:r w:rsidRPr="00483D6C">
        <w:rPr>
          <w:rFonts w:ascii="Verdana" w:hAnsi="Verdana"/>
          <w:bCs/>
          <w:sz w:val="18"/>
          <w:szCs w:val="18"/>
          <w:lang w:val="en-US"/>
        </w:rPr>
        <w:t xml:space="preserve">European </w:t>
      </w:r>
      <w:r w:rsidRPr="00483D6C" w:rsidR="00206A77">
        <w:rPr>
          <w:rFonts w:ascii="Verdana" w:hAnsi="Verdana"/>
          <w:bCs/>
          <w:sz w:val="18"/>
          <w:szCs w:val="18"/>
          <w:lang w:val="en-US"/>
        </w:rPr>
        <w:t>banks will continue to</w:t>
      </w:r>
      <w:r w:rsidRPr="00483D6C" w:rsidR="005D156F">
        <w:rPr>
          <w:rFonts w:ascii="Verdana" w:hAnsi="Verdana"/>
          <w:bCs/>
          <w:sz w:val="18"/>
          <w:szCs w:val="18"/>
          <w:lang w:val="en-US"/>
        </w:rPr>
        <w:t xml:space="preserve"> be crucial for the European economy.</w:t>
      </w:r>
      <w:r w:rsidRPr="00483D6C" w:rsidR="00206A77">
        <w:rPr>
          <w:rFonts w:ascii="Verdana" w:hAnsi="Verdana"/>
          <w:bCs/>
          <w:sz w:val="18"/>
          <w:szCs w:val="18"/>
          <w:lang w:val="en-US"/>
        </w:rPr>
        <w:t xml:space="preserve"> </w:t>
      </w:r>
      <w:r w:rsidRPr="00F307E6" w:rsidR="00512341">
        <w:rPr>
          <w:rFonts w:ascii="Verdana" w:hAnsi="Verdana"/>
          <w:bCs/>
          <w:sz w:val="18"/>
          <w:szCs w:val="18"/>
          <w:lang w:val="en-US"/>
        </w:rPr>
        <w:t xml:space="preserve">To continue fulfilling this role in an evolving environment, </w:t>
      </w:r>
      <w:r w:rsidRPr="00483D6C">
        <w:rPr>
          <w:rFonts w:ascii="Verdana" w:hAnsi="Verdana"/>
          <w:bCs/>
          <w:sz w:val="18"/>
          <w:szCs w:val="18"/>
          <w:lang w:val="en-US"/>
        </w:rPr>
        <w:t xml:space="preserve">European </w:t>
      </w:r>
      <w:r w:rsidRPr="00F307E6" w:rsidR="00512341">
        <w:rPr>
          <w:rFonts w:ascii="Verdana" w:hAnsi="Verdana"/>
          <w:bCs/>
          <w:sz w:val="18"/>
          <w:szCs w:val="18"/>
          <w:lang w:val="en-US"/>
        </w:rPr>
        <w:t>banks must take proactive steps to strengthen the resilience and competitiveness of their business models by reducing structural costs, accelerating</w:t>
      </w:r>
      <w:r w:rsidRPr="00483D6C" w:rsidR="004C77DA">
        <w:rPr>
          <w:rFonts w:ascii="Verdana" w:hAnsi="Verdana"/>
          <w:bCs/>
          <w:sz w:val="18"/>
          <w:szCs w:val="18"/>
          <w:lang w:val="en-US"/>
        </w:rPr>
        <w:t xml:space="preserve"> the</w:t>
      </w:r>
      <w:r w:rsidRPr="00F307E6" w:rsidR="00512341">
        <w:rPr>
          <w:rFonts w:ascii="Verdana" w:hAnsi="Verdana"/>
          <w:bCs/>
          <w:sz w:val="18"/>
          <w:szCs w:val="18"/>
          <w:lang w:val="en-US"/>
        </w:rPr>
        <w:t xml:space="preserve"> digital transformation, and fostering product and service innovation. These efforts should be supported by a coherent, forward</w:t>
      </w:r>
      <w:r w:rsidRPr="00F307E6" w:rsidR="00512341">
        <w:rPr>
          <w:rFonts w:ascii="Cambria Math" w:hAnsi="Cambria Math" w:cs="Cambria Math"/>
          <w:bCs/>
          <w:sz w:val="18"/>
          <w:szCs w:val="18"/>
          <w:lang w:val="en-US"/>
        </w:rPr>
        <w:t>‑</w:t>
      </w:r>
      <w:r w:rsidRPr="00F307E6" w:rsidR="00512341">
        <w:rPr>
          <w:rFonts w:ascii="Verdana" w:hAnsi="Verdana"/>
          <w:bCs/>
          <w:sz w:val="18"/>
          <w:szCs w:val="18"/>
          <w:lang w:val="en-US"/>
        </w:rPr>
        <w:t>looking policy framework that enables institutions to adapt and compete effectively.</w:t>
      </w:r>
    </w:p>
    <w:p w:rsidRPr="0001707D" w:rsidR="006B46E4" w:rsidP="00203D02" w:rsidRDefault="00203D02" w14:paraId="160E6C0A" w14:textId="428610BC">
      <w:pPr>
        <w:rPr>
          <w:rFonts w:ascii="Verdana" w:hAnsi="Verdana"/>
          <w:sz w:val="18"/>
          <w:szCs w:val="18"/>
          <w:lang w:val="en-GB"/>
        </w:rPr>
      </w:pPr>
      <w:r w:rsidRPr="0001707D">
        <w:rPr>
          <w:rFonts w:ascii="Verdana" w:hAnsi="Verdana"/>
          <w:sz w:val="18"/>
          <w:szCs w:val="18"/>
          <w:lang w:val="en-GB"/>
        </w:rPr>
        <w:t>While th</w:t>
      </w:r>
      <w:r w:rsidRPr="00E1381C">
        <w:rPr>
          <w:rFonts w:ascii="Verdana" w:hAnsi="Verdana"/>
          <w:sz w:val="18"/>
          <w:szCs w:val="18"/>
          <w:lang w:val="en-GB"/>
        </w:rPr>
        <w:t xml:space="preserve">e </w:t>
      </w:r>
      <w:r w:rsidRPr="00E1381C" w:rsidR="00FC2A20">
        <w:rPr>
          <w:rFonts w:ascii="Verdana" w:hAnsi="Verdana"/>
          <w:sz w:val="18"/>
          <w:szCs w:val="18"/>
          <w:lang w:val="en-GB"/>
        </w:rPr>
        <w:t xml:space="preserve">increased requirements in the </w:t>
      </w:r>
      <w:r w:rsidRPr="00E1381C">
        <w:rPr>
          <w:rFonts w:ascii="Verdana" w:hAnsi="Verdana"/>
          <w:sz w:val="18"/>
          <w:szCs w:val="18"/>
          <w:lang w:val="en-GB"/>
        </w:rPr>
        <w:t>European banking framework ha</w:t>
      </w:r>
      <w:r w:rsidRPr="00E1381C" w:rsidR="00FC2A20">
        <w:rPr>
          <w:rFonts w:ascii="Verdana" w:hAnsi="Verdana"/>
          <w:sz w:val="18"/>
          <w:szCs w:val="18"/>
          <w:lang w:val="en-GB"/>
        </w:rPr>
        <w:t>ve</w:t>
      </w:r>
      <w:r w:rsidRPr="00E1381C">
        <w:rPr>
          <w:rFonts w:ascii="Verdana" w:hAnsi="Verdana"/>
          <w:sz w:val="18"/>
          <w:szCs w:val="18"/>
          <w:lang w:val="en-GB"/>
        </w:rPr>
        <w:t xml:space="preserve"> contributed to financial stability for the European economy</w:t>
      </w:r>
      <w:r w:rsidRPr="00E1381C" w:rsidR="00205BE9">
        <w:rPr>
          <w:rFonts w:ascii="Verdana" w:hAnsi="Verdana"/>
          <w:sz w:val="18"/>
          <w:szCs w:val="18"/>
          <w:lang w:val="en-GB"/>
        </w:rPr>
        <w:t xml:space="preserve">, </w:t>
      </w:r>
      <w:r w:rsidRPr="00E1381C" w:rsidR="00DB3560">
        <w:rPr>
          <w:rFonts w:ascii="Verdana" w:hAnsi="Verdana"/>
          <w:sz w:val="18"/>
          <w:szCs w:val="18"/>
          <w:lang w:val="en-GB"/>
        </w:rPr>
        <w:t>they have also made the framework</w:t>
      </w:r>
      <w:r w:rsidR="00A47880">
        <w:rPr>
          <w:rFonts w:ascii="Verdana" w:hAnsi="Verdana"/>
          <w:sz w:val="18"/>
          <w:szCs w:val="18"/>
          <w:lang w:val="en-GB"/>
        </w:rPr>
        <w:t xml:space="preserve"> complex. Meanwhile, </w:t>
      </w:r>
      <w:r w:rsidRPr="0001707D">
        <w:rPr>
          <w:rFonts w:ascii="Verdana" w:hAnsi="Verdana"/>
          <w:sz w:val="18"/>
          <w:szCs w:val="18"/>
          <w:lang w:val="en-GB"/>
        </w:rPr>
        <w:t xml:space="preserve">the European banking sector remains disproportionately fragmented. The </w:t>
      </w:r>
      <w:r w:rsidR="00A47880">
        <w:rPr>
          <w:rFonts w:ascii="Verdana" w:hAnsi="Verdana"/>
          <w:sz w:val="18"/>
          <w:szCs w:val="18"/>
          <w:lang w:val="en-GB"/>
        </w:rPr>
        <w:t xml:space="preserve">seminal </w:t>
      </w:r>
      <w:r w:rsidRPr="0001707D">
        <w:rPr>
          <w:rFonts w:ascii="Verdana" w:hAnsi="Verdana"/>
          <w:sz w:val="18"/>
          <w:szCs w:val="18"/>
          <w:lang w:val="en-GB"/>
        </w:rPr>
        <w:t>reports by Draghi and Letta emphasise the necessity for reform, aimed at simplifying the framework and</w:t>
      </w:r>
      <w:r w:rsidR="00A47880">
        <w:rPr>
          <w:rFonts w:ascii="Verdana" w:hAnsi="Verdana"/>
          <w:sz w:val="18"/>
          <w:szCs w:val="18"/>
          <w:lang w:val="en-GB"/>
        </w:rPr>
        <w:t xml:space="preserve"> </w:t>
      </w:r>
      <w:r w:rsidRPr="0001707D">
        <w:rPr>
          <w:rFonts w:ascii="Verdana" w:hAnsi="Verdana"/>
          <w:sz w:val="18"/>
          <w:szCs w:val="18"/>
          <w:lang w:val="en-GB"/>
        </w:rPr>
        <w:t>increasing both internal competition and international competitiveness</w:t>
      </w:r>
      <w:r w:rsidR="00A47880">
        <w:rPr>
          <w:rFonts w:ascii="Verdana" w:hAnsi="Verdana"/>
          <w:sz w:val="18"/>
          <w:szCs w:val="18"/>
          <w:lang w:val="en-GB"/>
        </w:rPr>
        <w:t xml:space="preserve">. Ambitious proposals should address undue complexity and fragmentation in </w:t>
      </w:r>
      <w:r w:rsidRPr="0001707D" w:rsidR="0041636C">
        <w:rPr>
          <w:rFonts w:ascii="Verdana" w:hAnsi="Verdana"/>
          <w:sz w:val="18"/>
          <w:szCs w:val="18"/>
          <w:lang w:val="en-GB"/>
        </w:rPr>
        <w:t>the internal market</w:t>
      </w:r>
      <w:r w:rsidRPr="0001707D">
        <w:rPr>
          <w:rFonts w:ascii="Verdana" w:hAnsi="Verdana"/>
          <w:sz w:val="18"/>
          <w:szCs w:val="18"/>
          <w:lang w:val="en-GB"/>
        </w:rPr>
        <w:t xml:space="preserve">.  </w:t>
      </w:r>
    </w:p>
    <w:p w:rsidRPr="00483D6C" w:rsidR="00483D6C" w:rsidP="00483D6C" w:rsidRDefault="00A47880" w14:paraId="672F2A2C" w14:textId="77777777">
      <w:pPr>
        <w:pStyle w:val="Lijstalinea"/>
        <w:numPr>
          <w:ilvl w:val="0"/>
          <w:numId w:val="11"/>
        </w:numPr>
        <w:rPr>
          <w:rFonts w:ascii="Verdana" w:hAnsi="Verdana"/>
          <w:sz w:val="18"/>
          <w:szCs w:val="18"/>
          <w:lang w:val="en-GB"/>
        </w:rPr>
      </w:pPr>
      <w:r w:rsidRPr="00483D6C">
        <w:rPr>
          <w:rFonts w:ascii="Verdana" w:hAnsi="Verdana"/>
          <w:i/>
          <w:iCs/>
          <w:sz w:val="18"/>
          <w:szCs w:val="18"/>
          <w:lang w:val="en-GB"/>
        </w:rPr>
        <w:t>Proposals to strengthen the single market and simplify the framewor</w:t>
      </w:r>
      <w:r w:rsidR="00483D6C">
        <w:rPr>
          <w:rFonts w:ascii="Verdana" w:hAnsi="Verdana"/>
          <w:i/>
          <w:iCs/>
          <w:sz w:val="18"/>
          <w:szCs w:val="18"/>
          <w:lang w:val="en-GB"/>
        </w:rPr>
        <w:t>k</w:t>
      </w:r>
    </w:p>
    <w:p w:rsidRPr="00483D6C" w:rsidR="00323CC6" w:rsidP="00483D6C" w:rsidRDefault="000E0B94" w14:paraId="2009B789" w14:textId="0AAE98F8">
      <w:pPr>
        <w:rPr>
          <w:rFonts w:ascii="Verdana" w:hAnsi="Verdana"/>
          <w:sz w:val="18"/>
          <w:szCs w:val="18"/>
          <w:lang w:val="en-GB"/>
        </w:rPr>
      </w:pPr>
      <w:r w:rsidRPr="00483D6C">
        <w:rPr>
          <w:rFonts w:ascii="Verdana" w:hAnsi="Verdana"/>
          <w:sz w:val="18"/>
          <w:szCs w:val="18"/>
          <w:lang w:val="en-GB"/>
        </w:rPr>
        <w:t xml:space="preserve">In this consultation response, the Ministry of Finance and DNB put </w:t>
      </w:r>
      <w:r w:rsidRPr="00483D6C" w:rsidR="004C77DA">
        <w:rPr>
          <w:rFonts w:ascii="Verdana" w:hAnsi="Verdana"/>
          <w:sz w:val="18"/>
          <w:szCs w:val="18"/>
          <w:lang w:val="en-GB"/>
        </w:rPr>
        <w:t>forward</w:t>
      </w:r>
      <w:r w:rsidRPr="00483D6C">
        <w:rPr>
          <w:rFonts w:ascii="Verdana" w:hAnsi="Verdana"/>
          <w:sz w:val="18"/>
          <w:szCs w:val="18"/>
          <w:lang w:val="en-GB"/>
        </w:rPr>
        <w:t xml:space="preserve"> concrete </w:t>
      </w:r>
      <w:r w:rsidRPr="00483D6C" w:rsidR="004C6859">
        <w:rPr>
          <w:rFonts w:ascii="Verdana" w:hAnsi="Verdana"/>
          <w:sz w:val="18"/>
          <w:szCs w:val="18"/>
          <w:lang w:val="en-GB"/>
        </w:rPr>
        <w:t xml:space="preserve">policy proposals </w:t>
      </w:r>
      <w:r w:rsidRPr="00483D6C" w:rsidR="00E91C77">
        <w:rPr>
          <w:rFonts w:ascii="Verdana" w:hAnsi="Verdana"/>
          <w:sz w:val="18"/>
          <w:szCs w:val="18"/>
          <w:lang w:val="en-GB"/>
        </w:rPr>
        <w:t xml:space="preserve">for further improving the competitiveness of the banking sector </w:t>
      </w:r>
      <w:proofErr w:type="gramStart"/>
      <w:r w:rsidRPr="00483D6C" w:rsidR="00E91C77">
        <w:rPr>
          <w:rFonts w:ascii="Verdana" w:hAnsi="Verdana"/>
          <w:sz w:val="18"/>
          <w:szCs w:val="18"/>
          <w:lang w:val="en-GB"/>
        </w:rPr>
        <w:t>through:</w:t>
      </w:r>
      <w:proofErr w:type="gramEnd"/>
      <w:r w:rsidRPr="00483D6C" w:rsidR="00E91C77">
        <w:rPr>
          <w:rFonts w:ascii="Verdana" w:hAnsi="Verdana"/>
          <w:sz w:val="18"/>
          <w:szCs w:val="18"/>
          <w:lang w:val="en-GB"/>
        </w:rPr>
        <w:t xml:space="preserve"> </w:t>
      </w:r>
      <w:proofErr w:type="spellStart"/>
      <w:r w:rsidRPr="00483D6C" w:rsidR="00E91C77">
        <w:rPr>
          <w:rFonts w:ascii="Verdana" w:hAnsi="Verdana"/>
          <w:sz w:val="18"/>
          <w:szCs w:val="18"/>
          <w:lang w:val="en-GB"/>
        </w:rPr>
        <w:t>i</w:t>
      </w:r>
      <w:proofErr w:type="spellEnd"/>
      <w:r w:rsidRPr="00483D6C" w:rsidR="00E91C77">
        <w:rPr>
          <w:rFonts w:ascii="Verdana" w:hAnsi="Verdana"/>
          <w:sz w:val="18"/>
          <w:szCs w:val="18"/>
          <w:lang w:val="en-GB"/>
        </w:rPr>
        <w:t>) strengthening the single market in banking; and ii) simplifying and harmonising the regulatory framework where possible.</w:t>
      </w:r>
      <w:r w:rsidRPr="00483D6C" w:rsidR="0061170D">
        <w:rPr>
          <w:rFonts w:ascii="Verdana" w:hAnsi="Verdana"/>
          <w:sz w:val="18"/>
          <w:szCs w:val="18"/>
          <w:lang w:val="en-GB"/>
        </w:rPr>
        <w:t xml:space="preserve"> </w:t>
      </w:r>
      <w:r w:rsidRPr="00483D6C" w:rsidR="007C1AE7">
        <w:rPr>
          <w:rFonts w:ascii="Verdana" w:hAnsi="Verdana"/>
          <w:sz w:val="18"/>
          <w:szCs w:val="18"/>
          <w:lang w:val="en-GB"/>
        </w:rPr>
        <w:t xml:space="preserve">Guiding principles towards ambitious reforms should be the commitment to international standards and financial stability, fostering an internal and international level-playing field and maximizing harmonization and consistency. </w:t>
      </w:r>
      <w:r w:rsidRPr="00483D6C" w:rsidR="0061170D">
        <w:rPr>
          <w:rFonts w:ascii="Verdana" w:hAnsi="Verdana"/>
          <w:sz w:val="18"/>
          <w:szCs w:val="18"/>
          <w:lang w:val="en-GB"/>
        </w:rPr>
        <w:t xml:space="preserve">These reforms, if adopted, should </w:t>
      </w:r>
      <w:r w:rsidRPr="00483D6C" w:rsidR="000F2C70">
        <w:rPr>
          <w:rFonts w:ascii="Verdana" w:hAnsi="Verdana"/>
          <w:sz w:val="18"/>
          <w:szCs w:val="18"/>
          <w:lang w:val="en-GB"/>
        </w:rPr>
        <w:t xml:space="preserve">contribute </w:t>
      </w:r>
      <w:r w:rsidRPr="00483D6C" w:rsidR="00F21F39">
        <w:rPr>
          <w:rFonts w:ascii="Verdana" w:hAnsi="Verdana"/>
          <w:sz w:val="18"/>
          <w:szCs w:val="18"/>
          <w:lang w:val="en-GB"/>
        </w:rPr>
        <w:t>to the sector’s performance, functioning and stability</w:t>
      </w:r>
      <w:r w:rsidRPr="00483D6C" w:rsidR="009E6560">
        <w:rPr>
          <w:rFonts w:ascii="Verdana" w:hAnsi="Verdana"/>
          <w:sz w:val="18"/>
          <w:szCs w:val="18"/>
          <w:lang w:val="en-GB"/>
        </w:rPr>
        <w:t xml:space="preserve"> which already improved significantly in recent years. </w:t>
      </w:r>
    </w:p>
    <w:p w:rsidRPr="0001707D" w:rsidR="00D9241F" w:rsidP="00203D02" w:rsidRDefault="009E6560" w14:paraId="1E210BE9" w14:textId="1667A13F">
      <w:pPr>
        <w:rPr>
          <w:rFonts w:ascii="Verdana" w:hAnsi="Verdana"/>
          <w:sz w:val="18"/>
          <w:szCs w:val="18"/>
          <w:lang w:val="en-GB"/>
        </w:rPr>
      </w:pPr>
      <w:r w:rsidRPr="0001707D">
        <w:rPr>
          <w:rFonts w:ascii="Verdana" w:hAnsi="Verdana"/>
          <w:sz w:val="18"/>
          <w:szCs w:val="18"/>
          <w:lang w:val="en-GB"/>
        </w:rPr>
        <w:t xml:space="preserve">The main </w:t>
      </w:r>
      <w:r w:rsidRPr="0001707D" w:rsidR="00DF2965">
        <w:rPr>
          <w:rFonts w:ascii="Verdana" w:hAnsi="Verdana"/>
          <w:sz w:val="18"/>
          <w:szCs w:val="18"/>
          <w:lang w:val="en-GB"/>
        </w:rPr>
        <w:t xml:space="preserve">proposals </w:t>
      </w:r>
      <w:r w:rsidRPr="0001707D" w:rsidR="00616A63">
        <w:rPr>
          <w:rFonts w:ascii="Verdana" w:hAnsi="Verdana"/>
          <w:sz w:val="18"/>
          <w:szCs w:val="18"/>
          <w:lang w:val="en-GB"/>
        </w:rPr>
        <w:t xml:space="preserve">benefiting banks’ competitiveness put forward in the response </w:t>
      </w:r>
      <w:r w:rsidR="004C77DA">
        <w:rPr>
          <w:rFonts w:ascii="Verdana" w:hAnsi="Verdana"/>
          <w:sz w:val="18"/>
          <w:szCs w:val="18"/>
          <w:lang w:val="en-GB"/>
        </w:rPr>
        <w:t>aim to</w:t>
      </w:r>
      <w:r w:rsidRPr="0001707D" w:rsidR="00DF2965">
        <w:rPr>
          <w:rFonts w:ascii="Verdana" w:hAnsi="Verdana"/>
          <w:sz w:val="18"/>
          <w:szCs w:val="18"/>
          <w:lang w:val="en-GB"/>
        </w:rPr>
        <w:t>:</w:t>
      </w:r>
    </w:p>
    <w:p w:rsidRPr="00F307E6" w:rsidR="00C921A7" w:rsidP="003A1E00" w:rsidRDefault="009D2617" w14:paraId="5C28B717" w14:textId="351E6E99">
      <w:pPr>
        <w:pStyle w:val="Lijstalinea"/>
        <w:numPr>
          <w:ilvl w:val="0"/>
          <w:numId w:val="8"/>
        </w:numPr>
        <w:rPr>
          <w:rFonts w:ascii="Verdana" w:hAnsi="Verdana"/>
          <w:sz w:val="18"/>
          <w:szCs w:val="18"/>
          <w:lang w:val="en-GB"/>
        </w:rPr>
      </w:pPr>
      <w:r w:rsidRPr="00F307E6">
        <w:rPr>
          <w:rFonts w:ascii="Verdana" w:hAnsi="Verdana"/>
          <w:b/>
          <w:bCs/>
          <w:sz w:val="18"/>
          <w:szCs w:val="18"/>
          <w:lang w:val="en-GB"/>
        </w:rPr>
        <w:t>Strengthen the internal market for banking by completing the Banking Union.</w:t>
      </w:r>
      <w:r w:rsidRPr="00F307E6">
        <w:rPr>
          <w:rFonts w:ascii="Verdana" w:hAnsi="Verdana"/>
          <w:sz w:val="18"/>
          <w:szCs w:val="18"/>
          <w:lang w:val="en-GB"/>
        </w:rPr>
        <w:t xml:space="preserve"> We </w:t>
      </w:r>
      <w:r w:rsidRPr="00F307E6" w:rsidR="006823ED">
        <w:rPr>
          <w:rFonts w:ascii="Verdana" w:hAnsi="Verdana"/>
          <w:sz w:val="18"/>
          <w:szCs w:val="18"/>
          <w:lang w:val="en-GB"/>
        </w:rPr>
        <w:t xml:space="preserve">propose concrete steps </w:t>
      </w:r>
      <w:r w:rsidR="004C77DA">
        <w:rPr>
          <w:rFonts w:ascii="Verdana" w:hAnsi="Verdana"/>
          <w:sz w:val="18"/>
          <w:szCs w:val="18"/>
          <w:lang w:val="en-GB"/>
        </w:rPr>
        <w:t xml:space="preserve">to </w:t>
      </w:r>
      <w:r w:rsidR="00B01D3F">
        <w:rPr>
          <w:rFonts w:ascii="Verdana" w:hAnsi="Verdana"/>
          <w:sz w:val="18"/>
          <w:szCs w:val="18"/>
          <w:lang w:val="en-GB"/>
        </w:rPr>
        <w:t>reduce barriers in cross-border</w:t>
      </w:r>
      <w:r w:rsidR="0028271B">
        <w:rPr>
          <w:rFonts w:ascii="Verdana" w:hAnsi="Verdana"/>
          <w:sz w:val="18"/>
          <w:szCs w:val="18"/>
          <w:lang w:val="en-GB"/>
        </w:rPr>
        <w:t xml:space="preserve"> banking (including M&amp;A) processes</w:t>
      </w:r>
      <w:r w:rsidR="006C2E7B">
        <w:rPr>
          <w:rFonts w:ascii="Verdana" w:hAnsi="Verdana"/>
          <w:sz w:val="18"/>
          <w:szCs w:val="18"/>
          <w:lang w:val="en-GB"/>
        </w:rPr>
        <w:t xml:space="preserve">, conditionally </w:t>
      </w:r>
      <w:r w:rsidR="004C77DA">
        <w:rPr>
          <w:rFonts w:ascii="Verdana" w:hAnsi="Verdana"/>
          <w:sz w:val="18"/>
          <w:szCs w:val="18"/>
          <w:lang w:val="en-GB"/>
        </w:rPr>
        <w:t xml:space="preserve">move </w:t>
      </w:r>
      <w:r w:rsidRPr="00F307E6" w:rsidR="006823ED">
        <w:rPr>
          <w:rFonts w:ascii="Verdana" w:hAnsi="Verdana"/>
          <w:sz w:val="18"/>
          <w:szCs w:val="18"/>
          <w:lang w:val="en-GB"/>
        </w:rPr>
        <w:t>towards a functioning European Deposit Insurance Fund</w:t>
      </w:r>
      <w:r w:rsidRPr="00F307E6" w:rsidR="00166B94">
        <w:rPr>
          <w:rFonts w:ascii="Verdana" w:hAnsi="Verdana"/>
          <w:sz w:val="18"/>
          <w:szCs w:val="18"/>
          <w:lang w:val="en-GB"/>
        </w:rPr>
        <w:t xml:space="preserve">, </w:t>
      </w:r>
      <w:r w:rsidRPr="00F307E6" w:rsidR="00716BC9">
        <w:rPr>
          <w:rFonts w:ascii="Verdana" w:hAnsi="Verdana"/>
          <w:sz w:val="18"/>
          <w:szCs w:val="18"/>
          <w:lang w:val="en-GB"/>
        </w:rPr>
        <w:t xml:space="preserve">and </w:t>
      </w:r>
      <w:r w:rsidR="004C77DA">
        <w:rPr>
          <w:rFonts w:ascii="Verdana" w:hAnsi="Verdana"/>
          <w:sz w:val="18"/>
          <w:szCs w:val="18"/>
          <w:lang w:val="en-GB"/>
        </w:rPr>
        <w:t xml:space="preserve">to </w:t>
      </w:r>
      <w:r w:rsidRPr="00F307E6" w:rsidR="001A0332">
        <w:rPr>
          <w:rFonts w:ascii="Verdana" w:hAnsi="Verdana"/>
          <w:sz w:val="18"/>
          <w:szCs w:val="18"/>
          <w:lang w:val="en-GB"/>
        </w:rPr>
        <w:t xml:space="preserve">create a </w:t>
      </w:r>
      <w:r w:rsidRPr="00F307E6" w:rsidR="00716BC9">
        <w:rPr>
          <w:rFonts w:ascii="Verdana" w:hAnsi="Verdana"/>
          <w:sz w:val="18"/>
          <w:szCs w:val="18"/>
          <w:lang w:val="en-GB"/>
        </w:rPr>
        <w:t>European mechanism ensuring the provision of liquidity in resolution</w:t>
      </w:r>
      <w:r w:rsidRPr="00F307E6" w:rsidR="001A0332">
        <w:rPr>
          <w:rFonts w:ascii="Verdana" w:hAnsi="Verdana"/>
          <w:sz w:val="18"/>
          <w:szCs w:val="18"/>
          <w:lang w:val="en-GB"/>
        </w:rPr>
        <w:t>.</w:t>
      </w:r>
      <w:r w:rsidR="001C0EE5">
        <w:rPr>
          <w:rFonts w:ascii="Verdana" w:hAnsi="Verdana"/>
          <w:sz w:val="18"/>
          <w:szCs w:val="18"/>
          <w:lang w:val="en-GB"/>
        </w:rPr>
        <w:t xml:space="preserve"> With regards to an EDIS, steps towards further risk integration should go hand in hand with risk reduction. </w:t>
      </w:r>
      <w:r w:rsidR="00D270FA">
        <w:rPr>
          <w:rFonts w:ascii="Verdana" w:hAnsi="Verdana"/>
          <w:sz w:val="18"/>
          <w:szCs w:val="18"/>
          <w:lang w:val="en-GB"/>
        </w:rPr>
        <w:t xml:space="preserve">More fundamentally, key structural barriers to a well-functioning internal market, such as divergences in corporate, insolvency and securities law, should be adequately addressed. </w:t>
      </w:r>
    </w:p>
    <w:p w:rsidRPr="0001707D" w:rsidR="00FF2BB0" w:rsidP="003A1E00" w:rsidRDefault="00DC004E" w14:paraId="615E885C" w14:textId="70C39AD0">
      <w:pPr>
        <w:pStyle w:val="Lijstalinea"/>
        <w:numPr>
          <w:ilvl w:val="0"/>
          <w:numId w:val="8"/>
        </w:numPr>
        <w:rPr>
          <w:rFonts w:ascii="Verdana" w:hAnsi="Verdana"/>
          <w:color w:val="FF0000"/>
          <w:sz w:val="18"/>
          <w:szCs w:val="18"/>
          <w:lang w:val="en-GB"/>
        </w:rPr>
      </w:pPr>
      <w:r w:rsidRPr="0001707D">
        <w:rPr>
          <w:rFonts w:ascii="Verdana" w:hAnsi="Verdana"/>
          <w:b/>
          <w:bCs/>
          <w:sz w:val="18"/>
          <w:szCs w:val="18"/>
          <w:lang w:val="en-GB"/>
        </w:rPr>
        <w:t xml:space="preserve">Improve </w:t>
      </w:r>
      <w:r w:rsidRPr="0001707D" w:rsidR="0020423E">
        <w:rPr>
          <w:rFonts w:ascii="Verdana" w:hAnsi="Verdana"/>
          <w:b/>
          <w:bCs/>
          <w:sz w:val="18"/>
          <w:szCs w:val="18"/>
          <w:lang w:val="en-GB"/>
        </w:rPr>
        <w:t>banks’</w:t>
      </w:r>
      <w:r w:rsidRPr="0001707D" w:rsidR="00C921A7">
        <w:rPr>
          <w:rFonts w:ascii="Verdana" w:hAnsi="Verdana"/>
          <w:b/>
          <w:bCs/>
          <w:sz w:val="18"/>
          <w:szCs w:val="18"/>
          <w:lang w:val="en-GB"/>
        </w:rPr>
        <w:t xml:space="preserve"> efficient use of liquidity and capital across borders. </w:t>
      </w:r>
      <w:r w:rsidRPr="00F307E6" w:rsidR="00C921A7">
        <w:rPr>
          <w:rFonts w:ascii="Verdana" w:hAnsi="Verdana"/>
          <w:sz w:val="18"/>
          <w:szCs w:val="18"/>
          <w:lang w:val="en-GB"/>
        </w:rPr>
        <w:t>T</w:t>
      </w:r>
      <w:r w:rsidRPr="00F307E6">
        <w:rPr>
          <w:rFonts w:ascii="Verdana" w:hAnsi="Verdana"/>
          <w:sz w:val="18"/>
          <w:szCs w:val="18"/>
          <w:lang w:val="en-GB"/>
        </w:rPr>
        <w:t xml:space="preserve">he usability of cross-border liquidity waivers </w:t>
      </w:r>
      <w:r w:rsidRPr="0001707D" w:rsidR="00C921A7">
        <w:rPr>
          <w:rFonts w:ascii="Verdana" w:hAnsi="Verdana"/>
          <w:sz w:val="18"/>
          <w:szCs w:val="18"/>
          <w:lang w:val="en-GB"/>
        </w:rPr>
        <w:t xml:space="preserve">should be improved </w:t>
      </w:r>
      <w:r w:rsidRPr="00F307E6">
        <w:rPr>
          <w:rFonts w:ascii="Verdana" w:hAnsi="Verdana"/>
          <w:sz w:val="18"/>
          <w:szCs w:val="18"/>
          <w:lang w:val="en-GB"/>
        </w:rPr>
        <w:t>and partial cross-border capital waivers</w:t>
      </w:r>
      <w:r w:rsidRPr="0001707D" w:rsidR="00C921A7">
        <w:rPr>
          <w:rFonts w:ascii="Verdana" w:hAnsi="Verdana"/>
          <w:sz w:val="18"/>
          <w:szCs w:val="18"/>
          <w:lang w:val="en-GB"/>
        </w:rPr>
        <w:t xml:space="preserve"> allowed</w:t>
      </w:r>
      <w:r w:rsidRPr="00F307E6">
        <w:rPr>
          <w:rFonts w:ascii="Verdana" w:hAnsi="Verdana"/>
          <w:sz w:val="18"/>
          <w:szCs w:val="18"/>
          <w:lang w:val="en-GB"/>
        </w:rPr>
        <w:t xml:space="preserve">, with guarantees </w:t>
      </w:r>
      <w:r w:rsidR="00A50EE5">
        <w:rPr>
          <w:rFonts w:ascii="Verdana" w:hAnsi="Verdana"/>
          <w:sz w:val="18"/>
          <w:szCs w:val="18"/>
          <w:lang w:val="en-GB"/>
        </w:rPr>
        <w:t>to ensure</w:t>
      </w:r>
      <w:r w:rsidRPr="00F307E6">
        <w:rPr>
          <w:rFonts w:ascii="Verdana" w:hAnsi="Verdana"/>
          <w:sz w:val="18"/>
          <w:szCs w:val="18"/>
          <w:lang w:val="en-GB"/>
        </w:rPr>
        <w:t xml:space="preserve"> financial stability.</w:t>
      </w:r>
      <w:r w:rsidRPr="0001707D">
        <w:rPr>
          <w:rFonts w:ascii="Verdana" w:hAnsi="Verdana"/>
          <w:sz w:val="18"/>
          <w:szCs w:val="18"/>
          <w:lang w:val="en-GB"/>
        </w:rPr>
        <w:t xml:space="preserve"> Cross-border banks should be </w:t>
      </w:r>
      <w:r w:rsidRPr="0001707D" w:rsidR="00C44B45">
        <w:rPr>
          <w:rFonts w:ascii="Verdana" w:hAnsi="Verdana"/>
          <w:sz w:val="18"/>
          <w:szCs w:val="18"/>
          <w:lang w:val="en-GB"/>
        </w:rPr>
        <w:t xml:space="preserve">enabled to </w:t>
      </w:r>
      <w:r w:rsidR="00A50EE5">
        <w:rPr>
          <w:rFonts w:ascii="Verdana" w:hAnsi="Verdana"/>
          <w:sz w:val="18"/>
          <w:szCs w:val="18"/>
          <w:lang w:val="en-GB"/>
        </w:rPr>
        <w:t>use</w:t>
      </w:r>
      <w:r w:rsidRPr="0001707D">
        <w:rPr>
          <w:rFonts w:ascii="Verdana" w:hAnsi="Verdana"/>
          <w:sz w:val="18"/>
          <w:szCs w:val="18"/>
          <w:lang w:val="en-GB"/>
        </w:rPr>
        <w:t xml:space="preserve"> liquidity, </w:t>
      </w:r>
      <w:proofErr w:type="gramStart"/>
      <w:r w:rsidRPr="0001707D">
        <w:rPr>
          <w:rFonts w:ascii="Verdana" w:hAnsi="Verdana"/>
          <w:sz w:val="18"/>
          <w:szCs w:val="18"/>
          <w:lang w:val="en-GB"/>
        </w:rPr>
        <w:t>so as to</w:t>
      </w:r>
      <w:proofErr w:type="gramEnd"/>
      <w:r w:rsidRPr="0001707D">
        <w:rPr>
          <w:rFonts w:ascii="Verdana" w:hAnsi="Verdana"/>
          <w:sz w:val="18"/>
          <w:szCs w:val="18"/>
          <w:lang w:val="en-GB"/>
        </w:rPr>
        <w:t xml:space="preserve"> increase the efficiency of their liquidity management across the euro area.</w:t>
      </w:r>
      <w:r w:rsidRPr="0001707D" w:rsidR="00C44B45">
        <w:rPr>
          <w:rFonts w:ascii="Verdana" w:hAnsi="Verdana"/>
          <w:sz w:val="18"/>
          <w:szCs w:val="18"/>
          <w:lang w:val="en-GB"/>
        </w:rPr>
        <w:t xml:space="preserve"> </w:t>
      </w:r>
      <w:r w:rsidR="005901F3">
        <w:rPr>
          <w:rFonts w:ascii="Verdana" w:hAnsi="Verdana"/>
          <w:sz w:val="18"/>
          <w:szCs w:val="18"/>
          <w:lang w:val="en-GB"/>
        </w:rPr>
        <w:t>EU</w:t>
      </w:r>
      <w:r w:rsidR="00934809">
        <w:rPr>
          <w:rFonts w:ascii="Verdana" w:hAnsi="Verdana"/>
          <w:sz w:val="18"/>
          <w:szCs w:val="18"/>
          <w:lang w:val="en-GB"/>
        </w:rPr>
        <w:t xml:space="preserve"> </w:t>
      </w:r>
      <w:r w:rsidR="005901F3">
        <w:rPr>
          <w:rFonts w:ascii="Verdana" w:hAnsi="Verdana"/>
          <w:sz w:val="18"/>
          <w:szCs w:val="18"/>
          <w:lang w:val="en-GB"/>
        </w:rPr>
        <w:t>legislation</w:t>
      </w:r>
      <w:r w:rsidRPr="0001707D" w:rsidR="001315E2">
        <w:rPr>
          <w:rFonts w:ascii="Verdana" w:hAnsi="Verdana"/>
          <w:sz w:val="18"/>
          <w:szCs w:val="18"/>
          <w:lang w:val="en-GB"/>
        </w:rPr>
        <w:t xml:space="preserve"> should also</w:t>
      </w:r>
      <w:r w:rsidR="00A50EE5">
        <w:rPr>
          <w:rFonts w:ascii="Verdana" w:hAnsi="Verdana"/>
          <w:sz w:val="18"/>
          <w:szCs w:val="18"/>
          <w:lang w:val="en-GB"/>
        </w:rPr>
        <w:t xml:space="preserve"> be</w:t>
      </w:r>
      <w:r w:rsidRPr="0001707D" w:rsidR="001315E2">
        <w:rPr>
          <w:rFonts w:ascii="Verdana" w:hAnsi="Verdana"/>
          <w:sz w:val="18"/>
          <w:szCs w:val="18"/>
          <w:lang w:val="en-GB"/>
        </w:rPr>
        <w:t xml:space="preserve"> amended to allow partial cross-border capital waivers</w:t>
      </w:r>
      <w:r w:rsidRPr="0001707D" w:rsidR="00200E07">
        <w:rPr>
          <w:rFonts w:ascii="Verdana" w:hAnsi="Verdana"/>
          <w:sz w:val="18"/>
          <w:szCs w:val="18"/>
          <w:lang w:val="en-GB"/>
        </w:rPr>
        <w:t>, subject to conditions</w:t>
      </w:r>
      <w:r w:rsidR="00A50EE5">
        <w:rPr>
          <w:rFonts w:ascii="Verdana" w:hAnsi="Verdana"/>
          <w:sz w:val="18"/>
          <w:szCs w:val="18"/>
          <w:lang w:val="en-GB"/>
        </w:rPr>
        <w:t xml:space="preserve">, </w:t>
      </w:r>
      <w:proofErr w:type="gramStart"/>
      <w:r w:rsidR="00A50EE5">
        <w:rPr>
          <w:rFonts w:ascii="Verdana" w:hAnsi="Verdana"/>
          <w:sz w:val="18"/>
          <w:szCs w:val="18"/>
          <w:lang w:val="en-GB"/>
        </w:rPr>
        <w:t>in order to</w:t>
      </w:r>
      <w:proofErr w:type="gramEnd"/>
      <w:r w:rsidRPr="0001707D" w:rsidR="00200E07">
        <w:rPr>
          <w:rFonts w:ascii="Verdana" w:hAnsi="Verdana"/>
          <w:sz w:val="18"/>
          <w:szCs w:val="18"/>
          <w:lang w:val="en-GB"/>
        </w:rPr>
        <w:t xml:space="preserve"> </w:t>
      </w:r>
      <w:r w:rsidRPr="0001707D" w:rsidR="000B341A">
        <w:rPr>
          <w:rFonts w:ascii="Verdana" w:hAnsi="Verdana"/>
          <w:sz w:val="18"/>
          <w:szCs w:val="18"/>
          <w:lang w:val="en-GB"/>
        </w:rPr>
        <w:t>strengthen banks’ cross-border activities</w:t>
      </w:r>
      <w:r w:rsidRPr="0001707D" w:rsidR="00200E07">
        <w:rPr>
          <w:rFonts w:ascii="Verdana" w:hAnsi="Verdana"/>
          <w:sz w:val="18"/>
          <w:szCs w:val="18"/>
          <w:lang w:val="en-GB"/>
        </w:rPr>
        <w:t>.</w:t>
      </w:r>
      <w:r w:rsidRPr="0001707D">
        <w:rPr>
          <w:rFonts w:ascii="Verdana" w:hAnsi="Verdana"/>
          <w:sz w:val="18"/>
          <w:szCs w:val="18"/>
          <w:lang w:val="en-GB"/>
        </w:rPr>
        <w:t xml:space="preserve"> </w:t>
      </w:r>
    </w:p>
    <w:p w:rsidRPr="00B45486" w:rsidR="00DB652C" w:rsidP="00DB652C" w:rsidRDefault="00F307E6" w14:paraId="6559FFBE" w14:textId="47F37044">
      <w:pPr>
        <w:pStyle w:val="Lijstalinea"/>
        <w:numPr>
          <w:ilvl w:val="0"/>
          <w:numId w:val="8"/>
        </w:numPr>
        <w:spacing w:after="0" w:line="240" w:lineRule="auto"/>
        <w:rPr>
          <w:rFonts w:ascii="Verdana" w:hAnsi="Verdana"/>
          <w:sz w:val="18"/>
          <w:szCs w:val="18"/>
          <w:lang w:val="en-US"/>
        </w:rPr>
      </w:pPr>
      <w:r>
        <w:rPr>
          <w:rFonts w:ascii="Verdana" w:hAnsi="Verdana"/>
          <w:b/>
          <w:bCs/>
          <w:sz w:val="18"/>
          <w:szCs w:val="18"/>
          <w:lang w:val="en-US"/>
        </w:rPr>
        <w:t xml:space="preserve">Simplify and harmonize the methodology for macroprudential buffers. </w:t>
      </w:r>
      <w:r>
        <w:rPr>
          <w:rFonts w:ascii="Verdana" w:hAnsi="Verdana"/>
          <w:sz w:val="18"/>
          <w:szCs w:val="18"/>
          <w:lang w:val="en-US"/>
        </w:rPr>
        <w:t>We propose to create one</w:t>
      </w:r>
      <w:r w:rsidRPr="00B45486" w:rsidR="00DB652C">
        <w:rPr>
          <w:rFonts w:ascii="Verdana" w:hAnsi="Verdana"/>
          <w:sz w:val="18"/>
          <w:szCs w:val="18"/>
          <w:lang w:val="en-US"/>
        </w:rPr>
        <w:t xml:space="preserve"> releasable </w:t>
      </w:r>
      <w:proofErr w:type="spellStart"/>
      <w:r w:rsidRPr="00B45486" w:rsidR="008003BE">
        <w:rPr>
          <w:rFonts w:ascii="Verdana" w:hAnsi="Verdana"/>
          <w:sz w:val="18"/>
          <w:szCs w:val="18"/>
          <w:lang w:val="en-US"/>
        </w:rPr>
        <w:t>macro</w:t>
      </w:r>
      <w:r w:rsidRPr="00B45486" w:rsidR="00DB652C">
        <w:rPr>
          <w:rFonts w:ascii="Verdana" w:hAnsi="Verdana"/>
          <w:sz w:val="18"/>
          <w:szCs w:val="18"/>
          <w:lang w:val="en-US"/>
        </w:rPr>
        <w:t>buffer</w:t>
      </w:r>
      <w:proofErr w:type="spellEnd"/>
      <w:r w:rsidRPr="00B45486" w:rsidR="00DB652C">
        <w:rPr>
          <w:rFonts w:ascii="Verdana" w:hAnsi="Verdana"/>
          <w:sz w:val="18"/>
          <w:szCs w:val="18"/>
          <w:lang w:val="en-US"/>
        </w:rPr>
        <w:t xml:space="preserve"> </w:t>
      </w:r>
      <w:r>
        <w:rPr>
          <w:rFonts w:ascii="Verdana" w:hAnsi="Verdana"/>
          <w:sz w:val="18"/>
          <w:szCs w:val="18"/>
          <w:lang w:val="en-US"/>
        </w:rPr>
        <w:t xml:space="preserve">by merging the </w:t>
      </w:r>
      <w:proofErr w:type="spellStart"/>
      <w:r>
        <w:rPr>
          <w:rFonts w:ascii="Verdana" w:hAnsi="Verdana"/>
          <w:sz w:val="18"/>
          <w:szCs w:val="18"/>
          <w:lang w:val="en-US"/>
        </w:rPr>
        <w:t>SyRB</w:t>
      </w:r>
      <w:proofErr w:type="spellEnd"/>
      <w:r>
        <w:rPr>
          <w:rFonts w:ascii="Verdana" w:hAnsi="Verdana"/>
          <w:sz w:val="18"/>
          <w:szCs w:val="18"/>
          <w:lang w:val="en-US"/>
        </w:rPr>
        <w:t xml:space="preserve"> and </w:t>
      </w:r>
      <w:proofErr w:type="spellStart"/>
      <w:r>
        <w:rPr>
          <w:rFonts w:ascii="Verdana" w:hAnsi="Verdana"/>
          <w:sz w:val="18"/>
          <w:szCs w:val="18"/>
          <w:lang w:val="en-US"/>
        </w:rPr>
        <w:t>CCyB</w:t>
      </w:r>
      <w:proofErr w:type="spellEnd"/>
      <w:r>
        <w:rPr>
          <w:rFonts w:ascii="Verdana" w:hAnsi="Verdana"/>
          <w:sz w:val="18"/>
          <w:szCs w:val="18"/>
          <w:lang w:val="en-US"/>
        </w:rPr>
        <w:t xml:space="preserve"> and by harmonizing buffer setting methodology. The releasable </w:t>
      </w:r>
      <w:proofErr w:type="spellStart"/>
      <w:r>
        <w:rPr>
          <w:rFonts w:ascii="Verdana" w:hAnsi="Verdana"/>
          <w:sz w:val="18"/>
          <w:szCs w:val="18"/>
          <w:lang w:val="en-US"/>
        </w:rPr>
        <w:t>macrobuffer</w:t>
      </w:r>
      <w:proofErr w:type="spellEnd"/>
      <w:r>
        <w:rPr>
          <w:rFonts w:ascii="Verdana" w:hAnsi="Verdana"/>
          <w:sz w:val="18"/>
          <w:szCs w:val="18"/>
          <w:lang w:val="en-US"/>
        </w:rPr>
        <w:t xml:space="preserve"> </w:t>
      </w:r>
      <w:r w:rsidR="0001707D">
        <w:rPr>
          <w:rFonts w:ascii="Verdana" w:hAnsi="Verdana"/>
          <w:sz w:val="18"/>
          <w:szCs w:val="18"/>
          <w:lang w:val="en-US"/>
        </w:rPr>
        <w:t xml:space="preserve">should </w:t>
      </w:r>
      <w:r w:rsidR="00A50EE5">
        <w:rPr>
          <w:rFonts w:ascii="Verdana" w:hAnsi="Verdana"/>
          <w:sz w:val="18"/>
          <w:szCs w:val="18"/>
          <w:lang w:val="en-US"/>
        </w:rPr>
        <w:t xml:space="preserve">have a broader focus than excessive credit growth </w:t>
      </w:r>
      <w:r w:rsidRPr="00B45486" w:rsidR="00DB652C">
        <w:rPr>
          <w:rFonts w:ascii="Verdana" w:hAnsi="Verdana"/>
          <w:sz w:val="18"/>
          <w:szCs w:val="18"/>
          <w:lang w:val="en-US"/>
        </w:rPr>
        <w:t>and ensure sufficient releasable capital</w:t>
      </w:r>
      <w:r w:rsidR="00065190">
        <w:rPr>
          <w:rFonts w:ascii="Verdana" w:hAnsi="Verdana"/>
          <w:sz w:val="18"/>
          <w:szCs w:val="18"/>
          <w:lang w:val="en-US"/>
        </w:rPr>
        <w:t xml:space="preserve"> </w:t>
      </w:r>
      <w:r w:rsidRPr="00B45486" w:rsidR="00DB652C">
        <w:rPr>
          <w:rFonts w:ascii="Verdana" w:hAnsi="Verdana"/>
          <w:sz w:val="18"/>
          <w:szCs w:val="18"/>
          <w:lang w:val="en-US"/>
        </w:rPr>
        <w:t>throughout the cycle</w:t>
      </w:r>
      <w:r w:rsidR="00065190">
        <w:rPr>
          <w:rFonts w:ascii="Verdana" w:hAnsi="Verdana"/>
          <w:sz w:val="18"/>
          <w:szCs w:val="18"/>
          <w:lang w:val="en-US"/>
        </w:rPr>
        <w:t xml:space="preserve"> </w:t>
      </w:r>
      <w:r w:rsidRPr="00B45486" w:rsidR="00DB652C">
        <w:rPr>
          <w:rFonts w:ascii="Verdana" w:hAnsi="Verdana"/>
          <w:sz w:val="18"/>
          <w:szCs w:val="18"/>
          <w:lang w:val="en-US"/>
        </w:rPr>
        <w:t xml:space="preserve">via a </w:t>
      </w:r>
      <w:r w:rsidRPr="00B45486" w:rsidR="002C79F4">
        <w:rPr>
          <w:rFonts w:ascii="Verdana" w:hAnsi="Verdana"/>
          <w:sz w:val="18"/>
          <w:szCs w:val="18"/>
          <w:lang w:val="en-US"/>
        </w:rPr>
        <w:t xml:space="preserve">more consistent </w:t>
      </w:r>
      <w:r w:rsidRPr="00B45486" w:rsidR="00DB652C">
        <w:rPr>
          <w:rFonts w:ascii="Verdana" w:hAnsi="Verdana"/>
          <w:sz w:val="18"/>
          <w:szCs w:val="18"/>
          <w:lang w:val="en-US"/>
        </w:rPr>
        <w:t xml:space="preserve">positive neutral approach. </w:t>
      </w:r>
      <w:r w:rsidRPr="00B45486" w:rsidR="008003BE">
        <w:rPr>
          <w:rFonts w:ascii="Verdana" w:hAnsi="Verdana"/>
          <w:sz w:val="18"/>
          <w:szCs w:val="18"/>
          <w:lang w:val="en-US"/>
        </w:rPr>
        <w:t>We</w:t>
      </w:r>
      <w:r w:rsidRPr="0001707D" w:rsidR="00724C41">
        <w:rPr>
          <w:rFonts w:ascii="Verdana" w:hAnsi="Verdana"/>
          <w:sz w:val="18"/>
          <w:szCs w:val="18"/>
          <w:lang w:val="en-GB"/>
        </w:rPr>
        <w:t xml:space="preserve"> do not seek to reduce buffer </w:t>
      </w:r>
      <w:r w:rsidRPr="0001707D" w:rsidR="004E4F2E">
        <w:rPr>
          <w:rFonts w:ascii="Verdana" w:hAnsi="Verdana"/>
          <w:sz w:val="18"/>
          <w:szCs w:val="18"/>
          <w:lang w:val="en-GB"/>
        </w:rPr>
        <w:t>levels but</w:t>
      </w:r>
      <w:r w:rsidRPr="0001707D" w:rsidR="00724C41">
        <w:rPr>
          <w:rFonts w:ascii="Verdana" w:hAnsi="Verdana"/>
          <w:sz w:val="18"/>
          <w:szCs w:val="18"/>
          <w:lang w:val="en-GB"/>
        </w:rPr>
        <w:t xml:space="preserve"> rather tackle fragmentation.</w:t>
      </w:r>
      <w:r w:rsidRPr="0001707D" w:rsidR="00B929FE">
        <w:rPr>
          <w:rFonts w:ascii="Verdana" w:hAnsi="Verdana"/>
          <w:sz w:val="18"/>
          <w:szCs w:val="18"/>
          <w:lang w:val="en-GB"/>
        </w:rPr>
        <w:t xml:space="preserve"> For this, </w:t>
      </w:r>
      <w:r>
        <w:rPr>
          <w:rFonts w:ascii="Verdana" w:hAnsi="Verdana"/>
          <w:sz w:val="18"/>
          <w:szCs w:val="18"/>
          <w:lang w:val="en-GB"/>
        </w:rPr>
        <w:t xml:space="preserve">a </w:t>
      </w:r>
      <w:r w:rsidRPr="0001707D" w:rsidR="004604FA">
        <w:rPr>
          <w:rFonts w:ascii="Verdana" w:hAnsi="Verdana"/>
          <w:sz w:val="18"/>
          <w:szCs w:val="18"/>
          <w:lang w:val="en-GB"/>
        </w:rPr>
        <w:t xml:space="preserve">harmonised </w:t>
      </w:r>
      <w:r>
        <w:rPr>
          <w:rFonts w:ascii="Verdana" w:hAnsi="Verdana"/>
          <w:sz w:val="18"/>
          <w:szCs w:val="18"/>
          <w:lang w:val="en-GB"/>
        </w:rPr>
        <w:t>methodology</w:t>
      </w:r>
      <w:r w:rsidRPr="0001707D" w:rsidR="004604FA">
        <w:rPr>
          <w:rFonts w:ascii="Verdana" w:hAnsi="Verdana"/>
          <w:sz w:val="18"/>
          <w:szCs w:val="18"/>
          <w:lang w:val="en-GB"/>
        </w:rPr>
        <w:t xml:space="preserve"> should lead to </w:t>
      </w:r>
      <w:r w:rsidRPr="0001707D" w:rsidR="00B929FE">
        <w:rPr>
          <w:rFonts w:ascii="Verdana" w:hAnsi="Verdana"/>
          <w:sz w:val="18"/>
          <w:szCs w:val="18"/>
          <w:lang w:val="en-GB"/>
        </w:rPr>
        <w:t xml:space="preserve">significantly more consistency </w:t>
      </w:r>
      <w:r w:rsidRPr="0001707D" w:rsidR="004604FA">
        <w:rPr>
          <w:rFonts w:ascii="Verdana" w:hAnsi="Verdana"/>
          <w:sz w:val="18"/>
          <w:szCs w:val="18"/>
          <w:lang w:val="en-GB"/>
        </w:rPr>
        <w:t>for banks in how macroprudential authorities</w:t>
      </w:r>
      <w:r w:rsidRPr="0001707D" w:rsidR="007E660D">
        <w:rPr>
          <w:rFonts w:ascii="Verdana" w:hAnsi="Verdana"/>
          <w:sz w:val="18"/>
          <w:szCs w:val="18"/>
          <w:lang w:val="en-GB"/>
        </w:rPr>
        <w:t xml:space="preserve"> set</w:t>
      </w:r>
      <w:r w:rsidRPr="0001707D" w:rsidR="00B929FE">
        <w:rPr>
          <w:rFonts w:ascii="Verdana" w:hAnsi="Verdana"/>
          <w:sz w:val="18"/>
          <w:szCs w:val="18"/>
          <w:lang w:val="en-GB"/>
        </w:rPr>
        <w:t xml:space="preserve"> their rates. </w:t>
      </w:r>
      <w:r w:rsidRPr="0001707D" w:rsidR="00724C41">
        <w:rPr>
          <w:rFonts w:ascii="Verdana" w:hAnsi="Verdana"/>
          <w:sz w:val="18"/>
          <w:szCs w:val="18"/>
          <w:lang w:val="en-GB"/>
        </w:rPr>
        <w:t xml:space="preserve">The focus should be on </w:t>
      </w:r>
      <w:r w:rsidRPr="0001707D" w:rsidR="004E4F2E">
        <w:rPr>
          <w:rFonts w:ascii="Verdana" w:hAnsi="Verdana"/>
          <w:sz w:val="18"/>
          <w:szCs w:val="18"/>
          <w:lang w:val="en-GB"/>
        </w:rPr>
        <w:t xml:space="preserve">avoiding potential </w:t>
      </w:r>
      <w:r w:rsidRPr="0001707D" w:rsidR="00724C41">
        <w:rPr>
          <w:rFonts w:ascii="Verdana" w:hAnsi="Verdana"/>
          <w:sz w:val="18"/>
          <w:szCs w:val="18"/>
          <w:lang w:val="en-GB"/>
        </w:rPr>
        <w:t xml:space="preserve">overlap in buffers and heterogeneity in the use of buffers in different Member States, </w:t>
      </w:r>
      <w:r w:rsidR="007E1028">
        <w:rPr>
          <w:rFonts w:ascii="Verdana" w:hAnsi="Verdana"/>
          <w:sz w:val="18"/>
          <w:szCs w:val="18"/>
          <w:lang w:val="en-GB"/>
        </w:rPr>
        <w:t xml:space="preserve">while </w:t>
      </w:r>
      <w:r w:rsidR="00364AAB">
        <w:rPr>
          <w:rFonts w:ascii="Verdana" w:hAnsi="Verdana"/>
          <w:sz w:val="18"/>
          <w:szCs w:val="18"/>
          <w:lang w:val="en-GB"/>
        </w:rPr>
        <w:t>supporting</w:t>
      </w:r>
      <w:r w:rsidR="007E1028">
        <w:rPr>
          <w:rFonts w:ascii="Verdana" w:hAnsi="Verdana"/>
          <w:sz w:val="18"/>
          <w:szCs w:val="18"/>
          <w:lang w:val="en-GB"/>
        </w:rPr>
        <w:t xml:space="preserve"> financial stability</w:t>
      </w:r>
      <w:r w:rsidRPr="0001707D" w:rsidR="00724C41">
        <w:rPr>
          <w:rFonts w:ascii="Verdana" w:hAnsi="Verdana"/>
          <w:sz w:val="18"/>
          <w:szCs w:val="18"/>
          <w:lang w:val="en-GB"/>
        </w:rPr>
        <w:t>.</w:t>
      </w:r>
    </w:p>
    <w:p w:rsidRPr="00B45486" w:rsidR="00382010" w:rsidP="00382010" w:rsidRDefault="009C1634" w14:paraId="21826018" w14:textId="333ACE7C">
      <w:pPr>
        <w:pStyle w:val="Lijstalinea"/>
        <w:numPr>
          <w:ilvl w:val="0"/>
          <w:numId w:val="8"/>
        </w:numPr>
        <w:spacing w:line="256" w:lineRule="auto"/>
        <w:rPr>
          <w:rFonts w:ascii="Verdana" w:hAnsi="Verdana"/>
          <w:b/>
          <w:bCs/>
          <w:sz w:val="18"/>
          <w:szCs w:val="18"/>
          <w:lang w:val="en-GB"/>
        </w:rPr>
      </w:pPr>
      <w:r w:rsidRPr="0001707D">
        <w:rPr>
          <w:rFonts w:ascii="Verdana" w:hAnsi="Verdana"/>
          <w:b/>
          <w:bCs/>
          <w:sz w:val="18"/>
          <w:szCs w:val="18"/>
          <w:lang w:val="en-GB"/>
        </w:rPr>
        <w:lastRenderedPageBreak/>
        <w:t xml:space="preserve">Ensure that </w:t>
      </w:r>
      <w:r w:rsidRPr="0001707D" w:rsidR="00105FD6">
        <w:rPr>
          <w:rFonts w:ascii="Verdana" w:hAnsi="Verdana"/>
          <w:b/>
          <w:bCs/>
          <w:sz w:val="18"/>
          <w:szCs w:val="18"/>
          <w:lang w:val="en-GB"/>
        </w:rPr>
        <w:t xml:space="preserve">overlap between micro- and macroprudential measures is avoided. </w:t>
      </w:r>
      <w:r w:rsidRPr="0001707D" w:rsidR="00D36B17">
        <w:rPr>
          <w:rFonts w:ascii="Verdana" w:hAnsi="Verdana"/>
          <w:sz w:val="18"/>
          <w:szCs w:val="18"/>
          <w:lang w:val="en-GB"/>
        </w:rPr>
        <w:t xml:space="preserve">Parts of </w:t>
      </w:r>
      <w:proofErr w:type="spellStart"/>
      <w:r w:rsidRPr="0001707D" w:rsidR="00D36B17">
        <w:rPr>
          <w:rFonts w:ascii="Verdana" w:hAnsi="Verdana"/>
          <w:sz w:val="18"/>
          <w:szCs w:val="18"/>
          <w:lang w:val="en-GB"/>
        </w:rPr>
        <w:t>micro</w:t>
      </w:r>
      <w:r w:rsidRPr="0001707D" w:rsidR="001F3C83">
        <w:rPr>
          <w:rFonts w:ascii="Verdana" w:hAnsi="Verdana"/>
          <w:sz w:val="18"/>
          <w:szCs w:val="18"/>
          <w:lang w:val="en-GB"/>
        </w:rPr>
        <w:t>prudential</w:t>
      </w:r>
      <w:proofErr w:type="spellEnd"/>
      <w:r w:rsidRPr="0001707D" w:rsidR="001F3C83">
        <w:rPr>
          <w:rFonts w:ascii="Verdana" w:hAnsi="Verdana"/>
          <w:sz w:val="18"/>
          <w:szCs w:val="18"/>
          <w:lang w:val="en-GB"/>
        </w:rPr>
        <w:t xml:space="preserve"> and macroprudential policy</w:t>
      </w:r>
      <w:r w:rsidR="00AC27A6">
        <w:rPr>
          <w:rFonts w:ascii="Verdana" w:hAnsi="Verdana"/>
          <w:sz w:val="18"/>
          <w:szCs w:val="18"/>
          <w:lang w:val="en-GB"/>
        </w:rPr>
        <w:t xml:space="preserve"> framework</w:t>
      </w:r>
      <w:r w:rsidRPr="0001707D" w:rsidR="001F3C83">
        <w:rPr>
          <w:rFonts w:ascii="Verdana" w:hAnsi="Verdana"/>
          <w:sz w:val="18"/>
          <w:szCs w:val="18"/>
          <w:lang w:val="en-GB"/>
        </w:rPr>
        <w:t xml:space="preserve"> interact. It is important to avoid that this interaction</w:t>
      </w:r>
      <w:r w:rsidRPr="0001707D" w:rsidR="00837910">
        <w:rPr>
          <w:rFonts w:ascii="Verdana" w:hAnsi="Verdana"/>
          <w:sz w:val="18"/>
          <w:szCs w:val="18"/>
          <w:lang w:val="en-GB"/>
        </w:rPr>
        <w:t xml:space="preserve"> leads to overlapping requirements</w:t>
      </w:r>
      <w:r w:rsidR="00AC27A6">
        <w:rPr>
          <w:rFonts w:ascii="Verdana" w:hAnsi="Verdana"/>
          <w:sz w:val="18"/>
          <w:szCs w:val="18"/>
          <w:lang w:val="en-GB"/>
        </w:rPr>
        <w:t xml:space="preserve"> for the same risk</w:t>
      </w:r>
      <w:r w:rsidRPr="0001707D" w:rsidR="00837910">
        <w:rPr>
          <w:rFonts w:ascii="Verdana" w:hAnsi="Verdana"/>
          <w:sz w:val="18"/>
          <w:szCs w:val="18"/>
          <w:lang w:val="en-GB"/>
        </w:rPr>
        <w:t>. Therefore, we propose</w:t>
      </w:r>
      <w:r w:rsidR="00A50EE5">
        <w:rPr>
          <w:rFonts w:ascii="Verdana" w:hAnsi="Verdana"/>
          <w:sz w:val="18"/>
          <w:szCs w:val="18"/>
          <w:lang w:val="en-GB"/>
        </w:rPr>
        <w:t xml:space="preserve"> further</w:t>
      </w:r>
      <w:r w:rsidRPr="0001707D" w:rsidR="00837910">
        <w:rPr>
          <w:rFonts w:ascii="Verdana" w:hAnsi="Verdana"/>
          <w:sz w:val="18"/>
          <w:szCs w:val="18"/>
          <w:lang w:val="en-GB"/>
        </w:rPr>
        <w:t xml:space="preserve"> </w:t>
      </w:r>
      <w:r w:rsidRPr="0001707D" w:rsidR="008134EF">
        <w:rPr>
          <w:rFonts w:ascii="Verdana" w:hAnsi="Verdana"/>
          <w:sz w:val="18"/>
          <w:szCs w:val="18"/>
          <w:lang w:val="en-GB"/>
        </w:rPr>
        <w:t xml:space="preserve">agreeing on the </w:t>
      </w:r>
      <w:r w:rsidRPr="0001707D" w:rsidR="004F4CF0">
        <w:rPr>
          <w:rFonts w:ascii="Verdana" w:hAnsi="Verdana"/>
          <w:sz w:val="18"/>
          <w:szCs w:val="18"/>
          <w:lang w:val="en-GB"/>
        </w:rPr>
        <w:t>distinct objectives of each measure and to articulate more explicitly in Level 1 legislation how the</w:t>
      </w:r>
      <w:r w:rsidR="008100DE">
        <w:rPr>
          <w:rFonts w:ascii="Verdana" w:hAnsi="Verdana"/>
          <w:sz w:val="18"/>
          <w:szCs w:val="18"/>
          <w:lang w:val="en-GB"/>
        </w:rPr>
        <w:t xml:space="preserve"> measures</w:t>
      </w:r>
      <w:r w:rsidRPr="0001707D" w:rsidR="004F4CF0">
        <w:rPr>
          <w:rFonts w:ascii="Verdana" w:hAnsi="Verdana"/>
          <w:sz w:val="18"/>
          <w:szCs w:val="18"/>
          <w:lang w:val="en-GB"/>
        </w:rPr>
        <w:t xml:space="preserve"> complement one another. This should ensure a clear delineation between P2G and macroprudential buffers</w:t>
      </w:r>
      <w:r w:rsidR="00D27471">
        <w:rPr>
          <w:rFonts w:ascii="Verdana" w:hAnsi="Verdana"/>
          <w:sz w:val="18"/>
          <w:szCs w:val="18"/>
          <w:lang w:val="en-GB"/>
        </w:rPr>
        <w:t xml:space="preserve"> and </w:t>
      </w:r>
      <w:r w:rsidRPr="00270BBB" w:rsidR="00D27471">
        <w:rPr>
          <w:rFonts w:ascii="Verdana" w:hAnsi="Verdana"/>
          <w:sz w:val="18"/>
          <w:szCs w:val="18"/>
          <w:lang w:val="en-GB"/>
        </w:rPr>
        <w:t>consistency in avoiding overlaps</w:t>
      </w:r>
      <w:r w:rsidR="007371C3">
        <w:rPr>
          <w:rFonts w:ascii="Verdana" w:hAnsi="Verdana"/>
          <w:sz w:val="18"/>
          <w:szCs w:val="18"/>
          <w:lang w:val="en-GB"/>
        </w:rPr>
        <w:t>, while improving buffer usability</w:t>
      </w:r>
      <w:r w:rsidRPr="00270BBB" w:rsidR="004F4CF0">
        <w:rPr>
          <w:rFonts w:ascii="Verdana" w:hAnsi="Verdana"/>
          <w:sz w:val="18"/>
          <w:szCs w:val="18"/>
          <w:lang w:val="en-GB"/>
        </w:rPr>
        <w:t>.</w:t>
      </w:r>
    </w:p>
    <w:p w:rsidRPr="00256E89" w:rsidR="00382010" w:rsidP="009C5D0D" w:rsidRDefault="00E9743A" w14:paraId="07E94C51" w14:textId="038E2543">
      <w:pPr>
        <w:pStyle w:val="Lijstalinea"/>
        <w:numPr>
          <w:ilvl w:val="0"/>
          <w:numId w:val="8"/>
        </w:numPr>
        <w:spacing w:line="256" w:lineRule="auto"/>
        <w:rPr>
          <w:rFonts w:ascii="Verdana" w:hAnsi="Verdana"/>
          <w:sz w:val="18"/>
          <w:szCs w:val="18"/>
          <w:lang w:val="en-GB"/>
        </w:rPr>
      </w:pPr>
      <w:r w:rsidRPr="00256E89">
        <w:rPr>
          <w:rFonts w:ascii="Verdana" w:hAnsi="Verdana"/>
          <w:b/>
          <w:bCs/>
          <w:sz w:val="18"/>
          <w:szCs w:val="18"/>
          <w:lang w:val="en-GB"/>
        </w:rPr>
        <w:t xml:space="preserve">Introduce more harmonization </w:t>
      </w:r>
      <w:r w:rsidRPr="00256E89" w:rsidR="005C2296">
        <w:rPr>
          <w:rFonts w:ascii="Verdana" w:hAnsi="Verdana"/>
          <w:b/>
          <w:bCs/>
          <w:sz w:val="18"/>
          <w:szCs w:val="18"/>
          <w:lang w:val="en-GB"/>
        </w:rPr>
        <w:t>and simplification of</w:t>
      </w:r>
      <w:r w:rsidRPr="00256E89" w:rsidR="00270BBB">
        <w:rPr>
          <w:rFonts w:ascii="Verdana" w:hAnsi="Verdana"/>
          <w:b/>
          <w:bCs/>
          <w:sz w:val="18"/>
          <w:szCs w:val="18"/>
          <w:lang w:val="en-GB"/>
        </w:rPr>
        <w:t xml:space="preserve"> the</w:t>
      </w:r>
      <w:r w:rsidRPr="00256E89" w:rsidR="005C2296">
        <w:rPr>
          <w:rFonts w:ascii="Verdana" w:hAnsi="Verdana"/>
          <w:b/>
          <w:bCs/>
          <w:sz w:val="18"/>
          <w:szCs w:val="18"/>
          <w:lang w:val="en-GB"/>
        </w:rPr>
        <w:t xml:space="preserve"> MREL calibration </w:t>
      </w:r>
      <w:r w:rsidRPr="00256E89">
        <w:rPr>
          <w:rFonts w:ascii="Verdana" w:hAnsi="Verdana"/>
          <w:b/>
          <w:bCs/>
          <w:sz w:val="18"/>
          <w:szCs w:val="18"/>
          <w:lang w:val="en-GB"/>
        </w:rPr>
        <w:t xml:space="preserve">within the </w:t>
      </w:r>
      <w:r w:rsidRPr="00256E89" w:rsidR="00382010">
        <w:rPr>
          <w:rFonts w:ascii="Verdana" w:hAnsi="Verdana"/>
          <w:b/>
          <w:bCs/>
          <w:sz w:val="18"/>
          <w:szCs w:val="18"/>
          <w:lang w:val="en-GB"/>
        </w:rPr>
        <w:t xml:space="preserve">European </w:t>
      </w:r>
      <w:r w:rsidRPr="00256E89">
        <w:rPr>
          <w:rFonts w:ascii="Verdana" w:hAnsi="Verdana"/>
          <w:b/>
          <w:bCs/>
          <w:sz w:val="18"/>
          <w:szCs w:val="18"/>
          <w:lang w:val="en-GB"/>
        </w:rPr>
        <w:t>resolution framework</w:t>
      </w:r>
      <w:r w:rsidRPr="00256E89" w:rsidR="00F04DBA">
        <w:rPr>
          <w:rFonts w:ascii="Verdana" w:hAnsi="Verdana"/>
          <w:b/>
          <w:bCs/>
          <w:sz w:val="18"/>
          <w:szCs w:val="18"/>
          <w:lang w:val="en-GB"/>
        </w:rPr>
        <w:t xml:space="preserve">. </w:t>
      </w:r>
      <w:r w:rsidRPr="00256E89" w:rsidR="00F04DBA">
        <w:rPr>
          <w:rFonts w:ascii="Verdana" w:hAnsi="Verdana"/>
          <w:sz w:val="18"/>
          <w:szCs w:val="18"/>
          <w:lang w:val="en-GB"/>
        </w:rPr>
        <w:t xml:space="preserve">The EU-resolution framework currently has several indicators to adjust the recapitalization amount (RCA) upwards or downwards depending on various circumstances. This leads to complexity in the framework and a lack of predictability. </w:t>
      </w:r>
      <w:r w:rsidRPr="00256E89" w:rsidR="003A7AA2">
        <w:rPr>
          <w:rFonts w:ascii="Verdana" w:hAnsi="Verdana"/>
          <w:sz w:val="18"/>
          <w:szCs w:val="18"/>
          <w:lang w:val="en-GB"/>
        </w:rPr>
        <w:t>Instead of these individual adjustments, the RCA should be directly derived from the prudential requirements with a fixed discount to cater for balance sheet changes upon failure, recognising the inherent deep connection between</w:t>
      </w:r>
      <w:r w:rsidRPr="00256E89" w:rsidR="00817372">
        <w:rPr>
          <w:rFonts w:ascii="Verdana" w:hAnsi="Verdana"/>
          <w:sz w:val="18"/>
          <w:szCs w:val="18"/>
          <w:lang w:val="en-GB"/>
        </w:rPr>
        <w:t xml:space="preserve"> prudential and resolution requirements.</w:t>
      </w:r>
      <w:r w:rsidRPr="00256E89" w:rsidR="003A7AA2">
        <w:rPr>
          <w:rFonts w:ascii="Verdana" w:hAnsi="Verdana"/>
          <w:sz w:val="18"/>
          <w:szCs w:val="18"/>
          <w:lang w:val="en-GB"/>
        </w:rPr>
        <w:t xml:space="preserve"> </w:t>
      </w:r>
      <w:r w:rsidRPr="00256E89" w:rsidR="00382010">
        <w:rPr>
          <w:rFonts w:ascii="Verdana" w:hAnsi="Verdana"/>
          <w:sz w:val="18"/>
          <w:szCs w:val="18"/>
          <w:lang w:val="en-GB"/>
        </w:rPr>
        <w:t xml:space="preserve">This regime should </w:t>
      </w:r>
      <w:r w:rsidRPr="00256E89" w:rsidR="005C2296">
        <w:rPr>
          <w:rFonts w:ascii="Verdana" w:hAnsi="Verdana"/>
          <w:sz w:val="18"/>
          <w:szCs w:val="18"/>
          <w:lang w:val="en-GB"/>
        </w:rPr>
        <w:t xml:space="preserve">also </w:t>
      </w:r>
      <w:r w:rsidRPr="00256E89" w:rsidR="00382010">
        <w:rPr>
          <w:rFonts w:ascii="Verdana" w:hAnsi="Verdana"/>
          <w:sz w:val="18"/>
          <w:szCs w:val="18"/>
          <w:lang w:val="en-GB"/>
        </w:rPr>
        <w:t xml:space="preserve">broadly adhere to the principles of </w:t>
      </w:r>
      <w:r w:rsidRPr="00256E89" w:rsidR="00F04DBA">
        <w:rPr>
          <w:rFonts w:ascii="Verdana" w:hAnsi="Verdana"/>
          <w:sz w:val="18"/>
          <w:szCs w:val="18"/>
          <w:lang w:val="en-GB"/>
        </w:rPr>
        <w:t>cost neutrality and proportionality.</w:t>
      </w:r>
    </w:p>
    <w:p w:rsidRPr="0001707D" w:rsidR="00934C62" w:rsidP="002D4860" w:rsidRDefault="00C84614" w14:paraId="746FE330" w14:textId="7BCF9D87">
      <w:pPr>
        <w:pStyle w:val="Lijstalinea"/>
        <w:numPr>
          <w:ilvl w:val="0"/>
          <w:numId w:val="8"/>
        </w:numPr>
        <w:rPr>
          <w:rFonts w:ascii="Verdana" w:hAnsi="Verdana"/>
          <w:sz w:val="18"/>
          <w:szCs w:val="18"/>
          <w:lang w:val="en-GB"/>
        </w:rPr>
      </w:pPr>
      <w:r w:rsidRPr="00270BBB">
        <w:rPr>
          <w:rFonts w:ascii="Verdana" w:hAnsi="Verdana"/>
          <w:b/>
          <w:bCs/>
          <w:sz w:val="18"/>
          <w:szCs w:val="18"/>
          <w:lang w:val="en-GB"/>
        </w:rPr>
        <w:t>A</w:t>
      </w:r>
      <w:r w:rsidRPr="00270BBB" w:rsidR="00382010">
        <w:rPr>
          <w:rFonts w:ascii="Verdana" w:hAnsi="Verdana"/>
          <w:b/>
          <w:bCs/>
          <w:sz w:val="18"/>
          <w:szCs w:val="18"/>
          <w:lang w:val="en-GB"/>
        </w:rPr>
        <w:t>lign</w:t>
      </w:r>
      <w:r w:rsidRPr="00270BBB" w:rsidR="004639D2">
        <w:rPr>
          <w:rFonts w:ascii="Verdana" w:hAnsi="Verdana"/>
          <w:b/>
          <w:bCs/>
          <w:sz w:val="18"/>
          <w:szCs w:val="18"/>
          <w:lang w:val="en-GB"/>
        </w:rPr>
        <w:t xml:space="preserve"> the</w:t>
      </w:r>
      <w:r w:rsidRPr="0001707D" w:rsidR="004639D2">
        <w:rPr>
          <w:rFonts w:ascii="Verdana" w:hAnsi="Verdana"/>
          <w:b/>
          <w:bCs/>
          <w:sz w:val="18"/>
          <w:szCs w:val="18"/>
          <w:lang w:val="en-GB"/>
        </w:rPr>
        <w:t xml:space="preserve"> European resolution requirements (MREL) with international standards (TLAC)</w:t>
      </w:r>
      <w:r w:rsidR="00E9743A">
        <w:rPr>
          <w:rFonts w:ascii="Verdana" w:hAnsi="Verdana"/>
          <w:b/>
          <w:bCs/>
          <w:sz w:val="18"/>
          <w:szCs w:val="18"/>
          <w:lang w:val="en-GB"/>
        </w:rPr>
        <w:t>.</w:t>
      </w:r>
      <w:r w:rsidRPr="0001707D" w:rsidR="00190940">
        <w:rPr>
          <w:rFonts w:ascii="Verdana" w:hAnsi="Verdana"/>
          <w:b/>
          <w:bCs/>
          <w:sz w:val="18"/>
          <w:szCs w:val="18"/>
          <w:lang w:val="en-GB"/>
        </w:rPr>
        <w:t xml:space="preserve"> </w:t>
      </w:r>
      <w:r w:rsidRPr="0001707D" w:rsidR="00190940">
        <w:rPr>
          <w:rFonts w:ascii="Verdana" w:hAnsi="Verdana"/>
          <w:sz w:val="18"/>
          <w:szCs w:val="18"/>
          <w:lang w:val="en-GB"/>
        </w:rPr>
        <w:t xml:space="preserve">This should be done </w:t>
      </w:r>
      <w:r w:rsidRPr="0001707D" w:rsidR="003A53E9">
        <w:rPr>
          <w:rFonts w:ascii="Verdana" w:hAnsi="Verdana"/>
          <w:sz w:val="18"/>
          <w:szCs w:val="18"/>
          <w:lang w:val="en-GB"/>
        </w:rPr>
        <w:t xml:space="preserve">through full alignment with the eligibility criteria of the FSB TLAC Term Sheet. </w:t>
      </w:r>
      <w:r w:rsidRPr="0001707D" w:rsidR="004639D2">
        <w:rPr>
          <w:rFonts w:ascii="Verdana" w:hAnsi="Verdana"/>
          <w:sz w:val="18"/>
          <w:szCs w:val="18"/>
          <w:lang w:val="en-GB"/>
        </w:rPr>
        <w:t xml:space="preserve">Large European banks operating globally </w:t>
      </w:r>
      <w:proofErr w:type="gramStart"/>
      <w:r w:rsidRPr="0001707D" w:rsidR="004639D2">
        <w:rPr>
          <w:rFonts w:ascii="Verdana" w:hAnsi="Verdana"/>
          <w:sz w:val="18"/>
          <w:szCs w:val="18"/>
          <w:lang w:val="en-GB"/>
        </w:rPr>
        <w:t>have to</w:t>
      </w:r>
      <w:proofErr w:type="gramEnd"/>
      <w:r w:rsidRPr="0001707D" w:rsidR="004639D2">
        <w:rPr>
          <w:rFonts w:ascii="Verdana" w:hAnsi="Verdana"/>
          <w:sz w:val="18"/>
          <w:szCs w:val="18"/>
          <w:lang w:val="en-GB"/>
        </w:rPr>
        <w:t xml:space="preserve"> comply with both European MREL frameworks as well as international standards of the FSB (TLAC). This has led to overlapping obligations</w:t>
      </w:r>
      <w:r w:rsidR="00E9743A">
        <w:rPr>
          <w:rFonts w:ascii="Verdana" w:hAnsi="Verdana"/>
          <w:sz w:val="18"/>
          <w:szCs w:val="18"/>
          <w:lang w:val="en-GB"/>
        </w:rPr>
        <w:t xml:space="preserve"> for these bigger banks</w:t>
      </w:r>
      <w:r w:rsidRPr="0001707D" w:rsidR="004639D2">
        <w:rPr>
          <w:rFonts w:ascii="Verdana" w:hAnsi="Verdana"/>
          <w:sz w:val="18"/>
          <w:szCs w:val="18"/>
          <w:lang w:val="en-GB"/>
        </w:rPr>
        <w:t xml:space="preserve">, thereby introducing additional compliance costs for both banks and supervisors. </w:t>
      </w:r>
      <w:r w:rsidRPr="0001707D" w:rsidR="006B425D">
        <w:rPr>
          <w:rFonts w:ascii="Verdana" w:hAnsi="Verdana"/>
          <w:sz w:val="18"/>
          <w:szCs w:val="18"/>
          <w:lang w:val="en-GB"/>
        </w:rPr>
        <w:t xml:space="preserve">Alignment with the FSB </w:t>
      </w:r>
      <w:r w:rsidRPr="0001707D" w:rsidR="004639D2">
        <w:rPr>
          <w:rFonts w:ascii="Verdana" w:hAnsi="Verdana"/>
          <w:sz w:val="18"/>
          <w:szCs w:val="18"/>
          <w:lang w:val="en-GB"/>
        </w:rPr>
        <w:t>will decrease complexity and increase the level playing field globally</w:t>
      </w:r>
      <w:r w:rsidR="00E9743A">
        <w:rPr>
          <w:rFonts w:ascii="Verdana" w:hAnsi="Verdana"/>
          <w:sz w:val="18"/>
          <w:szCs w:val="18"/>
          <w:lang w:val="en-GB"/>
        </w:rPr>
        <w:t>.</w:t>
      </w:r>
    </w:p>
    <w:p w:rsidRPr="0001707D" w:rsidR="00A1382F" w:rsidP="002D4860" w:rsidRDefault="00A1382F" w14:paraId="23B7A058" w14:textId="541439B2">
      <w:pPr>
        <w:pStyle w:val="Lijstalinea"/>
        <w:numPr>
          <w:ilvl w:val="0"/>
          <w:numId w:val="8"/>
        </w:numPr>
        <w:rPr>
          <w:rFonts w:ascii="Verdana" w:hAnsi="Verdana"/>
          <w:sz w:val="18"/>
          <w:szCs w:val="18"/>
          <w:lang w:val="en-GB"/>
        </w:rPr>
      </w:pPr>
      <w:r w:rsidRPr="0001707D">
        <w:rPr>
          <w:rFonts w:ascii="Verdana" w:hAnsi="Verdana"/>
          <w:b/>
          <w:bCs/>
          <w:sz w:val="18"/>
          <w:szCs w:val="18"/>
          <w:lang w:val="en-GB"/>
        </w:rPr>
        <w:t>Limit lower-level legislation and guidelines, both in stock and flow of legislation.</w:t>
      </w:r>
      <w:r w:rsidRPr="0001707D">
        <w:rPr>
          <w:rFonts w:ascii="Verdana" w:hAnsi="Verdana"/>
          <w:sz w:val="18"/>
          <w:szCs w:val="18"/>
          <w:lang w:val="en-GB"/>
        </w:rPr>
        <w:t xml:space="preserve"> </w:t>
      </w:r>
      <w:r w:rsidRPr="0001707D">
        <w:rPr>
          <w:rFonts w:ascii="Verdana" w:hAnsi="Verdana"/>
          <w:sz w:val="18"/>
          <w:szCs w:val="18"/>
          <w:lang w:val="en-GB"/>
        </w:rPr>
        <w:br/>
        <w:t>The recent Council Conclusions on simplification in financial services legislation emphasised the need to revisit the stock of existing legislation and the flow of new legislation, focusing inter alia on mandates for delegated and implementing acts, technical standards and guidelines by supervisory authorities.</w:t>
      </w:r>
      <w:r w:rsidRPr="0001707D">
        <w:rPr>
          <w:rStyle w:val="Voetnootmarkering"/>
          <w:rFonts w:ascii="Verdana" w:hAnsi="Verdana"/>
          <w:sz w:val="18"/>
          <w:szCs w:val="18"/>
          <w:lang w:val="en-GB"/>
        </w:rPr>
        <w:footnoteReference w:id="1"/>
      </w:r>
      <w:r w:rsidRPr="0001707D">
        <w:rPr>
          <w:rFonts w:ascii="Verdana" w:hAnsi="Verdana"/>
          <w:sz w:val="18"/>
          <w:szCs w:val="18"/>
          <w:lang w:val="en-GB"/>
        </w:rPr>
        <w:t xml:space="preserve"> While these documents provide clarity for supervisors and banks alike, it is important to limit the number of mandates. Co-legislators should be disciplined in only including a clearly demarcated mandate when there is a justified necessity for such a mandate. Review clauses should be limited and the time frames for such clauses could be standardized. </w:t>
      </w:r>
      <w:r w:rsidR="00A03555">
        <w:rPr>
          <w:rFonts w:ascii="Verdana" w:hAnsi="Verdana"/>
          <w:sz w:val="18"/>
          <w:szCs w:val="18"/>
          <w:lang w:val="en-GB"/>
        </w:rPr>
        <w:t>Building on the positive work already conducted by the EBA, s</w:t>
      </w:r>
      <w:r w:rsidRPr="0001707D">
        <w:rPr>
          <w:rFonts w:ascii="Verdana" w:hAnsi="Verdana"/>
          <w:sz w:val="18"/>
          <w:szCs w:val="18"/>
          <w:lang w:val="en-GB"/>
        </w:rPr>
        <w:t>upervisory authorities should continue to jointly assess the existing stock of regulation and flow of new regulation regarding mandates for lower level (technical) standards.</w:t>
      </w:r>
    </w:p>
    <w:p w:rsidRPr="0001707D" w:rsidR="00DE5875" w:rsidP="002D4860" w:rsidRDefault="00DE5875" w14:paraId="6CC8EEF2" w14:textId="2AD8F67B">
      <w:pPr>
        <w:pStyle w:val="Lijstalinea"/>
        <w:numPr>
          <w:ilvl w:val="0"/>
          <w:numId w:val="8"/>
        </w:numPr>
        <w:rPr>
          <w:rFonts w:ascii="Verdana" w:hAnsi="Verdana"/>
          <w:sz w:val="18"/>
          <w:szCs w:val="18"/>
          <w:lang w:val="en-GB"/>
        </w:rPr>
      </w:pPr>
      <w:r w:rsidRPr="0001707D">
        <w:rPr>
          <w:rFonts w:ascii="Verdana" w:hAnsi="Verdana"/>
          <w:b/>
          <w:bCs/>
          <w:sz w:val="18"/>
          <w:szCs w:val="18"/>
          <w:lang w:val="en-GB"/>
        </w:rPr>
        <w:t>Reduce</w:t>
      </w:r>
      <w:r w:rsidRPr="0001707D" w:rsidR="00B3138F">
        <w:rPr>
          <w:rFonts w:ascii="Verdana" w:hAnsi="Verdana"/>
          <w:b/>
          <w:bCs/>
          <w:sz w:val="18"/>
          <w:szCs w:val="18"/>
          <w:lang w:val="en-GB"/>
        </w:rPr>
        <w:t xml:space="preserve"> the</w:t>
      </w:r>
      <w:r w:rsidRPr="0001707D">
        <w:rPr>
          <w:rFonts w:ascii="Verdana" w:hAnsi="Verdana"/>
          <w:b/>
          <w:bCs/>
          <w:sz w:val="18"/>
          <w:szCs w:val="18"/>
          <w:lang w:val="en-GB"/>
        </w:rPr>
        <w:t xml:space="preserve"> reporting burden.</w:t>
      </w:r>
      <w:r w:rsidRPr="0001707D">
        <w:rPr>
          <w:rFonts w:ascii="Verdana" w:hAnsi="Verdana"/>
          <w:sz w:val="18"/>
          <w:szCs w:val="18"/>
          <w:lang w:val="en-GB"/>
        </w:rPr>
        <w:t xml:space="preserve"> </w:t>
      </w:r>
      <w:r w:rsidR="00935C32">
        <w:rPr>
          <w:rFonts w:ascii="Verdana" w:hAnsi="Verdana"/>
          <w:sz w:val="18"/>
          <w:szCs w:val="18"/>
          <w:lang w:val="en-GB"/>
        </w:rPr>
        <w:t xml:space="preserve">In line with </w:t>
      </w:r>
      <w:r w:rsidR="00C303E8">
        <w:rPr>
          <w:rFonts w:ascii="Verdana" w:hAnsi="Verdana"/>
          <w:sz w:val="18"/>
          <w:szCs w:val="18"/>
          <w:lang w:val="en-GB"/>
        </w:rPr>
        <w:t xml:space="preserve">the </w:t>
      </w:r>
      <w:r w:rsidR="0078233E">
        <w:rPr>
          <w:rFonts w:ascii="Verdana" w:hAnsi="Verdana"/>
          <w:sz w:val="18"/>
          <w:szCs w:val="18"/>
          <w:lang w:val="en-GB"/>
        </w:rPr>
        <w:t xml:space="preserve">ongoing </w:t>
      </w:r>
      <w:r w:rsidR="00EC3BF8">
        <w:rPr>
          <w:rFonts w:ascii="Verdana" w:hAnsi="Verdana"/>
          <w:sz w:val="18"/>
          <w:szCs w:val="18"/>
          <w:lang w:val="en-GB"/>
        </w:rPr>
        <w:t>efforts</w:t>
      </w:r>
      <w:r w:rsidR="008D2346">
        <w:rPr>
          <w:rFonts w:ascii="Verdana" w:hAnsi="Verdana"/>
          <w:sz w:val="18"/>
          <w:szCs w:val="18"/>
          <w:lang w:val="en-GB"/>
        </w:rPr>
        <w:t xml:space="preserve"> by the EBA</w:t>
      </w:r>
      <w:r w:rsidR="004115B7">
        <w:rPr>
          <w:rFonts w:ascii="Verdana" w:hAnsi="Verdana"/>
          <w:sz w:val="18"/>
          <w:szCs w:val="18"/>
          <w:lang w:val="en-GB"/>
        </w:rPr>
        <w:t xml:space="preserve">, </w:t>
      </w:r>
      <w:r w:rsidR="009A1D7F">
        <w:rPr>
          <w:rFonts w:ascii="Verdana" w:hAnsi="Verdana"/>
          <w:sz w:val="18"/>
          <w:szCs w:val="18"/>
          <w:lang w:val="en-GB"/>
        </w:rPr>
        <w:t xml:space="preserve">the </w:t>
      </w:r>
      <w:r w:rsidR="004115B7">
        <w:rPr>
          <w:rFonts w:ascii="Verdana" w:hAnsi="Verdana"/>
          <w:sz w:val="18"/>
          <w:szCs w:val="18"/>
          <w:lang w:val="en-GB"/>
        </w:rPr>
        <w:t>ECB and national authorities</w:t>
      </w:r>
      <w:r w:rsidR="00C303E8">
        <w:rPr>
          <w:rFonts w:ascii="Verdana" w:hAnsi="Verdana"/>
          <w:sz w:val="18"/>
          <w:szCs w:val="18"/>
          <w:lang w:val="en-GB"/>
        </w:rPr>
        <w:t xml:space="preserve"> to </w:t>
      </w:r>
      <w:r w:rsidR="00573D90">
        <w:rPr>
          <w:rFonts w:ascii="Verdana" w:hAnsi="Verdana"/>
          <w:sz w:val="18"/>
          <w:szCs w:val="18"/>
          <w:lang w:val="en-GB"/>
        </w:rPr>
        <w:t>simplify and better integrate the European reporting framework</w:t>
      </w:r>
      <w:r w:rsidR="00BB1FDC">
        <w:rPr>
          <w:rFonts w:ascii="Verdana" w:hAnsi="Verdana"/>
          <w:sz w:val="18"/>
          <w:szCs w:val="18"/>
          <w:lang w:val="en-GB"/>
        </w:rPr>
        <w:t>, we emphasise the need for</w:t>
      </w:r>
      <w:r w:rsidRPr="0001707D" w:rsidR="002555FF">
        <w:rPr>
          <w:rFonts w:ascii="Verdana" w:hAnsi="Verdana"/>
          <w:sz w:val="18"/>
          <w:szCs w:val="18"/>
          <w:lang w:val="en-GB"/>
        </w:rPr>
        <w:t xml:space="preserve"> a</w:t>
      </w:r>
      <w:r w:rsidRPr="0001707D" w:rsidR="00B3138F">
        <w:rPr>
          <w:rFonts w:ascii="Verdana" w:hAnsi="Verdana"/>
          <w:sz w:val="18"/>
          <w:szCs w:val="18"/>
          <w:lang w:val="en-GB"/>
        </w:rPr>
        <w:t xml:space="preserve"> structured and fixed schedule for updates </w:t>
      </w:r>
      <w:r w:rsidRPr="0001707D" w:rsidR="002555FF">
        <w:rPr>
          <w:rFonts w:ascii="Verdana" w:hAnsi="Verdana"/>
          <w:sz w:val="18"/>
          <w:szCs w:val="18"/>
          <w:lang w:val="en-GB"/>
        </w:rPr>
        <w:t xml:space="preserve">to the requirements </w:t>
      </w:r>
      <w:r w:rsidRPr="0001707D" w:rsidR="00B3138F">
        <w:rPr>
          <w:rFonts w:ascii="Verdana" w:hAnsi="Verdana"/>
          <w:sz w:val="18"/>
          <w:szCs w:val="18"/>
          <w:lang w:val="en-GB"/>
        </w:rPr>
        <w:t>with at the same time sufficient lead times for all stakeholders</w:t>
      </w:r>
      <w:r w:rsidR="00334072">
        <w:rPr>
          <w:rFonts w:ascii="Verdana" w:hAnsi="Verdana"/>
          <w:sz w:val="18"/>
          <w:szCs w:val="18"/>
          <w:lang w:val="en-GB"/>
        </w:rPr>
        <w:t xml:space="preserve"> to relief the reporting burden</w:t>
      </w:r>
      <w:r w:rsidRPr="0001707D" w:rsidR="00B3138F">
        <w:rPr>
          <w:rFonts w:ascii="Verdana" w:hAnsi="Verdana"/>
          <w:sz w:val="18"/>
          <w:szCs w:val="18"/>
          <w:lang w:val="en-GB"/>
        </w:rPr>
        <w:t xml:space="preserve">. </w:t>
      </w:r>
      <w:r w:rsidR="00A47880">
        <w:rPr>
          <w:rFonts w:ascii="Verdana" w:hAnsi="Verdana"/>
          <w:sz w:val="18"/>
          <w:szCs w:val="18"/>
          <w:lang w:val="en-GB"/>
        </w:rPr>
        <w:t>T</w:t>
      </w:r>
      <w:r w:rsidRPr="0001707D" w:rsidR="002555FF">
        <w:rPr>
          <w:rFonts w:ascii="Verdana" w:hAnsi="Verdana"/>
          <w:sz w:val="18"/>
          <w:szCs w:val="18"/>
          <w:lang w:val="en-GB"/>
        </w:rPr>
        <w:t>he f</w:t>
      </w:r>
      <w:r w:rsidRPr="0001707D" w:rsidR="00B3138F">
        <w:rPr>
          <w:rFonts w:ascii="Verdana" w:hAnsi="Verdana"/>
          <w:sz w:val="18"/>
          <w:szCs w:val="18"/>
          <w:lang w:val="en-GB"/>
        </w:rPr>
        <w:t>requency of updates should be no more than once per year.</w:t>
      </w:r>
      <w:r w:rsidR="00D270FA">
        <w:rPr>
          <w:rFonts w:ascii="Verdana" w:hAnsi="Verdana"/>
          <w:sz w:val="18"/>
          <w:szCs w:val="18"/>
          <w:lang w:val="en-GB"/>
        </w:rPr>
        <w:t xml:space="preserve"> No new reporting rules should be introduced unless they are essential and proportionate.  </w:t>
      </w:r>
    </w:p>
    <w:p w:rsidRPr="0001707D" w:rsidR="002555FF" w:rsidP="002D4860" w:rsidRDefault="008111C0" w14:paraId="4EB19C2A" w14:textId="7DD26FF1">
      <w:pPr>
        <w:pStyle w:val="Lijstalinea"/>
        <w:numPr>
          <w:ilvl w:val="0"/>
          <w:numId w:val="8"/>
        </w:numPr>
        <w:rPr>
          <w:rFonts w:ascii="Verdana" w:hAnsi="Verdana"/>
          <w:sz w:val="18"/>
          <w:szCs w:val="18"/>
          <w:lang w:val="en-GB"/>
        </w:rPr>
      </w:pPr>
      <w:r w:rsidRPr="0001707D">
        <w:rPr>
          <w:rFonts w:ascii="Verdana" w:hAnsi="Verdana"/>
          <w:b/>
          <w:bCs/>
          <w:sz w:val="18"/>
          <w:szCs w:val="18"/>
          <w:lang w:val="en-GB"/>
        </w:rPr>
        <w:t xml:space="preserve">Introduce more proportionality in the prudential framework for smaller banks and allow more institutions to qualify for it. </w:t>
      </w:r>
      <w:bookmarkStart w:name="_Hlk224576638" w:id="0"/>
      <w:r w:rsidRPr="0001707D">
        <w:rPr>
          <w:rFonts w:ascii="Verdana" w:hAnsi="Verdana"/>
          <w:sz w:val="18"/>
          <w:szCs w:val="18"/>
          <w:lang w:val="en-GB"/>
        </w:rPr>
        <w:t xml:space="preserve">A </w:t>
      </w:r>
      <w:r w:rsidR="009749E2">
        <w:rPr>
          <w:rFonts w:ascii="Verdana" w:hAnsi="Verdana"/>
          <w:sz w:val="18"/>
          <w:szCs w:val="18"/>
          <w:lang w:val="en-GB"/>
        </w:rPr>
        <w:t>revised</w:t>
      </w:r>
      <w:r w:rsidRPr="0001707D">
        <w:rPr>
          <w:rFonts w:ascii="Verdana" w:hAnsi="Verdana"/>
          <w:sz w:val="18"/>
          <w:szCs w:val="18"/>
          <w:lang w:val="en-GB"/>
        </w:rPr>
        <w:t xml:space="preserve"> prudential regime</w:t>
      </w:r>
      <w:r w:rsidR="001730BF">
        <w:rPr>
          <w:rFonts w:ascii="Verdana" w:hAnsi="Verdana"/>
          <w:sz w:val="18"/>
          <w:szCs w:val="18"/>
          <w:lang w:val="en-GB"/>
        </w:rPr>
        <w:t xml:space="preserve">, </w:t>
      </w:r>
      <w:r w:rsidR="00203EC9">
        <w:rPr>
          <w:rFonts w:ascii="Verdana" w:hAnsi="Verdana"/>
          <w:sz w:val="18"/>
          <w:szCs w:val="18"/>
          <w:lang w:val="en-GB"/>
        </w:rPr>
        <w:t>embedded in the single rulebook,</w:t>
      </w:r>
      <w:r w:rsidRPr="0001707D">
        <w:rPr>
          <w:rFonts w:ascii="Verdana" w:hAnsi="Verdana"/>
          <w:sz w:val="18"/>
          <w:szCs w:val="18"/>
          <w:lang w:val="en-GB"/>
        </w:rPr>
        <w:t xml:space="preserve"> for (a subset of) LSIs could be </w:t>
      </w:r>
      <w:r w:rsidR="006F3E72">
        <w:rPr>
          <w:rFonts w:ascii="Verdana" w:hAnsi="Verdana"/>
          <w:sz w:val="18"/>
          <w:szCs w:val="18"/>
          <w:lang w:val="en-GB"/>
        </w:rPr>
        <w:t>achieved by expanding</w:t>
      </w:r>
      <w:r w:rsidRPr="0001707D">
        <w:rPr>
          <w:rFonts w:ascii="Verdana" w:hAnsi="Verdana"/>
          <w:sz w:val="18"/>
          <w:szCs w:val="18"/>
          <w:lang w:val="en-GB"/>
        </w:rPr>
        <w:t xml:space="preserve"> the regime for Small and Non-complex institutions (SNCIs) or a different proposal altogether. This regime should continue to adhere to the following principles: </w:t>
      </w:r>
      <w:proofErr w:type="spellStart"/>
      <w:r w:rsidRPr="0001707D">
        <w:rPr>
          <w:rFonts w:ascii="Verdana" w:hAnsi="Verdana"/>
          <w:sz w:val="18"/>
          <w:szCs w:val="18"/>
          <w:lang w:val="en-GB"/>
        </w:rPr>
        <w:t>i</w:t>
      </w:r>
      <w:proofErr w:type="spellEnd"/>
      <w:r w:rsidRPr="0001707D">
        <w:rPr>
          <w:rFonts w:ascii="Verdana" w:hAnsi="Verdana"/>
          <w:sz w:val="18"/>
          <w:szCs w:val="18"/>
          <w:lang w:val="en-GB"/>
        </w:rPr>
        <w:t>) capital requirements should be based on risk-weighted assets, so as to limit the dichotomy between these and other banks in the internal market; ii) to sufficiently address risks, a simpler regime should be more strict in the level of requirements; iii) proportionality should not hamper flexibility, e.g. in buffer releasability</w:t>
      </w:r>
      <w:r w:rsidRPr="0058742A" w:rsidR="0058742A">
        <w:rPr>
          <w:rFonts w:ascii="Verdana" w:hAnsi="Verdana"/>
          <w:sz w:val="18"/>
          <w:szCs w:val="18"/>
          <w:lang w:val="en-GB"/>
        </w:rPr>
        <w:t xml:space="preserve">; </w:t>
      </w:r>
      <w:r w:rsidR="0058742A">
        <w:rPr>
          <w:rFonts w:ascii="Verdana" w:hAnsi="Verdana"/>
          <w:sz w:val="18"/>
          <w:szCs w:val="18"/>
          <w:lang w:val="en-GB"/>
        </w:rPr>
        <w:t>iv)</w:t>
      </w:r>
      <w:r w:rsidR="00CE3C81">
        <w:rPr>
          <w:rFonts w:ascii="Verdana" w:hAnsi="Verdana"/>
          <w:i/>
          <w:iCs/>
          <w:sz w:val="18"/>
          <w:szCs w:val="18"/>
          <w:lang w:val="en-GB"/>
        </w:rPr>
        <w:t xml:space="preserve"> </w:t>
      </w:r>
      <w:r w:rsidRPr="0058742A" w:rsidR="0058742A">
        <w:rPr>
          <w:rFonts w:ascii="Verdana" w:hAnsi="Verdana"/>
          <w:sz w:val="18"/>
          <w:szCs w:val="18"/>
          <w:lang w:val="en-GB"/>
        </w:rPr>
        <w:t>the regime should be embedded in the single rulebook.</w:t>
      </w:r>
      <w:r w:rsidRPr="0001707D">
        <w:rPr>
          <w:rFonts w:ascii="Verdana" w:hAnsi="Verdana"/>
          <w:sz w:val="18"/>
          <w:szCs w:val="18"/>
          <w:lang w:val="en-GB"/>
        </w:rPr>
        <w:t xml:space="preserve"> Meanwhile, European and national supervisors should continue their efforts to make the intensity and frequency of supervision more proportional.</w:t>
      </w:r>
      <w:bookmarkEnd w:id="0"/>
      <w:r w:rsidR="0056611B">
        <w:rPr>
          <w:rFonts w:ascii="Verdana" w:hAnsi="Verdana"/>
          <w:sz w:val="18"/>
          <w:szCs w:val="18"/>
          <w:lang w:val="en-GB"/>
        </w:rPr>
        <w:t xml:space="preserve"> In this context, we note that </w:t>
      </w:r>
      <w:r w:rsidR="007456DB">
        <w:rPr>
          <w:rFonts w:ascii="Verdana" w:hAnsi="Verdana"/>
          <w:sz w:val="18"/>
          <w:szCs w:val="18"/>
          <w:lang w:val="en-GB"/>
        </w:rPr>
        <w:t xml:space="preserve">since 2023 the SSM has implemented an ambitious reform agenda </w:t>
      </w:r>
      <w:r w:rsidR="00D8509F">
        <w:rPr>
          <w:rFonts w:ascii="Verdana" w:hAnsi="Verdana"/>
          <w:sz w:val="18"/>
          <w:szCs w:val="18"/>
          <w:lang w:val="en-GB"/>
        </w:rPr>
        <w:t>aimed at strengthening the efficiency, effectiveness and risk-based approach of banking supervision through reforms of the SREP and related supervisory initiatives.</w:t>
      </w:r>
    </w:p>
    <w:p w:rsidRPr="0001707D" w:rsidR="002D4860" w:rsidP="002D4860" w:rsidRDefault="0083288E" w14:paraId="05E90794" w14:textId="1EAF96DF">
      <w:pPr>
        <w:rPr>
          <w:rFonts w:ascii="Verdana" w:hAnsi="Verdana"/>
          <w:sz w:val="18"/>
          <w:szCs w:val="18"/>
          <w:lang w:val="en-GB"/>
        </w:rPr>
      </w:pPr>
      <w:r w:rsidRPr="0001707D">
        <w:rPr>
          <w:rFonts w:ascii="Verdana" w:hAnsi="Verdana"/>
          <w:sz w:val="18"/>
          <w:szCs w:val="18"/>
          <w:lang w:val="en-GB"/>
        </w:rPr>
        <w:t xml:space="preserve">These elements combined should </w:t>
      </w:r>
      <w:r w:rsidRPr="0001707D" w:rsidR="00897805">
        <w:rPr>
          <w:rFonts w:ascii="Verdana" w:hAnsi="Verdana"/>
          <w:sz w:val="18"/>
          <w:szCs w:val="18"/>
          <w:lang w:val="en-GB"/>
        </w:rPr>
        <w:t>enhance banks’ ability to support the EU economy</w:t>
      </w:r>
      <w:r w:rsidR="00A47880">
        <w:rPr>
          <w:rFonts w:ascii="Verdana" w:hAnsi="Verdana"/>
          <w:sz w:val="18"/>
          <w:szCs w:val="18"/>
          <w:lang w:val="en-GB"/>
        </w:rPr>
        <w:t xml:space="preserve"> and improve its</w:t>
      </w:r>
      <w:r w:rsidRPr="0001707D" w:rsidR="00897805">
        <w:rPr>
          <w:rFonts w:ascii="Verdana" w:hAnsi="Verdana"/>
          <w:sz w:val="18"/>
          <w:szCs w:val="18"/>
          <w:lang w:val="en-GB"/>
        </w:rPr>
        <w:t xml:space="preserve"> competitiveness by </w:t>
      </w:r>
      <w:r w:rsidRPr="0001707D">
        <w:rPr>
          <w:rFonts w:ascii="Verdana" w:hAnsi="Verdana"/>
          <w:sz w:val="18"/>
          <w:szCs w:val="18"/>
          <w:lang w:val="en-GB"/>
        </w:rPr>
        <w:t>ensur</w:t>
      </w:r>
      <w:r w:rsidRPr="0001707D" w:rsidR="00897805">
        <w:rPr>
          <w:rFonts w:ascii="Verdana" w:hAnsi="Verdana"/>
          <w:sz w:val="18"/>
          <w:szCs w:val="18"/>
          <w:lang w:val="en-GB"/>
        </w:rPr>
        <w:t>ing</w:t>
      </w:r>
      <w:r w:rsidRPr="0001707D">
        <w:rPr>
          <w:rFonts w:ascii="Verdana" w:hAnsi="Verdana"/>
          <w:sz w:val="18"/>
          <w:szCs w:val="18"/>
          <w:lang w:val="en-GB"/>
        </w:rPr>
        <w:t xml:space="preserve"> that </w:t>
      </w:r>
      <w:r w:rsidRPr="0001707D" w:rsidR="002A01C1">
        <w:rPr>
          <w:rFonts w:ascii="Verdana" w:hAnsi="Verdana"/>
          <w:sz w:val="18"/>
          <w:szCs w:val="18"/>
          <w:lang w:val="en-GB"/>
        </w:rPr>
        <w:t xml:space="preserve">banks are able to benefit from the full potential of the EU’s internal market and that undue complexity of the regulatory framework is addressed. </w:t>
      </w:r>
    </w:p>
    <w:sectPr w:rsidRPr="0001707D" w:rsidR="002D4860">
      <w:headerReference w:type="default" r:id="rId7"/>
      <w:footerReference w:type="even" r:id="rId8"/>
      <w:footerReference w:type="default" r:id="rId9"/>
      <w:footerReference w:type="firs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37893" w14:textId="77777777" w:rsidR="00A025F1" w:rsidRDefault="00A025F1" w:rsidP="006B46E4">
      <w:pPr>
        <w:spacing w:after="0" w:line="240" w:lineRule="auto"/>
      </w:pPr>
      <w:r>
        <w:separator/>
      </w:r>
    </w:p>
  </w:endnote>
  <w:endnote w:type="continuationSeparator" w:id="0">
    <w:p w14:paraId="23F22D30" w14:textId="77777777" w:rsidR="00A025F1" w:rsidRDefault="00A025F1" w:rsidP="006B4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9BFC7" w14:textId="3C811DF6" w:rsidR="00FC5587" w:rsidRDefault="00FC5587">
    <w:pPr>
      <w:pStyle w:val="Voettekst"/>
    </w:pPr>
    <w:r>
      <w:rPr>
        <w:noProof/>
      </w:rPr>
      <mc:AlternateContent>
        <mc:Choice Requires="wps">
          <w:drawing>
            <wp:anchor distT="0" distB="0" distL="0" distR="0" simplePos="0" relativeHeight="251658241" behindDoc="0" locked="0" layoutInCell="1" allowOverlap="1" wp14:anchorId="40674736" wp14:editId="6E98B7C1">
              <wp:simplePos x="635" y="635"/>
              <wp:positionH relativeFrom="page">
                <wp:align>left</wp:align>
              </wp:positionH>
              <wp:positionV relativeFrom="page">
                <wp:align>bottom</wp:align>
              </wp:positionV>
              <wp:extent cx="1007110" cy="357505"/>
              <wp:effectExtent l="0" t="0" r="2540" b="0"/>
              <wp:wrapNone/>
              <wp:docPr id="182859812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57505"/>
                      </a:xfrm>
                      <a:prstGeom prst="rect">
                        <a:avLst/>
                      </a:prstGeom>
                      <a:noFill/>
                      <a:ln>
                        <a:noFill/>
                      </a:ln>
                    </wps:spPr>
                    <wps:txbx>
                      <w:txbxContent>
                        <w:p w14:paraId="558C648A" w14:textId="05F9DE13" w:rsidR="00FC5587" w:rsidRPr="00FC5587" w:rsidRDefault="00FC5587" w:rsidP="00FC5587">
                          <w:pPr>
                            <w:spacing w:after="0"/>
                            <w:rPr>
                              <w:rFonts w:ascii="Aptos" w:eastAsia="Aptos" w:hAnsi="Aptos" w:cs="Aptos"/>
                              <w:noProof/>
                              <w:color w:val="000000"/>
                              <w:sz w:val="20"/>
                              <w:szCs w:val="20"/>
                            </w:rPr>
                          </w:pPr>
                          <w:r w:rsidRPr="00FC5587">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674736" id="_x0000_t202" coordsize="21600,21600" o:spt="202" path="m,l,21600r21600,l21600,xe">
              <v:stroke joinstyle="miter"/>
              <v:path gradientshapeok="t" o:connecttype="rect"/>
            </v:shapetype>
            <v:shape id="Tekstvak 2" o:spid="_x0000_s1026" type="#_x0000_t202" alt="Intern gebruik" style="position:absolute;margin-left:0;margin-top:0;width:79.3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" filled="f" stroked="f">
              <v:textbox style="mso-fit-shape-to-text:t" inset="20pt,0,0,15pt">
                <w:txbxContent>
                  <w:p w14:paraId="558C648A" w14:textId="05F9DE13" w:rsidR="00FC5587" w:rsidRPr="00FC5587" w:rsidRDefault="00FC5587" w:rsidP="00FC5587">
                    <w:pPr>
                      <w:spacing w:after="0"/>
                      <w:rPr>
                        <w:rFonts w:ascii="Aptos" w:eastAsia="Aptos" w:hAnsi="Aptos" w:cs="Aptos"/>
                        <w:noProof/>
                        <w:color w:val="000000"/>
                        <w:sz w:val="20"/>
                        <w:szCs w:val="20"/>
                      </w:rPr>
                    </w:pPr>
                    <w:r w:rsidRPr="00FC5587">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07A0" w14:textId="7BEC5EFE" w:rsidR="00DD6392" w:rsidRDefault="00B122B4">
    <w:pPr>
      <w:pStyle w:val="Voettekst"/>
      <w:jc w:val="right"/>
    </w:pPr>
    <w:sdt>
      <w:sdtPr>
        <w:id w:val="1793315124"/>
        <w:docPartObj>
          <w:docPartGallery w:val="Page Numbers (Bottom of Page)"/>
          <w:docPartUnique/>
        </w:docPartObj>
      </w:sdtPr>
      <w:sdtEndPr/>
      <w:sdtContent>
        <w:r w:rsidR="00DD6392">
          <w:fldChar w:fldCharType="begin"/>
        </w:r>
        <w:r w:rsidR="00DD6392">
          <w:instrText>PAGE   \* MERGEFORMAT</w:instrText>
        </w:r>
        <w:r w:rsidR="00DD6392">
          <w:fldChar w:fldCharType="separate"/>
        </w:r>
        <w:r w:rsidR="00DD6392">
          <w:t>2</w:t>
        </w:r>
        <w:r w:rsidR="00DD6392">
          <w:fldChar w:fldCharType="end"/>
        </w:r>
      </w:sdtContent>
    </w:sdt>
  </w:p>
  <w:p w14:paraId="18787685" w14:textId="77777777" w:rsidR="00DD6392" w:rsidRDefault="00DD63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41C7" w14:textId="16EE876C" w:rsidR="00FC5587" w:rsidRDefault="00FC5587">
    <w:pPr>
      <w:pStyle w:val="Voettekst"/>
    </w:pPr>
    <w:r>
      <w:rPr>
        <w:noProof/>
      </w:rPr>
      <mc:AlternateContent>
        <mc:Choice Requires="wps">
          <w:drawing>
            <wp:anchor distT="0" distB="0" distL="0" distR="0" simplePos="0" relativeHeight="251658240" behindDoc="0" locked="0" layoutInCell="1" allowOverlap="1" wp14:anchorId="57CDF99F" wp14:editId="007E5A47">
              <wp:simplePos x="635" y="635"/>
              <wp:positionH relativeFrom="page">
                <wp:align>left</wp:align>
              </wp:positionH>
              <wp:positionV relativeFrom="page">
                <wp:align>bottom</wp:align>
              </wp:positionV>
              <wp:extent cx="1007110" cy="357505"/>
              <wp:effectExtent l="0" t="0" r="2540" b="0"/>
              <wp:wrapNone/>
              <wp:docPr id="185606564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57505"/>
                      </a:xfrm>
                      <a:prstGeom prst="rect">
                        <a:avLst/>
                      </a:prstGeom>
                      <a:noFill/>
                      <a:ln>
                        <a:noFill/>
                      </a:ln>
                    </wps:spPr>
                    <wps:txbx>
                      <w:txbxContent>
                        <w:p w14:paraId="7050E064" w14:textId="69BD5DF4" w:rsidR="00FC5587" w:rsidRPr="00FC5587" w:rsidRDefault="00FC5587" w:rsidP="00FC5587">
                          <w:pPr>
                            <w:spacing w:after="0"/>
                            <w:rPr>
                              <w:rFonts w:ascii="Aptos" w:eastAsia="Aptos" w:hAnsi="Aptos" w:cs="Aptos"/>
                              <w:noProof/>
                              <w:color w:val="000000"/>
                              <w:sz w:val="20"/>
                              <w:szCs w:val="20"/>
                            </w:rPr>
                          </w:pPr>
                          <w:r w:rsidRPr="00FC5587">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CDF99F" id="_x0000_t202" coordsize="21600,21600" o:spt="202" path="m,l,21600r21600,l21600,xe">
              <v:stroke joinstyle="miter"/>
              <v:path gradientshapeok="t" o:connecttype="rect"/>
            </v:shapetype>
            <v:shape id="Tekstvak 1" o:spid="_x0000_s1027" type="#_x0000_t202" alt="Intern gebruik" style="position:absolute;margin-left:0;margin-top:0;width:79.3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" filled="f" stroked="f">
              <v:textbox style="mso-fit-shape-to-text:t" inset="20pt,0,0,15pt">
                <w:txbxContent>
                  <w:p w14:paraId="7050E064" w14:textId="69BD5DF4" w:rsidR="00FC5587" w:rsidRPr="00FC5587" w:rsidRDefault="00FC5587" w:rsidP="00FC5587">
                    <w:pPr>
                      <w:spacing w:after="0"/>
                      <w:rPr>
                        <w:rFonts w:ascii="Aptos" w:eastAsia="Aptos" w:hAnsi="Aptos" w:cs="Aptos"/>
                        <w:noProof/>
                        <w:color w:val="000000"/>
                        <w:sz w:val="20"/>
                        <w:szCs w:val="20"/>
                      </w:rPr>
                    </w:pPr>
                    <w:r w:rsidRPr="00FC5587">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44A20" w14:textId="77777777" w:rsidR="00A025F1" w:rsidRDefault="00A025F1" w:rsidP="006B46E4">
      <w:pPr>
        <w:spacing w:after="0" w:line="240" w:lineRule="auto"/>
      </w:pPr>
      <w:r>
        <w:separator/>
      </w:r>
    </w:p>
  </w:footnote>
  <w:footnote w:type="continuationSeparator" w:id="0">
    <w:p w14:paraId="7A193382" w14:textId="77777777" w:rsidR="00A025F1" w:rsidRDefault="00A025F1" w:rsidP="006B46E4">
      <w:pPr>
        <w:spacing w:after="0" w:line="240" w:lineRule="auto"/>
      </w:pPr>
      <w:r>
        <w:continuationSeparator/>
      </w:r>
    </w:p>
  </w:footnote>
  <w:footnote w:id="1">
    <w:p w14:paraId="0371F06F" w14:textId="77777777" w:rsidR="00A1382F" w:rsidRPr="00AF3EF7" w:rsidRDefault="00A1382F" w:rsidP="00A1382F">
      <w:pPr>
        <w:pStyle w:val="Voetnoottekst"/>
        <w:rPr>
          <w:rFonts w:ascii="Verdana" w:hAnsi="Verdana"/>
          <w:sz w:val="14"/>
          <w:szCs w:val="14"/>
          <w:lang w:val="en-US"/>
        </w:rPr>
      </w:pPr>
      <w:r w:rsidRPr="00AF3EF7">
        <w:rPr>
          <w:rStyle w:val="Voetnootmarkering"/>
          <w:rFonts w:ascii="Verdana" w:hAnsi="Verdana"/>
          <w:sz w:val="14"/>
          <w:szCs w:val="14"/>
        </w:rPr>
        <w:footnoteRef/>
      </w:r>
      <w:r w:rsidRPr="00AF3EF7">
        <w:rPr>
          <w:rFonts w:ascii="Verdana" w:hAnsi="Verdana"/>
          <w:sz w:val="14"/>
          <w:szCs w:val="14"/>
          <w:lang w:val="en-US"/>
        </w:rPr>
        <w:t xml:space="preserve"> Conclusions on simplifying the Union’s financial services regulation – Council Conclusions, 12 December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3AF8" w14:textId="2F72878B" w:rsidR="004C77DA" w:rsidRPr="00151289" w:rsidRDefault="004C77DA" w:rsidP="004C77DA">
    <w:pPr>
      <w:pStyle w:val="Koptekst"/>
      <w:jc w:val="right"/>
      <w:rPr>
        <w:lang w:val="en-US"/>
      </w:rPr>
    </w:pPr>
    <w:r w:rsidRPr="0001707D">
      <w:rPr>
        <w:rFonts w:ascii="Verdana" w:hAnsi="Verdana"/>
        <w:sz w:val="18"/>
        <w:szCs w:val="18"/>
        <w:lang w:val="en-GB"/>
      </w:rPr>
      <w:t xml:space="preserve">The </w:t>
    </w:r>
    <w:r>
      <w:rPr>
        <w:rFonts w:ascii="Verdana" w:hAnsi="Verdana"/>
        <w:sz w:val="18"/>
        <w:szCs w:val="18"/>
        <w:lang w:val="en-GB"/>
      </w:rPr>
      <w:t xml:space="preserve">Dutch </w:t>
    </w:r>
    <w:r w:rsidRPr="0001707D">
      <w:rPr>
        <w:rFonts w:ascii="Verdana" w:hAnsi="Verdana"/>
        <w:sz w:val="18"/>
        <w:szCs w:val="18"/>
        <w:lang w:val="en-GB"/>
      </w:rPr>
      <w:t xml:space="preserve">Ministry of Finance and De </w:t>
    </w:r>
    <w:proofErr w:type="spellStart"/>
    <w:r w:rsidRPr="0001707D">
      <w:rPr>
        <w:rFonts w:ascii="Verdana" w:hAnsi="Verdana"/>
        <w:sz w:val="18"/>
        <w:szCs w:val="18"/>
        <w:lang w:val="en-GB"/>
      </w:rPr>
      <w:t>Nederlandsche</w:t>
    </w:r>
    <w:proofErr w:type="spellEnd"/>
    <w:r w:rsidRPr="0001707D">
      <w:rPr>
        <w:rFonts w:ascii="Verdana" w:hAnsi="Verdana"/>
        <w:sz w:val="18"/>
        <w:szCs w:val="18"/>
        <w:lang w:val="en-GB"/>
      </w:rPr>
      <w:t xml:space="preserve"> Bank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3BEA"/>
    <w:multiLevelType w:val="hybridMultilevel"/>
    <w:tmpl w:val="85BC269A"/>
    <w:lvl w:ilvl="0" w:tplc="6D54BF2C">
      <w:start w:val="1"/>
      <w:numFmt w:val="decimal"/>
      <w:lvlText w:val="%1."/>
      <w:lvlJc w:val="left"/>
      <w:pPr>
        <w:ind w:left="360" w:hanging="360"/>
      </w:pPr>
      <w:rPr>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F100C6D"/>
    <w:multiLevelType w:val="hybridMultilevel"/>
    <w:tmpl w:val="63DA18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1C41A1"/>
    <w:multiLevelType w:val="hybridMultilevel"/>
    <w:tmpl w:val="4378D1EE"/>
    <w:lvl w:ilvl="0" w:tplc="D0584DE2">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7AD5174"/>
    <w:multiLevelType w:val="hybridMultilevel"/>
    <w:tmpl w:val="4F42F2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2AE610D"/>
    <w:multiLevelType w:val="hybridMultilevel"/>
    <w:tmpl w:val="A922FD60"/>
    <w:lvl w:ilvl="0" w:tplc="0413000F">
      <w:start w:val="1"/>
      <w:numFmt w:val="decimal"/>
      <w:lvlText w:val="%1."/>
      <w:lvlJc w:val="left"/>
      <w:pPr>
        <w:ind w:left="360" w:hanging="360"/>
      </w:pPr>
      <w:rPr>
        <w:rFonts w:hint="default"/>
      </w:rPr>
    </w:lvl>
    <w:lvl w:ilvl="1" w:tplc="0413001B">
      <w:start w:val="1"/>
      <w:numFmt w:val="lowerRoman"/>
      <w:lvlText w:val="%2."/>
      <w:lvlJc w:val="right"/>
      <w:pPr>
        <w:ind w:left="1485" w:hanging="360"/>
      </w:p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8B856F3"/>
    <w:multiLevelType w:val="hybridMultilevel"/>
    <w:tmpl w:val="DBA85DA6"/>
    <w:lvl w:ilvl="0" w:tplc="04130001">
      <w:start w:val="1"/>
      <w:numFmt w:val="bullet"/>
      <w:lvlText w:val=""/>
      <w:lvlJc w:val="left"/>
      <w:pPr>
        <w:ind w:left="1146" w:hanging="360"/>
      </w:pPr>
      <w:rPr>
        <w:rFonts w:ascii="Symbol" w:hAnsi="Symbol" w:hint="default"/>
      </w:rPr>
    </w:lvl>
    <w:lvl w:ilvl="1" w:tplc="04130003">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6" w15:restartNumberingAfterBreak="0">
    <w:nsid w:val="5E192260"/>
    <w:multiLevelType w:val="hybridMultilevel"/>
    <w:tmpl w:val="0C5A15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3946127"/>
    <w:multiLevelType w:val="hybridMultilevel"/>
    <w:tmpl w:val="BD62F868"/>
    <w:lvl w:ilvl="0" w:tplc="0413001B">
      <w:start w:val="1"/>
      <w:numFmt w:val="lowerRoman"/>
      <w:lvlText w:val="%1."/>
      <w:lvlJc w:val="right"/>
      <w:pPr>
        <w:ind w:left="1485" w:hanging="360"/>
      </w:pPr>
    </w:lvl>
    <w:lvl w:ilvl="1" w:tplc="04130019" w:tentative="1">
      <w:start w:val="1"/>
      <w:numFmt w:val="lowerLetter"/>
      <w:lvlText w:val="%2."/>
      <w:lvlJc w:val="left"/>
      <w:pPr>
        <w:ind w:left="2205" w:hanging="360"/>
      </w:pPr>
    </w:lvl>
    <w:lvl w:ilvl="2" w:tplc="0413001B" w:tentative="1">
      <w:start w:val="1"/>
      <w:numFmt w:val="lowerRoman"/>
      <w:lvlText w:val="%3."/>
      <w:lvlJc w:val="right"/>
      <w:pPr>
        <w:ind w:left="2925" w:hanging="180"/>
      </w:pPr>
    </w:lvl>
    <w:lvl w:ilvl="3" w:tplc="0413000F" w:tentative="1">
      <w:start w:val="1"/>
      <w:numFmt w:val="decimal"/>
      <w:lvlText w:val="%4."/>
      <w:lvlJc w:val="left"/>
      <w:pPr>
        <w:ind w:left="3645" w:hanging="360"/>
      </w:pPr>
    </w:lvl>
    <w:lvl w:ilvl="4" w:tplc="04130019" w:tentative="1">
      <w:start w:val="1"/>
      <w:numFmt w:val="lowerLetter"/>
      <w:lvlText w:val="%5."/>
      <w:lvlJc w:val="left"/>
      <w:pPr>
        <w:ind w:left="4365" w:hanging="360"/>
      </w:pPr>
    </w:lvl>
    <w:lvl w:ilvl="5" w:tplc="0413001B" w:tentative="1">
      <w:start w:val="1"/>
      <w:numFmt w:val="lowerRoman"/>
      <w:lvlText w:val="%6."/>
      <w:lvlJc w:val="right"/>
      <w:pPr>
        <w:ind w:left="5085" w:hanging="180"/>
      </w:pPr>
    </w:lvl>
    <w:lvl w:ilvl="6" w:tplc="0413000F" w:tentative="1">
      <w:start w:val="1"/>
      <w:numFmt w:val="decimal"/>
      <w:lvlText w:val="%7."/>
      <w:lvlJc w:val="left"/>
      <w:pPr>
        <w:ind w:left="5805" w:hanging="360"/>
      </w:pPr>
    </w:lvl>
    <w:lvl w:ilvl="7" w:tplc="04130019" w:tentative="1">
      <w:start w:val="1"/>
      <w:numFmt w:val="lowerLetter"/>
      <w:lvlText w:val="%8."/>
      <w:lvlJc w:val="left"/>
      <w:pPr>
        <w:ind w:left="6525" w:hanging="360"/>
      </w:pPr>
    </w:lvl>
    <w:lvl w:ilvl="8" w:tplc="0413001B" w:tentative="1">
      <w:start w:val="1"/>
      <w:numFmt w:val="lowerRoman"/>
      <w:lvlText w:val="%9."/>
      <w:lvlJc w:val="right"/>
      <w:pPr>
        <w:ind w:left="7245" w:hanging="180"/>
      </w:pPr>
    </w:lvl>
  </w:abstractNum>
  <w:abstractNum w:abstractNumId="8" w15:restartNumberingAfterBreak="0">
    <w:nsid w:val="6FA321F0"/>
    <w:multiLevelType w:val="hybridMultilevel"/>
    <w:tmpl w:val="F7622E22"/>
    <w:lvl w:ilvl="0" w:tplc="5318448A">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30760357">
    <w:abstractNumId w:val="3"/>
  </w:num>
  <w:num w:numId="2" w16cid:durableId="1891454165">
    <w:abstractNumId w:val="4"/>
  </w:num>
  <w:num w:numId="3" w16cid:durableId="118573566">
    <w:abstractNumId w:val="2"/>
  </w:num>
  <w:num w:numId="4" w16cid:durableId="1776902092">
    <w:abstractNumId w:val="7"/>
  </w:num>
  <w:num w:numId="5" w16cid:durableId="459691911">
    <w:abstractNumId w:val="4"/>
  </w:num>
  <w:num w:numId="6" w16cid:durableId="1915309395">
    <w:abstractNumId w:val="1"/>
  </w:num>
  <w:num w:numId="7" w16cid:durableId="2144156130">
    <w:abstractNumId w:val="6"/>
  </w:num>
  <w:num w:numId="8" w16cid:durableId="1522205659">
    <w:abstractNumId w:val="0"/>
  </w:num>
  <w:num w:numId="9" w16cid:durableId="1187058540">
    <w:abstractNumId w:val="5"/>
  </w:num>
  <w:num w:numId="10" w16cid:durableId="2130971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24700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6E4"/>
    <w:rsid w:val="00004923"/>
    <w:rsid w:val="00013777"/>
    <w:rsid w:val="0001707D"/>
    <w:rsid w:val="00036362"/>
    <w:rsid w:val="00041756"/>
    <w:rsid w:val="00051434"/>
    <w:rsid w:val="00057131"/>
    <w:rsid w:val="00065190"/>
    <w:rsid w:val="0007025E"/>
    <w:rsid w:val="00071E2B"/>
    <w:rsid w:val="000779B2"/>
    <w:rsid w:val="000808CE"/>
    <w:rsid w:val="00087C3D"/>
    <w:rsid w:val="00090EA2"/>
    <w:rsid w:val="0009761D"/>
    <w:rsid w:val="000A153A"/>
    <w:rsid w:val="000B341A"/>
    <w:rsid w:val="000C2C61"/>
    <w:rsid w:val="000C69A1"/>
    <w:rsid w:val="000D6E52"/>
    <w:rsid w:val="000E0B94"/>
    <w:rsid w:val="000E222D"/>
    <w:rsid w:val="000E7240"/>
    <w:rsid w:val="000F1DE8"/>
    <w:rsid w:val="000F2C70"/>
    <w:rsid w:val="000F2EAB"/>
    <w:rsid w:val="00105FD6"/>
    <w:rsid w:val="00106108"/>
    <w:rsid w:val="00120287"/>
    <w:rsid w:val="001315E2"/>
    <w:rsid w:val="001364F5"/>
    <w:rsid w:val="00137DCD"/>
    <w:rsid w:val="00151289"/>
    <w:rsid w:val="00152E0C"/>
    <w:rsid w:val="00153F23"/>
    <w:rsid w:val="00155517"/>
    <w:rsid w:val="00155BEA"/>
    <w:rsid w:val="00162954"/>
    <w:rsid w:val="00166B94"/>
    <w:rsid w:val="001730BF"/>
    <w:rsid w:val="00180430"/>
    <w:rsid w:val="00190940"/>
    <w:rsid w:val="00191A84"/>
    <w:rsid w:val="00191B6F"/>
    <w:rsid w:val="00196D18"/>
    <w:rsid w:val="001A0332"/>
    <w:rsid w:val="001B1FD6"/>
    <w:rsid w:val="001C0EE5"/>
    <w:rsid w:val="001D3492"/>
    <w:rsid w:val="001D41D8"/>
    <w:rsid w:val="001F3C83"/>
    <w:rsid w:val="00200E07"/>
    <w:rsid w:val="00202F9E"/>
    <w:rsid w:val="00203D02"/>
    <w:rsid w:val="00203EC9"/>
    <w:rsid w:val="0020423E"/>
    <w:rsid w:val="00205BE9"/>
    <w:rsid w:val="00206A77"/>
    <w:rsid w:val="00206AF7"/>
    <w:rsid w:val="00220716"/>
    <w:rsid w:val="00224165"/>
    <w:rsid w:val="00226163"/>
    <w:rsid w:val="00235968"/>
    <w:rsid w:val="002444D6"/>
    <w:rsid w:val="00244986"/>
    <w:rsid w:val="002460BD"/>
    <w:rsid w:val="002555FF"/>
    <w:rsid w:val="00255F6D"/>
    <w:rsid w:val="00256E89"/>
    <w:rsid w:val="0026370B"/>
    <w:rsid w:val="0026745F"/>
    <w:rsid w:val="00270BBB"/>
    <w:rsid w:val="0027139F"/>
    <w:rsid w:val="00272564"/>
    <w:rsid w:val="00282656"/>
    <w:rsid w:val="0028271B"/>
    <w:rsid w:val="002837B3"/>
    <w:rsid w:val="00287F97"/>
    <w:rsid w:val="00295919"/>
    <w:rsid w:val="002A01C1"/>
    <w:rsid w:val="002A37F4"/>
    <w:rsid w:val="002A44FE"/>
    <w:rsid w:val="002B6EC0"/>
    <w:rsid w:val="002C0BE2"/>
    <w:rsid w:val="002C2D4D"/>
    <w:rsid w:val="002C79F4"/>
    <w:rsid w:val="002D4860"/>
    <w:rsid w:val="002E6C37"/>
    <w:rsid w:val="00303399"/>
    <w:rsid w:val="00303665"/>
    <w:rsid w:val="00305DC2"/>
    <w:rsid w:val="0031280A"/>
    <w:rsid w:val="00321438"/>
    <w:rsid w:val="00321E39"/>
    <w:rsid w:val="00323CC6"/>
    <w:rsid w:val="00331DF8"/>
    <w:rsid w:val="00334072"/>
    <w:rsid w:val="0035712B"/>
    <w:rsid w:val="00361144"/>
    <w:rsid w:val="00364AAB"/>
    <w:rsid w:val="00372B79"/>
    <w:rsid w:val="00372F2D"/>
    <w:rsid w:val="0037599F"/>
    <w:rsid w:val="00382010"/>
    <w:rsid w:val="003868E6"/>
    <w:rsid w:val="003912A8"/>
    <w:rsid w:val="0039352F"/>
    <w:rsid w:val="00393789"/>
    <w:rsid w:val="003A1E00"/>
    <w:rsid w:val="003A53E9"/>
    <w:rsid w:val="003A6457"/>
    <w:rsid w:val="003A7AA2"/>
    <w:rsid w:val="003B5C57"/>
    <w:rsid w:val="003C1C54"/>
    <w:rsid w:val="003D30F1"/>
    <w:rsid w:val="003E0299"/>
    <w:rsid w:val="003E53B9"/>
    <w:rsid w:val="003F0C14"/>
    <w:rsid w:val="00405E72"/>
    <w:rsid w:val="004115B7"/>
    <w:rsid w:val="0041636C"/>
    <w:rsid w:val="00426B98"/>
    <w:rsid w:val="00437B2A"/>
    <w:rsid w:val="004462A7"/>
    <w:rsid w:val="00446EAD"/>
    <w:rsid w:val="0045366A"/>
    <w:rsid w:val="004604FA"/>
    <w:rsid w:val="00460E45"/>
    <w:rsid w:val="004639D2"/>
    <w:rsid w:val="00464F62"/>
    <w:rsid w:val="00471B43"/>
    <w:rsid w:val="00480621"/>
    <w:rsid w:val="00481E3C"/>
    <w:rsid w:val="004834F4"/>
    <w:rsid w:val="00483D15"/>
    <w:rsid w:val="00483D6C"/>
    <w:rsid w:val="00484931"/>
    <w:rsid w:val="00485F63"/>
    <w:rsid w:val="00487564"/>
    <w:rsid w:val="00492601"/>
    <w:rsid w:val="004A2563"/>
    <w:rsid w:val="004A2AE3"/>
    <w:rsid w:val="004B3C5E"/>
    <w:rsid w:val="004B43ED"/>
    <w:rsid w:val="004B7186"/>
    <w:rsid w:val="004C1F89"/>
    <w:rsid w:val="004C65D5"/>
    <w:rsid w:val="004C6859"/>
    <w:rsid w:val="004C77DA"/>
    <w:rsid w:val="004D21F9"/>
    <w:rsid w:val="004D2F83"/>
    <w:rsid w:val="004D64CF"/>
    <w:rsid w:val="004E1403"/>
    <w:rsid w:val="004E4F2E"/>
    <w:rsid w:val="004E666A"/>
    <w:rsid w:val="004E6799"/>
    <w:rsid w:val="004F4CF0"/>
    <w:rsid w:val="004F679F"/>
    <w:rsid w:val="00501376"/>
    <w:rsid w:val="00504883"/>
    <w:rsid w:val="00512341"/>
    <w:rsid w:val="00515F42"/>
    <w:rsid w:val="00520D25"/>
    <w:rsid w:val="005306DC"/>
    <w:rsid w:val="00546765"/>
    <w:rsid w:val="00547BEB"/>
    <w:rsid w:val="005524B5"/>
    <w:rsid w:val="0056450F"/>
    <w:rsid w:val="00565903"/>
    <w:rsid w:val="00565AE2"/>
    <w:rsid w:val="0056611B"/>
    <w:rsid w:val="00573D90"/>
    <w:rsid w:val="00586102"/>
    <w:rsid w:val="0058742A"/>
    <w:rsid w:val="005901F3"/>
    <w:rsid w:val="00591B4A"/>
    <w:rsid w:val="005957FB"/>
    <w:rsid w:val="005A1138"/>
    <w:rsid w:val="005A6414"/>
    <w:rsid w:val="005B165B"/>
    <w:rsid w:val="005B1FBC"/>
    <w:rsid w:val="005B2856"/>
    <w:rsid w:val="005B5662"/>
    <w:rsid w:val="005B7000"/>
    <w:rsid w:val="005B7097"/>
    <w:rsid w:val="005C06FC"/>
    <w:rsid w:val="005C2296"/>
    <w:rsid w:val="005D156F"/>
    <w:rsid w:val="005D5112"/>
    <w:rsid w:val="005D51F5"/>
    <w:rsid w:val="005E1079"/>
    <w:rsid w:val="005E16EC"/>
    <w:rsid w:val="005E383A"/>
    <w:rsid w:val="00601FCD"/>
    <w:rsid w:val="0061170D"/>
    <w:rsid w:val="006144E9"/>
    <w:rsid w:val="00616A63"/>
    <w:rsid w:val="006202C3"/>
    <w:rsid w:val="006242A7"/>
    <w:rsid w:val="00632AF1"/>
    <w:rsid w:val="006334BA"/>
    <w:rsid w:val="00634DB9"/>
    <w:rsid w:val="00662A2E"/>
    <w:rsid w:val="00663714"/>
    <w:rsid w:val="00673228"/>
    <w:rsid w:val="00677B88"/>
    <w:rsid w:val="00677DE9"/>
    <w:rsid w:val="006823ED"/>
    <w:rsid w:val="00692C48"/>
    <w:rsid w:val="006B425D"/>
    <w:rsid w:val="006B4308"/>
    <w:rsid w:val="006B46E4"/>
    <w:rsid w:val="006C2680"/>
    <w:rsid w:val="006C2E7B"/>
    <w:rsid w:val="006C7C36"/>
    <w:rsid w:val="006F3E72"/>
    <w:rsid w:val="006F7870"/>
    <w:rsid w:val="007060E4"/>
    <w:rsid w:val="007131C9"/>
    <w:rsid w:val="00715F0D"/>
    <w:rsid w:val="00716BC9"/>
    <w:rsid w:val="00720CFF"/>
    <w:rsid w:val="00722C7E"/>
    <w:rsid w:val="00724C41"/>
    <w:rsid w:val="00733259"/>
    <w:rsid w:val="007371C3"/>
    <w:rsid w:val="00742EDD"/>
    <w:rsid w:val="007456DB"/>
    <w:rsid w:val="00745F49"/>
    <w:rsid w:val="00752D76"/>
    <w:rsid w:val="00762776"/>
    <w:rsid w:val="007630F5"/>
    <w:rsid w:val="00765509"/>
    <w:rsid w:val="0078233E"/>
    <w:rsid w:val="00794DA2"/>
    <w:rsid w:val="00795574"/>
    <w:rsid w:val="00796188"/>
    <w:rsid w:val="007A5C28"/>
    <w:rsid w:val="007A5E0C"/>
    <w:rsid w:val="007B4EEB"/>
    <w:rsid w:val="007B6F37"/>
    <w:rsid w:val="007C1AE7"/>
    <w:rsid w:val="007C4635"/>
    <w:rsid w:val="007D1362"/>
    <w:rsid w:val="007D2149"/>
    <w:rsid w:val="007E1028"/>
    <w:rsid w:val="007E660D"/>
    <w:rsid w:val="008003BE"/>
    <w:rsid w:val="008100DE"/>
    <w:rsid w:val="008111C0"/>
    <w:rsid w:val="00812CA8"/>
    <w:rsid w:val="008131B3"/>
    <w:rsid w:val="008134EF"/>
    <w:rsid w:val="00817372"/>
    <w:rsid w:val="0082003B"/>
    <w:rsid w:val="008202E1"/>
    <w:rsid w:val="00824BBC"/>
    <w:rsid w:val="00826481"/>
    <w:rsid w:val="0083288E"/>
    <w:rsid w:val="00837910"/>
    <w:rsid w:val="00841233"/>
    <w:rsid w:val="008462BA"/>
    <w:rsid w:val="0085536D"/>
    <w:rsid w:val="008554FC"/>
    <w:rsid w:val="00856659"/>
    <w:rsid w:val="0085766C"/>
    <w:rsid w:val="00857C64"/>
    <w:rsid w:val="00857EFB"/>
    <w:rsid w:val="008650E0"/>
    <w:rsid w:val="008875D1"/>
    <w:rsid w:val="0089341D"/>
    <w:rsid w:val="00897805"/>
    <w:rsid w:val="008A0181"/>
    <w:rsid w:val="008A72C8"/>
    <w:rsid w:val="008B2B4B"/>
    <w:rsid w:val="008B7393"/>
    <w:rsid w:val="008C0F9F"/>
    <w:rsid w:val="008D2346"/>
    <w:rsid w:val="008D40AA"/>
    <w:rsid w:val="008D4B69"/>
    <w:rsid w:val="008F4614"/>
    <w:rsid w:val="008F758C"/>
    <w:rsid w:val="00904ABB"/>
    <w:rsid w:val="009268FB"/>
    <w:rsid w:val="00933A56"/>
    <w:rsid w:val="00934442"/>
    <w:rsid w:val="00934809"/>
    <w:rsid w:val="00934C62"/>
    <w:rsid w:val="00935C32"/>
    <w:rsid w:val="0094731F"/>
    <w:rsid w:val="009749E2"/>
    <w:rsid w:val="00975341"/>
    <w:rsid w:val="0098184A"/>
    <w:rsid w:val="0098786A"/>
    <w:rsid w:val="00996A8C"/>
    <w:rsid w:val="009A1D7F"/>
    <w:rsid w:val="009A48CD"/>
    <w:rsid w:val="009A6057"/>
    <w:rsid w:val="009B6737"/>
    <w:rsid w:val="009C1634"/>
    <w:rsid w:val="009C5D0D"/>
    <w:rsid w:val="009D2617"/>
    <w:rsid w:val="009D724F"/>
    <w:rsid w:val="009D7B46"/>
    <w:rsid w:val="009E239D"/>
    <w:rsid w:val="009E4594"/>
    <w:rsid w:val="009E6560"/>
    <w:rsid w:val="009F42F4"/>
    <w:rsid w:val="00A025F1"/>
    <w:rsid w:val="00A03555"/>
    <w:rsid w:val="00A1382F"/>
    <w:rsid w:val="00A21232"/>
    <w:rsid w:val="00A23B41"/>
    <w:rsid w:val="00A35B29"/>
    <w:rsid w:val="00A4263D"/>
    <w:rsid w:val="00A43312"/>
    <w:rsid w:val="00A4765D"/>
    <w:rsid w:val="00A47880"/>
    <w:rsid w:val="00A50EE5"/>
    <w:rsid w:val="00A600FD"/>
    <w:rsid w:val="00A71C98"/>
    <w:rsid w:val="00A8798C"/>
    <w:rsid w:val="00AA692F"/>
    <w:rsid w:val="00AB1C56"/>
    <w:rsid w:val="00AC27A6"/>
    <w:rsid w:val="00AC5390"/>
    <w:rsid w:val="00AD7A39"/>
    <w:rsid w:val="00AE39D4"/>
    <w:rsid w:val="00AE4AEF"/>
    <w:rsid w:val="00AF1313"/>
    <w:rsid w:val="00AF2C78"/>
    <w:rsid w:val="00AF3EF7"/>
    <w:rsid w:val="00AF7273"/>
    <w:rsid w:val="00AF7E52"/>
    <w:rsid w:val="00B01D3F"/>
    <w:rsid w:val="00B122B4"/>
    <w:rsid w:val="00B14742"/>
    <w:rsid w:val="00B20B11"/>
    <w:rsid w:val="00B3138F"/>
    <w:rsid w:val="00B34B1B"/>
    <w:rsid w:val="00B45486"/>
    <w:rsid w:val="00B53245"/>
    <w:rsid w:val="00B64548"/>
    <w:rsid w:val="00B67BB2"/>
    <w:rsid w:val="00B67E3D"/>
    <w:rsid w:val="00B7087C"/>
    <w:rsid w:val="00B929FE"/>
    <w:rsid w:val="00B948D7"/>
    <w:rsid w:val="00BB1FDC"/>
    <w:rsid w:val="00BC4940"/>
    <w:rsid w:val="00BC75DC"/>
    <w:rsid w:val="00BC7A57"/>
    <w:rsid w:val="00BD09EA"/>
    <w:rsid w:val="00BD6350"/>
    <w:rsid w:val="00BF44C5"/>
    <w:rsid w:val="00BF5463"/>
    <w:rsid w:val="00C12AD9"/>
    <w:rsid w:val="00C303E8"/>
    <w:rsid w:val="00C35A39"/>
    <w:rsid w:val="00C40D53"/>
    <w:rsid w:val="00C44B45"/>
    <w:rsid w:val="00C531A4"/>
    <w:rsid w:val="00C672A0"/>
    <w:rsid w:val="00C6797E"/>
    <w:rsid w:val="00C7324A"/>
    <w:rsid w:val="00C77A79"/>
    <w:rsid w:val="00C84614"/>
    <w:rsid w:val="00C8525D"/>
    <w:rsid w:val="00C86A74"/>
    <w:rsid w:val="00C921A7"/>
    <w:rsid w:val="00C94FF3"/>
    <w:rsid w:val="00CB4722"/>
    <w:rsid w:val="00CB5FB7"/>
    <w:rsid w:val="00CC4931"/>
    <w:rsid w:val="00CD2F7F"/>
    <w:rsid w:val="00CE3C81"/>
    <w:rsid w:val="00CE782A"/>
    <w:rsid w:val="00CF0678"/>
    <w:rsid w:val="00CF4784"/>
    <w:rsid w:val="00D10972"/>
    <w:rsid w:val="00D154FC"/>
    <w:rsid w:val="00D21BF3"/>
    <w:rsid w:val="00D248BF"/>
    <w:rsid w:val="00D270FA"/>
    <w:rsid w:val="00D27471"/>
    <w:rsid w:val="00D36B17"/>
    <w:rsid w:val="00D41964"/>
    <w:rsid w:val="00D47BF3"/>
    <w:rsid w:val="00D55B08"/>
    <w:rsid w:val="00D61F12"/>
    <w:rsid w:val="00D626E6"/>
    <w:rsid w:val="00D65C47"/>
    <w:rsid w:val="00D71E73"/>
    <w:rsid w:val="00D76445"/>
    <w:rsid w:val="00D82FF5"/>
    <w:rsid w:val="00D8509F"/>
    <w:rsid w:val="00D87FB1"/>
    <w:rsid w:val="00D91299"/>
    <w:rsid w:val="00D9241F"/>
    <w:rsid w:val="00D95551"/>
    <w:rsid w:val="00DA678E"/>
    <w:rsid w:val="00DA746E"/>
    <w:rsid w:val="00DB3560"/>
    <w:rsid w:val="00DB5910"/>
    <w:rsid w:val="00DB652C"/>
    <w:rsid w:val="00DC004E"/>
    <w:rsid w:val="00DC7066"/>
    <w:rsid w:val="00DD6392"/>
    <w:rsid w:val="00DE5875"/>
    <w:rsid w:val="00DE7825"/>
    <w:rsid w:val="00DE7E11"/>
    <w:rsid w:val="00DF1418"/>
    <w:rsid w:val="00DF2965"/>
    <w:rsid w:val="00E00CD5"/>
    <w:rsid w:val="00E05309"/>
    <w:rsid w:val="00E12F7C"/>
    <w:rsid w:val="00E1381C"/>
    <w:rsid w:val="00E37891"/>
    <w:rsid w:val="00E408B0"/>
    <w:rsid w:val="00E41D70"/>
    <w:rsid w:val="00E53AAA"/>
    <w:rsid w:val="00E61E42"/>
    <w:rsid w:val="00E73028"/>
    <w:rsid w:val="00E800C3"/>
    <w:rsid w:val="00E8103B"/>
    <w:rsid w:val="00E81E78"/>
    <w:rsid w:val="00E86A69"/>
    <w:rsid w:val="00E91C77"/>
    <w:rsid w:val="00E9743A"/>
    <w:rsid w:val="00EA5D2D"/>
    <w:rsid w:val="00EA719A"/>
    <w:rsid w:val="00EB0E84"/>
    <w:rsid w:val="00EB578B"/>
    <w:rsid w:val="00EB642F"/>
    <w:rsid w:val="00EC3BF8"/>
    <w:rsid w:val="00EC4C2D"/>
    <w:rsid w:val="00ED2B18"/>
    <w:rsid w:val="00EE0A7A"/>
    <w:rsid w:val="00EF2859"/>
    <w:rsid w:val="00F04A22"/>
    <w:rsid w:val="00F04C2F"/>
    <w:rsid w:val="00F04DBA"/>
    <w:rsid w:val="00F06316"/>
    <w:rsid w:val="00F069BA"/>
    <w:rsid w:val="00F1776D"/>
    <w:rsid w:val="00F17DBE"/>
    <w:rsid w:val="00F21F39"/>
    <w:rsid w:val="00F24ACD"/>
    <w:rsid w:val="00F307E6"/>
    <w:rsid w:val="00F5471C"/>
    <w:rsid w:val="00F60880"/>
    <w:rsid w:val="00F7201F"/>
    <w:rsid w:val="00F81722"/>
    <w:rsid w:val="00F8272F"/>
    <w:rsid w:val="00F866C9"/>
    <w:rsid w:val="00F86E30"/>
    <w:rsid w:val="00F93EFE"/>
    <w:rsid w:val="00FC2A20"/>
    <w:rsid w:val="00FC5587"/>
    <w:rsid w:val="00FF146B"/>
    <w:rsid w:val="00FF2BB0"/>
    <w:rsid w:val="72C9C8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C05ED"/>
  <w15:chartTrackingRefBased/>
  <w15:docId w15:val="{9C871A73-0935-4839-A5BF-DBCAD813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46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B46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B46E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B46E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B46E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B46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46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46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46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46E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B46E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B46E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B46E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B46E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B46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46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46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46E4"/>
    <w:rPr>
      <w:rFonts w:eastAsiaTheme="majorEastAsia" w:cstheme="majorBidi"/>
      <w:color w:val="272727" w:themeColor="text1" w:themeTint="D8"/>
    </w:rPr>
  </w:style>
  <w:style w:type="paragraph" w:styleId="Titel">
    <w:name w:val="Title"/>
    <w:basedOn w:val="Standaard"/>
    <w:next w:val="Standaard"/>
    <w:link w:val="TitelChar"/>
    <w:uiPriority w:val="10"/>
    <w:qFormat/>
    <w:rsid w:val="006B4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46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46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46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46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46E4"/>
    <w:rPr>
      <w:i/>
      <w:iCs/>
      <w:color w:val="404040" w:themeColor="text1" w:themeTint="BF"/>
    </w:rPr>
  </w:style>
  <w:style w:type="paragraph" w:styleId="Lijstalinea">
    <w:name w:val="List Paragraph"/>
    <w:basedOn w:val="Standaard"/>
    <w:uiPriority w:val="34"/>
    <w:qFormat/>
    <w:rsid w:val="006B46E4"/>
    <w:pPr>
      <w:ind w:left="720"/>
      <w:contextualSpacing/>
    </w:pPr>
  </w:style>
  <w:style w:type="character" w:styleId="Intensievebenadrukking">
    <w:name w:val="Intense Emphasis"/>
    <w:basedOn w:val="Standaardalinea-lettertype"/>
    <w:uiPriority w:val="21"/>
    <w:qFormat/>
    <w:rsid w:val="006B46E4"/>
    <w:rPr>
      <w:i/>
      <w:iCs/>
      <w:color w:val="2F5496" w:themeColor="accent1" w:themeShade="BF"/>
    </w:rPr>
  </w:style>
  <w:style w:type="paragraph" w:styleId="Duidelijkcitaat">
    <w:name w:val="Intense Quote"/>
    <w:basedOn w:val="Standaard"/>
    <w:next w:val="Standaard"/>
    <w:link w:val="DuidelijkcitaatChar"/>
    <w:uiPriority w:val="30"/>
    <w:qFormat/>
    <w:rsid w:val="006B46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B46E4"/>
    <w:rPr>
      <w:i/>
      <w:iCs/>
      <w:color w:val="2F5496" w:themeColor="accent1" w:themeShade="BF"/>
    </w:rPr>
  </w:style>
  <w:style w:type="character" w:styleId="Intensieveverwijzing">
    <w:name w:val="Intense Reference"/>
    <w:basedOn w:val="Standaardalinea-lettertype"/>
    <w:uiPriority w:val="32"/>
    <w:qFormat/>
    <w:rsid w:val="006B46E4"/>
    <w:rPr>
      <w:b/>
      <w:bCs/>
      <w:smallCaps/>
      <w:color w:val="2F5496" w:themeColor="accent1" w:themeShade="BF"/>
      <w:spacing w:val="5"/>
    </w:rPr>
  </w:style>
  <w:style w:type="paragraph" w:styleId="Koptekst">
    <w:name w:val="header"/>
    <w:basedOn w:val="Standaard"/>
    <w:link w:val="KoptekstChar"/>
    <w:uiPriority w:val="99"/>
    <w:unhideWhenUsed/>
    <w:rsid w:val="006B46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B46E4"/>
  </w:style>
  <w:style w:type="paragraph" w:styleId="Voettekst">
    <w:name w:val="footer"/>
    <w:basedOn w:val="Standaard"/>
    <w:link w:val="VoettekstChar"/>
    <w:uiPriority w:val="99"/>
    <w:unhideWhenUsed/>
    <w:rsid w:val="006B46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B46E4"/>
  </w:style>
  <w:style w:type="character" w:styleId="Verwijzingopmerking">
    <w:name w:val="annotation reference"/>
    <w:basedOn w:val="Standaardalinea-lettertype"/>
    <w:uiPriority w:val="99"/>
    <w:semiHidden/>
    <w:unhideWhenUsed/>
    <w:rsid w:val="00856659"/>
    <w:rPr>
      <w:sz w:val="16"/>
      <w:szCs w:val="16"/>
    </w:rPr>
  </w:style>
  <w:style w:type="paragraph" w:styleId="Tekstopmerking">
    <w:name w:val="annotation text"/>
    <w:basedOn w:val="Standaard"/>
    <w:link w:val="TekstopmerkingChar"/>
    <w:uiPriority w:val="99"/>
    <w:unhideWhenUsed/>
    <w:rsid w:val="00856659"/>
    <w:pPr>
      <w:spacing w:line="240" w:lineRule="auto"/>
    </w:pPr>
    <w:rPr>
      <w:sz w:val="20"/>
      <w:szCs w:val="20"/>
    </w:rPr>
  </w:style>
  <w:style w:type="character" w:customStyle="1" w:styleId="TekstopmerkingChar">
    <w:name w:val="Tekst opmerking Char"/>
    <w:basedOn w:val="Standaardalinea-lettertype"/>
    <w:link w:val="Tekstopmerking"/>
    <w:uiPriority w:val="99"/>
    <w:rsid w:val="00856659"/>
    <w:rPr>
      <w:sz w:val="20"/>
      <w:szCs w:val="20"/>
    </w:rPr>
  </w:style>
  <w:style w:type="paragraph" w:styleId="Onderwerpvanopmerking">
    <w:name w:val="annotation subject"/>
    <w:basedOn w:val="Tekstopmerking"/>
    <w:next w:val="Tekstopmerking"/>
    <w:link w:val="OnderwerpvanopmerkingChar"/>
    <w:uiPriority w:val="99"/>
    <w:semiHidden/>
    <w:unhideWhenUsed/>
    <w:rsid w:val="00856659"/>
    <w:rPr>
      <w:b/>
      <w:bCs/>
    </w:rPr>
  </w:style>
  <w:style w:type="character" w:customStyle="1" w:styleId="OnderwerpvanopmerkingChar">
    <w:name w:val="Onderwerp van opmerking Char"/>
    <w:basedOn w:val="TekstopmerkingChar"/>
    <w:link w:val="Onderwerpvanopmerking"/>
    <w:uiPriority w:val="99"/>
    <w:semiHidden/>
    <w:rsid w:val="00856659"/>
    <w:rPr>
      <w:b/>
      <w:bCs/>
      <w:sz w:val="20"/>
      <w:szCs w:val="20"/>
    </w:rPr>
  </w:style>
  <w:style w:type="paragraph" w:styleId="Revisie">
    <w:name w:val="Revision"/>
    <w:hidden/>
    <w:uiPriority w:val="99"/>
    <w:semiHidden/>
    <w:rsid w:val="006B4308"/>
    <w:pPr>
      <w:spacing w:after="0" w:line="240" w:lineRule="auto"/>
    </w:pPr>
  </w:style>
  <w:style w:type="paragraph" w:styleId="Voetnoottekst">
    <w:name w:val="footnote text"/>
    <w:basedOn w:val="Standaard"/>
    <w:link w:val="VoetnoottekstChar"/>
    <w:uiPriority w:val="99"/>
    <w:semiHidden/>
    <w:unhideWhenUsed/>
    <w:rsid w:val="0015551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55517"/>
    <w:rPr>
      <w:sz w:val="20"/>
      <w:szCs w:val="20"/>
    </w:rPr>
  </w:style>
  <w:style w:type="character" w:styleId="Voetnootmarkering">
    <w:name w:val="footnote reference"/>
    <w:basedOn w:val="Standaardalinea-lettertype"/>
    <w:uiPriority w:val="99"/>
    <w:semiHidden/>
    <w:unhideWhenUsed/>
    <w:rsid w:val="001555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057938">
      <w:bodyDiv w:val="1"/>
      <w:marLeft w:val="0"/>
      <w:marRight w:val="0"/>
      <w:marTop w:val="0"/>
      <w:marBottom w:val="0"/>
      <w:divBdr>
        <w:top w:val="none" w:sz="0" w:space="0" w:color="auto"/>
        <w:left w:val="none" w:sz="0" w:space="0" w:color="auto"/>
        <w:bottom w:val="none" w:sz="0" w:space="0" w:color="auto"/>
        <w:right w:val="none" w:sz="0" w:space="0" w:color="auto"/>
      </w:divBdr>
    </w:div>
    <w:div w:id="871116516">
      <w:bodyDiv w:val="1"/>
      <w:marLeft w:val="0"/>
      <w:marRight w:val="0"/>
      <w:marTop w:val="0"/>
      <w:marBottom w:val="0"/>
      <w:divBdr>
        <w:top w:val="none" w:sz="0" w:space="0" w:color="auto"/>
        <w:left w:val="none" w:sz="0" w:space="0" w:color="auto"/>
        <w:bottom w:val="none" w:sz="0" w:space="0" w:color="auto"/>
        <w:right w:val="none" w:sz="0" w:space="0" w:color="auto"/>
      </w:divBdr>
    </w:div>
    <w:div w:id="884557861">
      <w:bodyDiv w:val="1"/>
      <w:marLeft w:val="0"/>
      <w:marRight w:val="0"/>
      <w:marTop w:val="0"/>
      <w:marBottom w:val="0"/>
      <w:divBdr>
        <w:top w:val="none" w:sz="0" w:space="0" w:color="auto"/>
        <w:left w:val="none" w:sz="0" w:space="0" w:color="auto"/>
        <w:bottom w:val="none" w:sz="0" w:space="0" w:color="auto"/>
        <w:right w:val="none" w:sz="0" w:space="0" w:color="auto"/>
      </w:divBdr>
    </w:div>
    <w:div w:id="155361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 id="{d9ed6b73-a13f-4cca-b0d1-f1f31638eb40}" enabled="1" method="Standard" siteId="{9ecbd628-0072-405d-8567-32c6750b0d3e}" removed="0"/>
</clbl:labelList>
</file>

<file path=docProps/app.xml><?xml version="1.0" encoding="utf-8"?>
<ap:Properties xmlns:vt="http://schemas.openxmlformats.org/officeDocument/2006/docPropsVTypes" xmlns:ap="http://schemas.openxmlformats.org/officeDocument/2006/extended-properties">
  <ap:Pages>2</ap:Pages>
  <ap:Words>1481</ap:Words>
  <ap:Characters>8146</ap:Characters>
  <ap:DocSecurity>4</ap:DocSecurity>
  <ap:Lines>67</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2026-02-24T07:56:00.0000000Z</lastPrinted>
  <dcterms:created xsi:type="dcterms:W3CDTF">2026-04-17T10:43:00.0000000Z</dcterms:created>
  <dcterms:modified xsi:type="dcterms:W3CDTF">2026-04-17T10:43:00.0000000Z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2026-02-03T08:29:35Z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ffb68d49-d550-486d-877e-0f4ca1c850d8</vt:lpwstr>
  </property>
  <property fmtid="{D5CDD505-2E9C-101B-9397-08002B2CF9AE}" pid="8" name="MSIP_Label_6800fede-0e59-47ad-af95-4e63bbdb932d_ContentBits">
    <vt:lpwstr>0</vt:lpwstr>
  </property>
  <property fmtid="{D5CDD505-2E9C-101B-9397-08002B2CF9AE}" pid="9" name="MSIP_Label_6800fede-0e59-47ad-af95-4e63bbdb932d_Tag">
    <vt:lpwstr>10, 3, 0, 1</vt:lpwstr>
  </property>
  <property fmtid="{D5CDD505-2E9C-101B-9397-08002B2CF9AE}" pid="10" name="ContentTypeId">
    <vt:lpwstr>0x0101001A9AF98CE4D646E7BAD5E0A615FBC45700531684C5AA7845B1B8AD3BF3F8A4C4F80064B3EFE4FFCF014AB5D168898CB9BBBE</vt:lpwstr>
  </property>
  <property fmtid="{D5CDD505-2E9C-101B-9397-08002B2CF9AE}" pid="11" name="_dlc_DocIdItemGuid">
    <vt:lpwstr>e6071313-317d-43ac-bef8-96e5327e3796</vt:lpwstr>
  </property>
  <property fmtid="{D5CDD505-2E9C-101B-9397-08002B2CF9AE}" pid="12" name="DNB_Status">
    <vt:lpwstr>4;#Lopend|9178452f-7c5d-4617-8a9d-cb6cbffbcbfc</vt:lpwstr>
  </property>
  <property fmtid="{D5CDD505-2E9C-101B-9397-08002B2CF9AE}" pid="13" name="DNB_Divisie">
    <vt:lpwstr>3;#Toezicht Beleid|fb8980bc-b51a-40b3-9009-74f01b5ae82c</vt:lpwstr>
  </property>
  <property fmtid="{D5CDD505-2E9C-101B-9397-08002B2CF9AE}" pid="14" name="DNB_Taaklabel">
    <vt:lpwstr>812;#Beleidsontwikkeling|5c3e2d28-e8d1-4255-bf5a-28f11fafb7e2</vt:lpwstr>
  </property>
  <property fmtid="{D5CDD505-2E9C-101B-9397-08002B2CF9AE}" pid="15" name="MediaServiceImageTags">
    <vt:lpwstr/>
  </property>
  <property fmtid="{D5CDD505-2E9C-101B-9397-08002B2CF9AE}" pid="16" name="DNB_Wet_2">
    <vt:lpwstr/>
  </property>
  <property fmtid="{D5CDD505-2E9C-101B-9397-08002B2CF9AE}" pid="17" name="DNB_Sector1">
    <vt:lpwstr/>
  </property>
  <property fmtid="{D5CDD505-2E9C-101B-9397-08002B2CF9AE}" pid="18" name="DNB_Documenttype_2">
    <vt:lpwstr/>
  </property>
  <property fmtid="{D5CDD505-2E9C-101B-9397-08002B2CF9AE}" pid="19" name="DNB_Afdeling">
    <vt:lpwstr/>
  </property>
  <property fmtid="{D5CDD505-2E9C-101B-9397-08002B2CF9AE}" pid="20" name="DNB_GremiumInstituut_2">
    <vt:lpwstr/>
  </property>
  <property fmtid="{D5CDD505-2E9C-101B-9397-08002B2CF9AE}" pid="21" name="DNB_Jaar">
    <vt:lpwstr/>
  </property>
  <property fmtid="{D5CDD505-2E9C-101B-9397-08002B2CF9AE}" pid="22" name="docLang">
    <vt:lpwstr>en</vt:lpwstr>
  </property>
  <property fmtid="{D5CDD505-2E9C-101B-9397-08002B2CF9AE}" pid="23" name="ClassificationContentMarkingFooterShapeIds">
    <vt:lpwstr>6ea1506b,6cfe316e,77ceae5c</vt:lpwstr>
  </property>
  <property fmtid="{D5CDD505-2E9C-101B-9397-08002B2CF9AE}" pid="24" name="ClassificationContentMarkingFooterFontProps">
    <vt:lpwstr>#000000,10,Aptos</vt:lpwstr>
  </property>
  <property fmtid="{D5CDD505-2E9C-101B-9397-08002B2CF9AE}" pid="25" name="ClassificationContentMarkingFooterText">
    <vt:lpwstr>Intern gebruik</vt:lpwstr>
  </property>
</Properties>
</file>