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4"/>
      </w:tblGrid>
      <w:tr w:rsidR="00D62901" w:rsidTr="70A567B4" w14:paraId="30E59D8E" w14:textId="77777777">
        <w:tc>
          <w:tcPr>
            <w:tcW w:w="9694" w:type="dxa"/>
          </w:tcPr>
          <w:p w:rsidR="00D62901" w:rsidRDefault="70A567B4" w14:paraId="340C4C78" w14:textId="11971678">
            <w:pPr>
              <w:pStyle w:val="title-cell-text"/>
              <w:rPr>
                <w:rStyle w:val="text-title"/>
              </w:rPr>
            </w:pPr>
            <w:r w:rsidRPr="70A567B4">
              <w:rPr>
                <w:rStyle w:val="text-title"/>
              </w:rPr>
              <w:t xml:space="preserve">Antwoorden Feitelijke Kamervragen </w:t>
            </w:r>
            <w:r w:rsidR="00B53A03">
              <w:rPr>
                <w:rStyle w:val="text-title"/>
              </w:rPr>
              <w:t>1</w:t>
            </w:r>
            <w:r w:rsidRPr="00B53A03" w:rsidR="00B53A03">
              <w:rPr>
                <w:rStyle w:val="text-title"/>
                <w:vertAlign w:val="superscript"/>
              </w:rPr>
              <w:t>e</w:t>
            </w:r>
            <w:r w:rsidR="00B53A03">
              <w:rPr>
                <w:rStyle w:val="text-title"/>
              </w:rPr>
              <w:t xml:space="preserve"> suppletoire begroting van het ministerie van Financiën (IXB) en Nationale Schuld (IXA)</w:t>
            </w:r>
          </w:p>
          <w:p w:rsidR="00282DFE" w:rsidRDefault="00282DFE" w14:paraId="2189D765" w14:textId="77777777">
            <w:pPr>
              <w:pStyle w:val="title-cell-text"/>
              <w:rPr>
                <w:rStyle w:val="text-title"/>
              </w:rPr>
            </w:pPr>
          </w:p>
          <w:p w:rsidR="00282DFE" w:rsidRDefault="00282DFE" w14:paraId="18D1A5D2" w14:textId="28E0385E">
            <w:pPr>
              <w:pStyle w:val="title-cell-text"/>
            </w:pPr>
            <w:r>
              <w:t>Tweede Kamer</w:t>
            </w:r>
          </w:p>
          <w:p w:rsidR="00D62901" w:rsidP="70A567B4" w:rsidRDefault="00D62901" w14:paraId="41E2B279" w14:textId="209A8815">
            <w:pPr>
              <w:pStyle w:val="title-cell-text"/>
              <w:rPr>
                <w:rStyle w:val="text-title"/>
              </w:rPr>
            </w:pPr>
          </w:p>
        </w:tc>
      </w:tr>
    </w:tbl>
    <w:p w:rsidR="00D62901" w:rsidRDefault="0061668E" w14:paraId="58B43C2B" w14:textId="211EDE37">
      <w:pPr>
        <w:pStyle w:val="section-title-1"/>
      </w:pPr>
      <w:bookmarkStart w:name="106989253274364" w:id="0"/>
      <w:r>
        <w:t>V</w:t>
      </w:r>
      <w:r w:rsidR="00246967">
        <w:t>raag 1</w:t>
      </w:r>
      <w:bookmarkEnd w:id="0"/>
    </w:p>
    <w:p w:rsidR="00D62901" w:rsidRDefault="00246967" w14:paraId="15751538" w14:textId="77777777">
      <w:pPr>
        <w:pStyle w:val="header-h1"/>
      </w:pPr>
      <w:r>
        <w:t>Vraag 1</w:t>
      </w:r>
    </w:p>
    <w:p w:rsidRPr="00DF30BC" w:rsidR="00DF30BC" w:rsidP="00DF30BC" w:rsidRDefault="00DF30BC" w14:paraId="3B44A467" w14:textId="77777777">
      <w:pPr>
        <w:rPr>
          <w:sz w:val="17"/>
          <w:szCs w:val="17"/>
        </w:rPr>
      </w:pPr>
      <w:r w:rsidRPr="00DF30BC">
        <w:rPr>
          <w:sz w:val="17"/>
          <w:szCs w:val="17"/>
        </w:rPr>
        <w:t>Hoeveel ambtenaren vallen bij het ministerie van Financiën onder de nullijn?</w:t>
      </w:r>
    </w:p>
    <w:p w:rsidR="00DF30BC" w:rsidP="00DF30BC" w:rsidRDefault="00DF30BC" w14:paraId="38D002CA" w14:textId="77777777"/>
    <w:p w:rsidR="00D62901" w:rsidRDefault="00246967" w14:paraId="0752261A" w14:textId="77777777">
      <w:pPr>
        <w:pStyle w:val="header-h1"/>
      </w:pPr>
      <w:r>
        <w:t>Antwoord op vraag 1</w:t>
      </w:r>
    </w:p>
    <w:p w:rsidR="0057602B" w:rsidP="00501138" w:rsidRDefault="00501138" w14:paraId="030BDFA7" w14:textId="6DDAE0D7">
      <w:pPr>
        <w:pStyle w:val="p"/>
      </w:pPr>
      <w:bookmarkStart w:name="106991353274504" w:id="1"/>
      <w:r>
        <w:t xml:space="preserve">Alle ambtenaren in dienst van het ministerie van Financiën. </w:t>
      </w:r>
      <w:r w:rsidR="0057602B">
        <w:t>Op 31 december 2025 waren dat 42.428 medewerkers bij het kerndepartement, Belastingdienst, Dienst Toeslagen en de Douane.</w:t>
      </w:r>
    </w:p>
    <w:p w:rsidR="00D62901" w:rsidRDefault="00246967" w14:paraId="53698718" w14:textId="77777777">
      <w:pPr>
        <w:pStyle w:val="section-title-1"/>
      </w:pPr>
      <w:r>
        <w:t>Vraag 2</w:t>
      </w:r>
      <w:bookmarkEnd w:id="1"/>
    </w:p>
    <w:p w:rsidR="00D62901" w:rsidRDefault="00246967" w14:paraId="127076F8" w14:textId="77777777">
      <w:pPr>
        <w:pStyle w:val="header-h1"/>
      </w:pPr>
      <w:r>
        <w:t>Vraag 2</w:t>
      </w:r>
    </w:p>
    <w:p w:rsidRPr="00DF30BC" w:rsidR="00DF30BC" w:rsidRDefault="00DF30BC" w14:paraId="097C923E" w14:textId="77777777">
      <w:pPr>
        <w:pStyle w:val="header-h1"/>
        <w:rPr>
          <w:b w:val="0"/>
          <w:bCs/>
        </w:rPr>
      </w:pPr>
      <w:r w:rsidRPr="00DF30BC">
        <w:rPr>
          <w:b w:val="0"/>
          <w:bCs/>
        </w:rPr>
        <w:t>Hoeveel medewerkers bevinden zich in de lagere loonschalen (schaal één tot en met zes)? Wat is het aandeel van deze groep binnen de uitvoering (uitvoeringsorganisaties versus beleid)?</w:t>
      </w:r>
    </w:p>
    <w:p w:rsidR="00DF30BC" w:rsidRDefault="00DF30BC" w14:paraId="11255958" w14:textId="77777777">
      <w:pPr>
        <w:pStyle w:val="header-h1"/>
      </w:pPr>
    </w:p>
    <w:p w:rsidR="00D62901" w:rsidRDefault="00246967" w14:paraId="6D564EC5" w14:textId="0B031ABC">
      <w:pPr>
        <w:pStyle w:val="header-h1"/>
      </w:pPr>
      <w:r>
        <w:t>Antwoord op vraag 2</w:t>
      </w:r>
    </w:p>
    <w:p w:rsidRPr="00CD471B" w:rsidR="00501138" w:rsidP="00501138" w:rsidRDefault="00501138" w14:paraId="618D65A9" w14:textId="77777777">
      <w:pPr>
        <w:pStyle w:val="p"/>
      </w:pPr>
      <w:bookmarkStart w:name="106987753274264" w:id="2"/>
      <w:r w:rsidRPr="00CD471B">
        <w:t xml:space="preserve">Op 31 </w:t>
      </w:r>
      <w:r>
        <w:t>december</w:t>
      </w:r>
      <w:r w:rsidRPr="00CD471B">
        <w:t xml:space="preserve"> 202</w:t>
      </w:r>
      <w:r>
        <w:t>5</w:t>
      </w:r>
      <w:r w:rsidRPr="00CD471B">
        <w:t xml:space="preserve"> werken 9.646 medewerkers in “lagere loonschalen” binnen het Ministerie van Financiën. Dit is inclusief medewerkers groepsfunctie C (gelijk aan schaal 5 tot en met 7). </w:t>
      </w:r>
    </w:p>
    <w:p w:rsidR="0057602B" w:rsidP="00501138" w:rsidRDefault="00501138" w14:paraId="18699C5D" w14:textId="39AD78A3">
      <w:pPr>
        <w:pStyle w:val="p"/>
      </w:pPr>
      <w:r w:rsidRPr="00CD471B">
        <w:t>Er werken 9.535 medewerkers in de “lagere loonschalen” binnen de uitvoeringsorganisaties Belastingdienst, Toeslagen en Douane</w:t>
      </w:r>
      <w:r w:rsidR="0027714D">
        <w:t>. Dat is 23,8% van de medewerkers binnen die uitvoeringsorganisaties</w:t>
      </w:r>
      <w:r w:rsidRPr="00CD471B">
        <w:t xml:space="preserve">. Binnen het beleidsdepartement zijn dat 111 medewerkers. </w:t>
      </w:r>
      <w:r w:rsidR="0027714D">
        <w:t xml:space="preserve">Dat is 4,7% van de medewerkers van het beleidsdepartement.  </w:t>
      </w:r>
    </w:p>
    <w:p w:rsidR="00D62901" w:rsidRDefault="00246967" w14:paraId="57897F6C" w14:textId="77777777">
      <w:pPr>
        <w:pStyle w:val="section-title-1"/>
      </w:pPr>
      <w:r>
        <w:t>Vraag 3</w:t>
      </w:r>
      <w:bookmarkEnd w:id="2"/>
    </w:p>
    <w:p w:rsidR="00D62901" w:rsidRDefault="00246967" w14:paraId="50EA44CD" w14:textId="77777777">
      <w:pPr>
        <w:pStyle w:val="header-h1"/>
      </w:pPr>
      <w:r>
        <w:t>Vraag 3</w:t>
      </w:r>
    </w:p>
    <w:p w:rsidRPr="00DF30BC" w:rsidR="00DF30BC" w:rsidRDefault="00DF30BC" w14:paraId="591B0B01" w14:textId="77777777">
      <w:pPr>
        <w:pStyle w:val="header-h1"/>
        <w:rPr>
          <w:b w:val="0"/>
          <w:bCs/>
        </w:rPr>
      </w:pPr>
      <w:r w:rsidRPr="00DF30BC">
        <w:rPr>
          <w:b w:val="0"/>
          <w:bCs/>
        </w:rPr>
        <w:t>Welke functies/beroepen vallen voornamelijk binnen de lagere loonschalen (schaal één tot en met zes)? Wat is de huidige en verwachte personeelskrapte binnen deze functies?</w:t>
      </w:r>
    </w:p>
    <w:p w:rsidR="00DF30BC" w:rsidRDefault="00DF30BC" w14:paraId="00EE6B22" w14:textId="77777777">
      <w:pPr>
        <w:pStyle w:val="header-h1"/>
      </w:pPr>
    </w:p>
    <w:p w:rsidR="00D62901" w:rsidRDefault="00246967" w14:paraId="282CAEB6" w14:textId="7D820B0A">
      <w:pPr>
        <w:pStyle w:val="header-h1"/>
      </w:pPr>
      <w:r>
        <w:t>Antwoord op vraag 3</w:t>
      </w:r>
    </w:p>
    <w:p w:rsidR="00501138" w:rsidP="00501138" w:rsidRDefault="00501138" w14:paraId="68E7C078" w14:textId="3EFAD730">
      <w:pPr>
        <w:pStyle w:val="p"/>
      </w:pPr>
      <w:bookmarkStart w:name="106989673274392" w:id="3"/>
      <w:r w:rsidRPr="00CC7CB9">
        <w:t xml:space="preserve">De meeste functies </w:t>
      </w:r>
      <w:r>
        <w:t>uit de “lagere loonschalen” (zie antwoord vraag 2)</w:t>
      </w:r>
      <w:r w:rsidRPr="00CC7CB9">
        <w:t xml:space="preserve"> </w:t>
      </w:r>
      <w:r w:rsidR="00BB0EEB">
        <w:t xml:space="preserve">betreffen </w:t>
      </w:r>
      <w:r>
        <w:t xml:space="preserve">functies met uitvoerende taken waaronder bijvoorbeeld medewerkers bij de Belastingtelefoon, Fysiek toezicht en Douanebeambten. Daarnaast vallen ook medewerkers die administratieve en ondersteunende processen uitvoeren binnen deze groep. </w:t>
      </w:r>
    </w:p>
    <w:p w:rsidR="0057602B" w:rsidP="00501138" w:rsidRDefault="00501138" w14:paraId="6F6F4A9D" w14:textId="57D1D3A7">
      <w:pPr>
        <w:pStyle w:val="p"/>
      </w:pPr>
      <w:r w:rsidRPr="00CC7CB9">
        <w:t>De</w:t>
      </w:r>
      <w:r>
        <w:t xml:space="preserve"> genoemde</w:t>
      </w:r>
      <w:r w:rsidRPr="00CC7CB9">
        <w:t xml:space="preserve"> functies </w:t>
      </w:r>
      <w:r>
        <w:t>hebben</w:t>
      </w:r>
      <w:r w:rsidRPr="00CC7CB9">
        <w:t xml:space="preserve"> in de komende jaren </w:t>
      </w:r>
      <w:r>
        <w:t xml:space="preserve">te maken met natuurlijke </w:t>
      </w:r>
      <w:r w:rsidRPr="00CC7CB9">
        <w:t xml:space="preserve">uitstroom </w:t>
      </w:r>
      <w:r>
        <w:t>(bereiken pensioenleeftijd)</w:t>
      </w:r>
      <w:r w:rsidRPr="00CC7CB9">
        <w:t xml:space="preserve">, </w:t>
      </w:r>
      <w:r>
        <w:t xml:space="preserve">waardoor </w:t>
      </w:r>
      <w:r w:rsidRPr="00CC7CB9">
        <w:t xml:space="preserve">de </w:t>
      </w:r>
      <w:r>
        <w:t xml:space="preserve">huidige </w:t>
      </w:r>
      <w:r w:rsidRPr="00CC7CB9">
        <w:t>personeelskrapte</w:t>
      </w:r>
      <w:r>
        <w:t xml:space="preserve"> naar verwachting aanhoudt</w:t>
      </w:r>
      <w:r w:rsidRPr="00CC7CB9">
        <w:t>.</w:t>
      </w:r>
    </w:p>
    <w:p w:rsidR="00D62901" w:rsidRDefault="00246967" w14:paraId="6DDBBDA8" w14:textId="77777777">
      <w:pPr>
        <w:pStyle w:val="section-title-1"/>
      </w:pPr>
      <w:r>
        <w:t>Vraag 4</w:t>
      </w:r>
      <w:bookmarkEnd w:id="3"/>
    </w:p>
    <w:p w:rsidR="00D62901" w:rsidRDefault="00246967" w14:paraId="2207B6D7" w14:textId="77777777">
      <w:pPr>
        <w:pStyle w:val="header-h1"/>
      </w:pPr>
      <w:r>
        <w:t>Vraag 4</w:t>
      </w:r>
    </w:p>
    <w:p w:rsidRPr="00DF30BC" w:rsidR="00DF30BC" w:rsidRDefault="00DF30BC" w14:paraId="07F145E8" w14:textId="77777777">
      <w:pPr>
        <w:pStyle w:val="header-h1"/>
        <w:rPr>
          <w:b w:val="0"/>
          <w:bCs/>
        </w:rPr>
      </w:pPr>
      <w:r w:rsidRPr="00DF30BC">
        <w:rPr>
          <w:b w:val="0"/>
          <w:bCs/>
        </w:rPr>
        <w:t>Zijn er interne analyses of risico-inschattingen gemaakt over de effecten van de nullijn, bijvoorbeeld op de instroom of uitstroom? Zo ja, kan deze worden gedeeld?</w:t>
      </w:r>
    </w:p>
    <w:p w:rsidR="00DF30BC" w:rsidRDefault="00DF30BC" w14:paraId="5DE2929D" w14:textId="77777777">
      <w:pPr>
        <w:pStyle w:val="header-h1"/>
      </w:pPr>
    </w:p>
    <w:p w:rsidR="00D62901" w:rsidRDefault="00246967" w14:paraId="5CAABDCB" w14:textId="4E138503">
      <w:pPr>
        <w:pStyle w:val="header-h1"/>
      </w:pPr>
      <w:r>
        <w:t>Antwoord op vraag 4</w:t>
      </w:r>
    </w:p>
    <w:p w:rsidR="00501138" w:rsidP="00501138" w:rsidRDefault="00501138" w14:paraId="4C15B151" w14:textId="7ABC1402">
      <w:pPr>
        <w:pStyle w:val="p"/>
      </w:pPr>
      <w:r w:rsidRPr="003C74CF">
        <w:t xml:space="preserve">Deze analyses of risico-inschattingen zijn niet </w:t>
      </w:r>
      <w:proofErr w:type="spellStart"/>
      <w:r w:rsidRPr="003C74CF">
        <w:t>rijksbreed</w:t>
      </w:r>
      <w:proofErr w:type="spellEnd"/>
      <w:r w:rsidR="00BB0EEB">
        <w:t xml:space="preserve">, noch </w:t>
      </w:r>
      <w:proofErr w:type="spellStart"/>
      <w:r w:rsidR="00BB0EEB">
        <w:t>ministeriebreed</w:t>
      </w:r>
      <w:proofErr w:type="spellEnd"/>
      <w:r w:rsidRPr="003C74CF">
        <w:t xml:space="preserve"> gemaakt</w:t>
      </w:r>
      <w:r>
        <w:t>.</w:t>
      </w:r>
    </w:p>
    <w:p w:rsidR="00501138" w:rsidP="00501138" w:rsidRDefault="00501138" w14:paraId="774053A1" w14:textId="2B7E2BDE">
      <w:pPr>
        <w:pStyle w:val="p"/>
      </w:pPr>
      <w:r w:rsidRPr="00CD471B">
        <w:t>De directoraten-generaal van het Ministerie van Financiën maken of actualiseren jaarlijks een (strategisch) personeelsplan. Daarin wegen zij externe en interne ontwikkelingen die van invloed zijn op de vraag naar personeel. Deze</w:t>
      </w:r>
      <w:r>
        <w:t xml:space="preserve"> stukken worden openbaar na besluitvorming</w:t>
      </w:r>
      <w:r w:rsidR="00BB0EEB">
        <w:rPr>
          <w:rStyle w:val="Voetnootmarkering"/>
        </w:rPr>
        <w:footnoteReference w:id="1"/>
      </w:r>
      <w:r>
        <w:t>.</w:t>
      </w:r>
    </w:p>
    <w:p w:rsidR="00D62901" w:rsidP="00501138" w:rsidRDefault="00D62901" w14:paraId="6F093DB2" w14:textId="240AC433">
      <w:pPr>
        <w:pStyle w:val="p"/>
      </w:pPr>
    </w:p>
    <w:sectPr w:rsidR="00D62901">
      <w:footerReference w:type="default" r:id="rId7"/>
      <w:pgSz w:w="11906" w:h="16838"/>
      <w:pgMar w:top="1831" w:right="1106" w:bottom="859" w:left="1106" w:header="1417" w:footer="576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DECEE" w14:textId="77777777" w:rsidR="00246967" w:rsidRDefault="00246967">
      <w:r>
        <w:separator/>
      </w:r>
    </w:p>
  </w:endnote>
  <w:endnote w:type="continuationSeparator" w:id="0">
    <w:p w14:paraId="35077FB6" w14:textId="77777777" w:rsidR="00246967" w:rsidRDefault="0024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97C15" w14:textId="156F281E" w:rsidR="00246967" w:rsidRDefault="00246967">
    <w:pPr>
      <w:pStyle w:val="Voettekst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45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07FEC" w14:textId="77777777" w:rsidR="00246967" w:rsidRDefault="00246967">
      <w:r>
        <w:rPr>
          <w:color w:val="000000"/>
        </w:rPr>
        <w:separator/>
      </w:r>
    </w:p>
  </w:footnote>
  <w:footnote w:type="continuationSeparator" w:id="0">
    <w:p w14:paraId="087D50F8" w14:textId="77777777" w:rsidR="00246967" w:rsidRDefault="00246967">
      <w:r>
        <w:continuationSeparator/>
      </w:r>
    </w:p>
  </w:footnote>
  <w:footnote w:id="1">
    <w:p w14:paraId="2265B71F" w14:textId="7AF5081B" w:rsidR="00BB0EEB" w:rsidRPr="00282DFE" w:rsidRDefault="00BB0EEB">
      <w:pPr>
        <w:pStyle w:val="Voetnoottekst"/>
        <w:rPr>
          <w:rFonts w:ascii="Verdana" w:hAnsi="Verdana"/>
          <w:sz w:val="18"/>
          <w:szCs w:val="18"/>
        </w:rPr>
      </w:pPr>
      <w:r w:rsidRPr="00282DFE">
        <w:rPr>
          <w:rStyle w:val="Voetnootmarkering"/>
          <w:rFonts w:ascii="Verdana" w:hAnsi="Verdana"/>
          <w:sz w:val="14"/>
          <w:szCs w:val="14"/>
        </w:rPr>
        <w:footnoteRef/>
      </w:r>
      <w:r w:rsidRPr="00282DFE">
        <w:rPr>
          <w:rFonts w:ascii="Verdana" w:hAnsi="Verdana"/>
          <w:sz w:val="14"/>
          <w:szCs w:val="14"/>
        </w:rPr>
        <w:t xml:space="preserve"> </w:t>
      </w:r>
      <w:hyperlink r:id="rId1" w:history="1">
        <w:r w:rsidRPr="00282DFE">
          <w:rPr>
            <w:rStyle w:val="Hyperlink"/>
            <w:rFonts w:ascii="Verdana" w:hAnsi="Verdana"/>
            <w:sz w:val="14"/>
            <w:szCs w:val="14"/>
          </w:rPr>
          <w:t>Ministerie van Financiën Bestuursraad Bedrijfsvoeringstukken 26 februari 2026 | Vergaderstuk | Rijksoverheid.nl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11602"/>
    <w:multiLevelType w:val="multilevel"/>
    <w:tmpl w:val="1DE2A6B2"/>
    <w:styleLink w:val="ul"/>
    <w:lvl w:ilvl="0">
      <w:numFmt w:val="bullet"/>
      <w:lvlText w:val="●"/>
      <w:lvlJc w:val="left"/>
      <w:pPr>
        <w:ind w:left="360" w:hanging="360"/>
      </w:pPr>
      <w:rPr>
        <w:sz w:val="18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3FE62A41"/>
    <w:multiLevelType w:val="multilevel"/>
    <w:tmpl w:val="6BE6B67E"/>
    <w:styleLink w:val="ul-startdisc-rbg"/>
    <w:lvl w:ilvl="0">
      <w:numFmt w:val="bullet"/>
      <w:lvlText w:val="•"/>
      <w:lvlJc w:val="left"/>
      <w:pPr>
        <w:ind w:left="360" w:hanging="360"/>
      </w:pPr>
    </w:lvl>
    <w:lvl w:ilvl="1">
      <w:numFmt w:val="bullet"/>
      <w:lvlText w:val="•"/>
      <w:lvlJc w:val="left"/>
      <w:pPr>
        <w:ind w:left="720" w:hanging="360"/>
      </w:pPr>
    </w:lvl>
    <w:lvl w:ilvl="2">
      <w:numFmt w:val="bullet"/>
      <w:lvlText w:val="•"/>
      <w:lvlJc w:val="left"/>
      <w:pPr>
        <w:ind w:left="1080" w:hanging="360"/>
      </w:pPr>
    </w:lvl>
    <w:lvl w:ilvl="3">
      <w:numFmt w:val="bullet"/>
      <w:lvlText w:val="•"/>
      <w:lvlJc w:val="left"/>
      <w:pPr>
        <w:ind w:left="1440" w:hanging="360"/>
      </w:pPr>
    </w:lvl>
    <w:lvl w:ilvl="4">
      <w:numFmt w:val="bullet"/>
      <w:lvlText w:val="•"/>
      <w:lvlJc w:val="left"/>
      <w:pPr>
        <w:ind w:left="1800" w:hanging="360"/>
      </w:pPr>
    </w:lvl>
    <w:lvl w:ilvl="5">
      <w:numFmt w:val="bullet"/>
      <w:lvlText w:val="•"/>
      <w:lvlJc w:val="left"/>
      <w:pPr>
        <w:ind w:left="2160" w:hanging="360"/>
      </w:pPr>
    </w:lvl>
    <w:lvl w:ilvl="6">
      <w:numFmt w:val="bullet"/>
      <w:lvlText w:val="•"/>
      <w:lvlJc w:val="left"/>
      <w:pPr>
        <w:ind w:left="2520" w:hanging="360"/>
      </w:pPr>
    </w:lvl>
    <w:lvl w:ilvl="7">
      <w:numFmt w:val="bullet"/>
      <w:lvlText w:val="•"/>
      <w:lvlJc w:val="left"/>
      <w:pPr>
        <w:ind w:left="2880" w:hanging="360"/>
      </w:pPr>
    </w:lvl>
    <w:lvl w:ilvl="8">
      <w:numFmt w:val="bullet"/>
      <w:lvlText w:val="•"/>
      <w:lvlJc w:val="left"/>
      <w:pPr>
        <w:ind w:left="3240" w:hanging="360"/>
      </w:pPr>
    </w:lvl>
  </w:abstractNum>
  <w:abstractNum w:abstractNumId="2" w15:restartNumberingAfterBreak="0">
    <w:nsid w:val="51EE6649"/>
    <w:multiLevelType w:val="multilevel"/>
    <w:tmpl w:val="7A62748E"/>
    <w:styleLink w:val="ol-rbg"/>
    <w:lvl w:ilvl="0">
      <w:start w:val="1"/>
      <w:numFmt w:val="decimal"/>
      <w:pStyle w:val="ol-p-l2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" w15:restartNumberingAfterBreak="0">
    <w:nsid w:val="701D474D"/>
    <w:multiLevelType w:val="multilevel"/>
    <w:tmpl w:val="3D58BE28"/>
    <w:styleLink w:val="ol-footnotes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71B5103E"/>
    <w:multiLevelType w:val="multilevel"/>
    <w:tmpl w:val="B79A1E24"/>
    <w:styleLink w:val="ul-rbg"/>
    <w:lvl w:ilvl="0">
      <w:numFmt w:val="bullet"/>
      <w:lvlText w:val="–"/>
      <w:lvlJc w:val="left"/>
      <w:pPr>
        <w:ind w:left="360" w:hanging="360"/>
      </w:pPr>
    </w:lvl>
    <w:lvl w:ilvl="1">
      <w:numFmt w:val="bullet"/>
      <w:lvlText w:val="•"/>
      <w:lvlJc w:val="left"/>
      <w:pPr>
        <w:ind w:left="720" w:hanging="360"/>
      </w:pPr>
    </w:lvl>
    <w:lvl w:ilvl="2">
      <w:numFmt w:val="bullet"/>
      <w:lvlText w:val="•"/>
      <w:lvlJc w:val="left"/>
      <w:pPr>
        <w:ind w:left="1080" w:hanging="360"/>
      </w:pPr>
    </w:lvl>
    <w:lvl w:ilvl="3">
      <w:numFmt w:val="bullet"/>
      <w:lvlText w:val="•"/>
      <w:lvlJc w:val="left"/>
      <w:pPr>
        <w:ind w:left="1440" w:hanging="360"/>
      </w:pPr>
    </w:lvl>
    <w:lvl w:ilvl="4">
      <w:numFmt w:val="bullet"/>
      <w:lvlText w:val="•"/>
      <w:lvlJc w:val="left"/>
      <w:pPr>
        <w:ind w:left="1800" w:hanging="360"/>
      </w:pPr>
    </w:lvl>
    <w:lvl w:ilvl="5">
      <w:numFmt w:val="bullet"/>
      <w:lvlText w:val="•"/>
      <w:lvlJc w:val="left"/>
      <w:pPr>
        <w:ind w:left="2160" w:hanging="360"/>
      </w:pPr>
    </w:lvl>
    <w:lvl w:ilvl="6">
      <w:numFmt w:val="bullet"/>
      <w:lvlText w:val="•"/>
      <w:lvlJc w:val="left"/>
      <w:pPr>
        <w:ind w:left="2520" w:hanging="360"/>
      </w:pPr>
    </w:lvl>
    <w:lvl w:ilvl="7">
      <w:numFmt w:val="bullet"/>
      <w:lvlText w:val="•"/>
      <w:lvlJc w:val="left"/>
      <w:pPr>
        <w:ind w:left="2880" w:hanging="360"/>
      </w:pPr>
    </w:lvl>
    <w:lvl w:ilvl="8">
      <w:numFmt w:val="bullet"/>
      <w:lvlText w:val="•"/>
      <w:lvlJc w:val="left"/>
      <w:pPr>
        <w:ind w:left="3240" w:hanging="360"/>
      </w:pPr>
    </w:lvl>
  </w:abstractNum>
  <w:abstractNum w:abstractNumId="5" w15:restartNumberingAfterBreak="0">
    <w:nsid w:val="7AF01C6B"/>
    <w:multiLevelType w:val="multilevel"/>
    <w:tmpl w:val="EE7CCD7C"/>
    <w:styleLink w:val="o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365129629">
    <w:abstractNumId w:val="0"/>
  </w:num>
  <w:num w:numId="2" w16cid:durableId="1432051073">
    <w:abstractNumId w:val="5"/>
  </w:num>
  <w:num w:numId="3" w16cid:durableId="1597060881">
    <w:abstractNumId w:val="3"/>
  </w:num>
  <w:num w:numId="4" w16cid:durableId="2091583964">
    <w:abstractNumId w:val="2"/>
  </w:num>
  <w:num w:numId="5" w16cid:durableId="1739013091">
    <w:abstractNumId w:val="4"/>
  </w:num>
  <w:num w:numId="6" w16cid:durableId="995306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01"/>
    <w:rsid w:val="000C517B"/>
    <w:rsid w:val="00104A5B"/>
    <w:rsid w:val="001A4AEC"/>
    <w:rsid w:val="00246967"/>
    <w:rsid w:val="0027714D"/>
    <w:rsid w:val="00282DFE"/>
    <w:rsid w:val="003F5EE6"/>
    <w:rsid w:val="00466406"/>
    <w:rsid w:val="00486F8D"/>
    <w:rsid w:val="00501138"/>
    <w:rsid w:val="005511D1"/>
    <w:rsid w:val="0057602B"/>
    <w:rsid w:val="0061668E"/>
    <w:rsid w:val="00621A86"/>
    <w:rsid w:val="007153CF"/>
    <w:rsid w:val="00816923"/>
    <w:rsid w:val="00925CF5"/>
    <w:rsid w:val="00A33170"/>
    <w:rsid w:val="00B53A03"/>
    <w:rsid w:val="00BB0EEB"/>
    <w:rsid w:val="00CC18FD"/>
    <w:rsid w:val="00D00732"/>
    <w:rsid w:val="00D62901"/>
    <w:rsid w:val="00D90533"/>
    <w:rsid w:val="00DB425A"/>
    <w:rsid w:val="00DF30BC"/>
    <w:rsid w:val="00E52EAB"/>
    <w:rsid w:val="70A5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0DABF"/>
  <w15:docId w15:val="{A57F46DE-44D4-4522-84B4-7F53BDA2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Arial Unicode MS" w:hAnsi="DejaVu Sans" w:cs="Tahoma"/>
        <w:kern w:val="3"/>
        <w:sz w:val="18"/>
        <w:lang w:val="nl-NL" w:eastAsia="nl-N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uiPriority w:val="10"/>
    <w:qFormat/>
    <w:pPr>
      <w:keepNext/>
      <w:keepLines/>
      <w:pageBreakBefore/>
      <w:spacing w:after="400"/>
    </w:pPr>
  </w:style>
  <w:style w:type="paragraph" w:customStyle="1" w:styleId="break-after-page">
    <w:name w:val="break-after-page"/>
  </w:style>
  <w:style w:type="paragraph" w:customStyle="1" w:styleId="break-before-page">
    <w:name w:val="break-before-page"/>
    <w:pPr>
      <w:pageBreakBefore/>
    </w:pPr>
  </w:style>
  <w:style w:type="paragraph" w:customStyle="1" w:styleId="p">
    <w:name w:val="p"/>
    <w:pPr>
      <w:spacing w:after="220" w:line="220" w:lineRule="exact"/>
    </w:pPr>
    <w:rPr>
      <w:sz w:val="17"/>
    </w:rPr>
  </w:style>
  <w:style w:type="paragraph" w:customStyle="1" w:styleId="p-marginbottom">
    <w:name w:val="p-marginbottom"/>
    <w:pPr>
      <w:spacing w:after="20" w:line="220" w:lineRule="exact"/>
    </w:pPr>
  </w:style>
  <w:style w:type="paragraph" w:customStyle="1" w:styleId="p-list">
    <w:name w:val="p-list"/>
    <w:pPr>
      <w:spacing w:line="320" w:lineRule="exact"/>
    </w:pPr>
  </w:style>
  <w:style w:type="paragraph" w:customStyle="1" w:styleId="p-table">
    <w:name w:val="p-table"/>
    <w:pPr>
      <w:keepNext/>
      <w:keepLines/>
    </w:pPr>
  </w:style>
  <w:style w:type="paragraph" w:customStyle="1" w:styleId="p-intro">
    <w:name w:val="p-intro"/>
    <w:pPr>
      <w:spacing w:after="508" w:line="360" w:lineRule="exact"/>
    </w:pPr>
    <w:rPr>
      <w:sz w:val="28"/>
    </w:rPr>
  </w:style>
  <w:style w:type="paragraph" w:customStyle="1" w:styleId="p-glossary-name">
    <w:name w:val="p-glossary-name"/>
    <w:pPr>
      <w:spacing w:line="320" w:lineRule="exact"/>
    </w:pPr>
    <w:rPr>
      <w:b/>
      <w:color w:val="548DD4"/>
    </w:rPr>
  </w:style>
  <w:style w:type="paragraph" w:customStyle="1" w:styleId="p-footnote">
    <w:name w:val="p-footnote"/>
    <w:rPr>
      <w:sz w:val="13"/>
    </w:rPr>
  </w:style>
  <w:style w:type="paragraph" w:customStyle="1" w:styleId="footnote-p">
    <w:name w:val="footnote-p"/>
    <w:pPr>
      <w:suppressLineNumbers/>
    </w:pPr>
    <w:rPr>
      <w:color w:val="000000"/>
      <w:sz w:val="13"/>
      <w:szCs w:val="13"/>
    </w:rPr>
  </w:style>
  <w:style w:type="character" w:customStyle="1" w:styleId="footnote-text">
    <w:name w:val="footnote-text"/>
    <w:rPr>
      <w:color w:val="FFFFFF"/>
    </w:rPr>
  </w:style>
  <w:style w:type="paragraph" w:customStyle="1" w:styleId="unhandled-element">
    <w:name w:val="unhandled-element"/>
    <w:basedOn w:val="p"/>
    <w:rPr>
      <w:color w:val="FF0000"/>
    </w:rPr>
  </w:style>
  <w:style w:type="paragraph" w:customStyle="1" w:styleId="none-table-title">
    <w:name w:val="none-table-title"/>
    <w:basedOn w:val="p"/>
    <w:pPr>
      <w:keepNext/>
      <w:keepLines/>
      <w:spacing w:after="20"/>
    </w:pPr>
    <w:rPr>
      <w:color w:val="FFFFFF"/>
      <w:sz w:val="18"/>
    </w:rPr>
  </w:style>
  <w:style w:type="paragraph" w:customStyle="1" w:styleId="kio2-table-title">
    <w:name w:val="kio2-table-title"/>
    <w:basedOn w:val="p"/>
    <w:pPr>
      <w:keepNext/>
      <w:keepLines/>
      <w:spacing w:after="20"/>
    </w:pPr>
    <w:rPr>
      <w:color w:val="FFFFFF"/>
      <w:sz w:val="18"/>
    </w:rPr>
  </w:style>
  <w:style w:type="paragraph" w:customStyle="1" w:styleId="header-h1">
    <w:name w:val="header-h1"/>
    <w:basedOn w:val="p"/>
    <w:pPr>
      <w:keepNext/>
      <w:keepLines/>
      <w:spacing w:after="20"/>
    </w:pPr>
    <w:rPr>
      <w:b/>
    </w:rPr>
  </w:style>
  <w:style w:type="paragraph" w:customStyle="1" w:styleId="header-h2">
    <w:name w:val="header-h2"/>
    <w:basedOn w:val="p"/>
    <w:pPr>
      <w:keepNext/>
      <w:keepLines/>
      <w:spacing w:after="20"/>
    </w:pPr>
    <w:rPr>
      <w:i/>
    </w:rPr>
  </w:style>
  <w:style w:type="paragraph" w:customStyle="1" w:styleId="header-h3">
    <w:name w:val="header-h3"/>
    <w:basedOn w:val="p"/>
    <w:pPr>
      <w:keepNext/>
      <w:keepLines/>
      <w:spacing w:after="20"/>
    </w:pPr>
    <w:rPr>
      <w:b/>
      <w:i/>
    </w:rPr>
  </w:style>
  <w:style w:type="paragraph" w:customStyle="1" w:styleId="header-h4">
    <w:name w:val="header-h4"/>
    <w:basedOn w:val="p"/>
    <w:pPr>
      <w:keepNext/>
      <w:keepLines/>
      <w:spacing w:after="20"/>
    </w:pPr>
  </w:style>
  <w:style w:type="paragraph" w:customStyle="1" w:styleId="header-h5">
    <w:name w:val="header-h5"/>
    <w:basedOn w:val="p"/>
    <w:pPr>
      <w:keepNext/>
      <w:keepLines/>
      <w:spacing w:after="20"/>
    </w:pPr>
    <w:rPr>
      <w:u w:val="single"/>
    </w:rPr>
  </w:style>
  <w:style w:type="paragraph" w:customStyle="1" w:styleId="header-h6">
    <w:name w:val="header-h6"/>
    <w:basedOn w:val="p"/>
    <w:pPr>
      <w:keepNext/>
      <w:keepLines/>
      <w:spacing w:after="20"/>
    </w:pPr>
    <w:rPr>
      <w:caps/>
    </w:rPr>
  </w:style>
  <w:style w:type="paragraph" w:customStyle="1" w:styleId="page-break">
    <w:name w:val="page-break"/>
    <w:pPr>
      <w:pageBreakBefore/>
    </w:pPr>
  </w:style>
  <w:style w:type="character" w:customStyle="1" w:styleId="kameraanduiding-text">
    <w:name w:val="kameraanduiding-text"/>
    <w:rPr>
      <w:b/>
      <w:sz w:val="37"/>
      <w:szCs w:val="37"/>
    </w:rPr>
  </w:style>
  <w:style w:type="paragraph" w:customStyle="1" w:styleId="kamernummer-p">
    <w:name w:val="kamernummer-p"/>
    <w:pPr>
      <w:jc w:val="right"/>
    </w:pPr>
    <w:rPr>
      <w:b/>
      <w:sz w:val="102"/>
      <w:szCs w:val="102"/>
    </w:rPr>
  </w:style>
  <w:style w:type="paragraph" w:customStyle="1" w:styleId="vergaderjaar-p">
    <w:name w:val="vergaderjaar-p"/>
    <w:pPr>
      <w:spacing w:before="120"/>
    </w:pPr>
  </w:style>
  <w:style w:type="character" w:customStyle="1" w:styleId="vergaderjaar-text">
    <w:name w:val="vergaderjaar-text"/>
    <w:rPr>
      <w:sz w:val="19"/>
      <w:szCs w:val="19"/>
    </w:rPr>
  </w:style>
  <w:style w:type="paragraph" w:customStyle="1" w:styleId="title-cell-text">
    <w:name w:val="title-cell-text"/>
  </w:style>
  <w:style w:type="character" w:customStyle="1" w:styleId="dossiernr-text">
    <w:name w:val="dossiernr-text"/>
    <w:rPr>
      <w:b/>
      <w:sz w:val="24"/>
      <w:szCs w:val="24"/>
    </w:rPr>
  </w:style>
  <w:style w:type="character" w:customStyle="1" w:styleId="begrotingshoofdstuk-text">
    <w:name w:val="begrotingshoofdstuk-text"/>
    <w:rPr>
      <w:b/>
      <w:sz w:val="24"/>
      <w:szCs w:val="24"/>
    </w:rPr>
  </w:style>
  <w:style w:type="character" w:customStyle="1" w:styleId="dossiernr-highlight">
    <w:name w:val="dossiernr-highlight"/>
    <w:basedOn w:val="dossiernr-text"/>
    <w:rPr>
      <w:b/>
      <w:sz w:val="24"/>
      <w:szCs w:val="24"/>
    </w:rPr>
  </w:style>
  <w:style w:type="character" w:customStyle="1" w:styleId="text-title">
    <w:name w:val="text-title"/>
    <w:rPr>
      <w:b/>
      <w:sz w:val="24"/>
      <w:szCs w:val="24"/>
    </w:rPr>
  </w:style>
  <w:style w:type="character" w:customStyle="1" w:styleId="title-highlight">
    <w:name w:val="title-highlight"/>
    <w:rPr>
      <w:b/>
      <w:sz w:val="24"/>
      <w:szCs w:val="24"/>
    </w:rPr>
  </w:style>
  <w:style w:type="paragraph" w:customStyle="1" w:styleId="p-margetekst">
    <w:name w:val="p-margetekst"/>
    <w:pPr>
      <w:spacing w:after="280" w:line="220" w:lineRule="exact"/>
    </w:pPr>
  </w:style>
  <w:style w:type="paragraph" w:customStyle="1" w:styleId="section-title-1">
    <w:name w:val="section-title-1"/>
    <w:pPr>
      <w:keepNext/>
      <w:spacing w:after="227"/>
    </w:pPr>
    <w:rPr>
      <w:b/>
      <w:caps/>
      <w:color w:val="009EE0"/>
      <w:szCs w:val="18"/>
    </w:rPr>
  </w:style>
  <w:style w:type="paragraph" w:customStyle="1" w:styleId="section-title-2">
    <w:name w:val="section-title-2"/>
    <w:basedOn w:val="p"/>
    <w:pPr>
      <w:keepNext/>
      <w:spacing w:after="227"/>
    </w:pPr>
    <w:rPr>
      <w:b/>
      <w:color w:val="009EE0"/>
      <w:sz w:val="18"/>
      <w:szCs w:val="18"/>
    </w:rPr>
  </w:style>
  <w:style w:type="paragraph" w:customStyle="1" w:styleId="section-title-3">
    <w:name w:val="section-title-3"/>
    <w:pPr>
      <w:keepNext/>
      <w:spacing w:after="227"/>
    </w:pPr>
    <w:rPr>
      <w:b/>
      <w:color w:val="009EE0"/>
      <w:szCs w:val="18"/>
    </w:rPr>
  </w:style>
  <w:style w:type="paragraph" w:customStyle="1" w:styleId="section-title-4">
    <w:name w:val="section-title-4"/>
    <w:pPr>
      <w:keepNext/>
      <w:spacing w:after="227"/>
    </w:pPr>
    <w:rPr>
      <w:b/>
      <w:szCs w:val="18"/>
    </w:rPr>
  </w:style>
  <w:style w:type="paragraph" w:customStyle="1" w:styleId="section-title-5">
    <w:name w:val="section-title-5"/>
    <w:pPr>
      <w:keepNext/>
    </w:pPr>
    <w:rPr>
      <w:b/>
      <w:szCs w:val="18"/>
    </w:rPr>
  </w:style>
  <w:style w:type="paragraph" w:customStyle="1" w:styleId="section-title-6">
    <w:name w:val="section-title-6"/>
    <w:pPr>
      <w:keepNext/>
    </w:pPr>
    <w:rPr>
      <w:i/>
      <w:szCs w:val="18"/>
    </w:rPr>
  </w:style>
  <w:style w:type="paragraph" w:customStyle="1" w:styleId="table-title-60">
    <w:name w:val="table-title-60"/>
    <w:pPr>
      <w:keepNext/>
    </w:pPr>
    <w:rPr>
      <w:szCs w:val="18"/>
    </w:rPr>
  </w:style>
  <w:style w:type="paragraph" w:customStyle="1" w:styleId="table-title-100">
    <w:name w:val="table-title-100"/>
    <w:basedOn w:val="table-title-60"/>
    <w:pPr>
      <w:ind w:left="-4212"/>
    </w:pPr>
  </w:style>
  <w:style w:type="paragraph" w:customStyle="1" w:styleId="image-title-60">
    <w:name w:val="image-title-60"/>
    <w:pPr>
      <w:keepNext/>
    </w:pPr>
    <w:rPr>
      <w:b/>
    </w:rPr>
  </w:style>
  <w:style w:type="paragraph" w:customStyle="1" w:styleId="image-title-100">
    <w:name w:val="image-title-100"/>
    <w:pPr>
      <w:keepNext/>
    </w:pPr>
    <w:rPr>
      <w:b/>
    </w:rPr>
  </w:style>
  <w:style w:type="paragraph" w:customStyle="1" w:styleId="image-source-60">
    <w:name w:val="image-source-60"/>
    <w:pPr>
      <w:keepNext/>
    </w:pPr>
  </w:style>
  <w:style w:type="paragraph" w:customStyle="1" w:styleId="image-source-100">
    <w:name w:val="image-source-100"/>
    <w:pPr>
      <w:keepNext/>
    </w:pPr>
  </w:style>
  <w:style w:type="character" w:customStyle="1" w:styleId="1-highlight">
    <w:name w:val="1-highlight"/>
  </w:style>
  <w:style w:type="character" w:customStyle="1" w:styleId="2-highlight">
    <w:name w:val="2-highlight"/>
  </w:style>
  <w:style w:type="character" w:customStyle="1" w:styleId="3-highlight">
    <w:name w:val="3-highlight"/>
  </w:style>
  <w:style w:type="character" w:customStyle="1" w:styleId="4-highlight">
    <w:name w:val="4-highlight"/>
  </w:style>
  <w:style w:type="character" w:customStyle="1" w:styleId="5-highlight">
    <w:name w:val="5-highlight"/>
  </w:style>
  <w:style w:type="character" w:customStyle="1" w:styleId="6-highlight">
    <w:name w:val="6-highlight"/>
  </w:style>
  <w:style w:type="character" w:customStyle="1" w:styleId="datumtekst-highlight">
    <w:name w:val="datumtekst-highlight"/>
    <w:rPr>
      <w:sz w:val="18"/>
      <w:szCs w:val="18"/>
    </w:rPr>
  </w:style>
  <w:style w:type="paragraph" w:customStyle="1" w:styleId="datumtekst-p">
    <w:name w:val="datumtekst-p"/>
    <w:rPr>
      <w:szCs w:val="18"/>
    </w:rPr>
  </w:style>
  <w:style w:type="character" w:customStyle="1" w:styleId="span-u">
    <w:name w:val="span-u"/>
    <w:rPr>
      <w:u w:val="single"/>
    </w:rPr>
  </w:style>
  <w:style w:type="character" w:customStyle="1" w:styleId="cell-span-u">
    <w:name w:val="cell-span-u"/>
    <w:basedOn w:val="span-u"/>
    <w:rPr>
      <w:sz w:val="17"/>
      <w:u w:val="single"/>
    </w:rPr>
  </w:style>
  <w:style w:type="character" w:customStyle="1" w:styleId="ullevel1">
    <w:name w:val="ul_level_1"/>
  </w:style>
  <w:style w:type="character" w:customStyle="1" w:styleId="ullevel2">
    <w:name w:val="ul_level_2"/>
  </w:style>
  <w:style w:type="character" w:customStyle="1" w:styleId="ullevel3">
    <w:name w:val="ul_level_3"/>
  </w:style>
  <w:style w:type="character" w:customStyle="1" w:styleId="ullevel4">
    <w:name w:val="ul_level_4"/>
  </w:style>
  <w:style w:type="character" w:customStyle="1" w:styleId="ullevel5">
    <w:name w:val="ul_level_5"/>
  </w:style>
  <w:style w:type="character" w:customStyle="1" w:styleId="ullevel6">
    <w:name w:val="ul_level_6"/>
  </w:style>
  <w:style w:type="character" w:customStyle="1" w:styleId="ullevel7">
    <w:name w:val="ul_level_7"/>
  </w:style>
  <w:style w:type="character" w:customStyle="1" w:styleId="ullevel8">
    <w:name w:val="ul_level_8"/>
  </w:style>
  <w:style w:type="character" w:customStyle="1" w:styleId="ullevel9">
    <w:name w:val="ul_level_9"/>
  </w:style>
  <w:style w:type="paragraph" w:customStyle="1" w:styleId="ol-p-l1">
    <w:name w:val="ol-p-l1"/>
    <w:basedOn w:val="p-list"/>
    <w:pPr>
      <w:spacing w:line="240" w:lineRule="exact"/>
    </w:pPr>
  </w:style>
  <w:style w:type="paragraph" w:customStyle="1" w:styleId="ol-p-l2">
    <w:name w:val="ol-p-l2"/>
    <w:basedOn w:val="p-list"/>
    <w:pPr>
      <w:numPr>
        <w:numId w:val="4"/>
      </w:numPr>
      <w:spacing w:line="240" w:lineRule="exact"/>
    </w:pPr>
  </w:style>
  <w:style w:type="character" w:customStyle="1" w:styleId="ol-text">
    <w:name w:val="ol-text"/>
    <w:rPr>
      <w:sz w:val="18"/>
      <w:szCs w:val="18"/>
    </w:rPr>
  </w:style>
  <w:style w:type="paragraph" w:customStyle="1" w:styleId="aanhef-p">
    <w:name w:val="aanhef-p"/>
    <w:pPr>
      <w:ind w:firstLine="142"/>
    </w:pPr>
  </w:style>
  <w:style w:type="paragraph" w:customStyle="1" w:styleId="considerans-p">
    <w:name w:val="considerans-p"/>
    <w:pPr>
      <w:spacing w:after="180"/>
      <w:ind w:firstLine="142"/>
    </w:pPr>
  </w:style>
  <w:style w:type="paragraph" w:customStyle="1" w:styleId="wij-p">
    <w:name w:val="wij-p"/>
    <w:pPr>
      <w:spacing w:after="180"/>
      <w:ind w:firstLine="142"/>
    </w:pPr>
  </w:style>
  <w:style w:type="paragraph" w:customStyle="1" w:styleId="wie-p">
    <w:name w:val="wie-p"/>
    <w:pPr>
      <w:spacing w:after="180"/>
      <w:ind w:firstLine="142"/>
    </w:pPr>
  </w:style>
  <w:style w:type="paragraph" w:customStyle="1" w:styleId="p-considerans">
    <w:name w:val="p-considerans"/>
    <w:pPr>
      <w:ind w:firstLine="142"/>
    </w:pPr>
  </w:style>
  <w:style w:type="paragraph" w:customStyle="1" w:styleId="p-afkondiging">
    <w:name w:val="p-afkondiging"/>
    <w:pPr>
      <w:spacing w:after="180"/>
      <w:ind w:firstLine="142"/>
    </w:pPr>
  </w:style>
  <w:style w:type="paragraph" w:customStyle="1" w:styleId="artikel-title">
    <w:name w:val="artikel-title"/>
    <w:basedOn w:val="p"/>
    <w:pPr>
      <w:keepNext/>
      <w:spacing w:after="180"/>
    </w:pPr>
    <w:rPr>
      <w:b/>
    </w:rPr>
  </w:style>
  <w:style w:type="paragraph" w:customStyle="1" w:styleId="p-artikel">
    <w:name w:val="p-artikel"/>
    <w:pPr>
      <w:spacing w:after="180"/>
      <w:ind w:firstLine="142"/>
    </w:pPr>
  </w:style>
  <w:style w:type="paragraph" w:customStyle="1" w:styleId="p-slotformulering">
    <w:name w:val="p-slotformulering"/>
    <w:pPr>
      <w:ind w:firstLine="142"/>
    </w:pPr>
  </w:style>
  <w:style w:type="paragraph" w:customStyle="1" w:styleId="functie">
    <w:name w:val="functie"/>
  </w:style>
  <w:style w:type="paragraph" w:customStyle="1" w:styleId="organisatie">
    <w:name w:val="organisatie"/>
    <w:pPr>
      <w:spacing w:after="180"/>
    </w:pPr>
  </w:style>
  <w:style w:type="paragraph" w:customStyle="1" w:styleId="politiek">
    <w:name w:val="politiek"/>
    <w:pPr>
      <w:spacing w:after="180"/>
    </w:pPr>
  </w:style>
  <w:style w:type="paragraph" w:customStyle="1" w:styleId="naam">
    <w:name w:val="naam"/>
    <w:pPr>
      <w:spacing w:after="180"/>
    </w:pPr>
  </w:style>
  <w:style w:type="paragraph" w:customStyle="1" w:styleId="deze">
    <w:name w:val="deze"/>
    <w:pPr>
      <w:spacing w:after="180"/>
    </w:pPr>
  </w:style>
  <w:style w:type="paragraph" w:customStyle="1" w:styleId="VOORSTELWETWETTEKSTITEM-title">
    <w:name w:val="VOORSTEL_WET_WETTEKST_ITEM-title"/>
    <w:pPr>
      <w:keepNext/>
      <w:spacing w:after="180"/>
    </w:pPr>
    <w:rPr>
      <w:b/>
    </w:rPr>
  </w:style>
  <w:style w:type="paragraph" w:customStyle="1" w:styleId="label-p">
    <w:name w:val="label-p"/>
    <w:pPr>
      <w:spacing w:after="180"/>
    </w:pPr>
  </w:style>
  <w:style w:type="paragraph" w:customStyle="1" w:styleId="ondertekening-spacing-large">
    <w:name w:val="ondertekening-spacing-large"/>
    <w:pPr>
      <w:keepNext/>
      <w:spacing w:after="1620"/>
    </w:pPr>
  </w:style>
  <w:style w:type="paragraph" w:customStyle="1" w:styleId="box-p">
    <w:name w:val="box-p"/>
    <w:basedOn w:val="Standaard"/>
    <w:pPr>
      <w:pBdr>
        <w:left w:val="single" w:sz="4" w:space="5" w:color="000000"/>
        <w:right w:val="single" w:sz="4" w:space="4" w:color="000000"/>
      </w:pBdr>
      <w:ind w:left="108"/>
    </w:pPr>
  </w:style>
  <w:style w:type="character" w:customStyle="1" w:styleId="stuknr-highlight">
    <w:name w:val="stuknr-highlight"/>
  </w:style>
  <w:style w:type="paragraph" w:customStyle="1" w:styleId="stuknr-p">
    <w:name w:val="stuknr-p"/>
    <w:rPr>
      <w:b/>
      <w:szCs w:val="18"/>
    </w:rPr>
  </w:style>
  <w:style w:type="paragraph" w:customStyle="1" w:styleId="title-parent-p">
    <w:name w:val="title-parent-p"/>
    <w:rPr>
      <w:b/>
      <w:caps/>
      <w:szCs w:val="18"/>
    </w:rPr>
  </w:style>
  <w:style w:type="paragraph" w:customStyle="1" w:styleId="titel-p">
    <w:name w:val="titel-p"/>
    <w:basedOn w:val="title-parent-p"/>
  </w:style>
  <w:style w:type="paragraph" w:styleId="Voettekst">
    <w:name w:val="footer"/>
    <w:pPr>
      <w:tabs>
        <w:tab w:val="right" w:pos="10567"/>
      </w:tabs>
      <w:spacing w:before="144"/>
    </w:pPr>
  </w:style>
  <w:style w:type="numbering" w:customStyle="1" w:styleId="ul">
    <w:name w:val="ul"/>
    <w:basedOn w:val="Geenlijst"/>
    <w:pPr>
      <w:numPr>
        <w:numId w:val="1"/>
      </w:numPr>
    </w:pPr>
  </w:style>
  <w:style w:type="numbering" w:customStyle="1" w:styleId="ol">
    <w:name w:val="ol"/>
    <w:basedOn w:val="Geenlijst"/>
    <w:pPr>
      <w:numPr>
        <w:numId w:val="2"/>
      </w:numPr>
    </w:pPr>
  </w:style>
  <w:style w:type="numbering" w:customStyle="1" w:styleId="ol-footnotes">
    <w:name w:val="ol-footnotes"/>
    <w:basedOn w:val="Geenlijst"/>
    <w:pPr>
      <w:numPr>
        <w:numId w:val="3"/>
      </w:numPr>
    </w:pPr>
  </w:style>
  <w:style w:type="numbering" w:customStyle="1" w:styleId="ol-rbg">
    <w:name w:val="ol-rbg"/>
    <w:basedOn w:val="Geenlijst"/>
    <w:pPr>
      <w:numPr>
        <w:numId w:val="4"/>
      </w:numPr>
    </w:pPr>
  </w:style>
  <w:style w:type="numbering" w:customStyle="1" w:styleId="ul-rbg">
    <w:name w:val="ul-rbg"/>
    <w:basedOn w:val="Geenlijst"/>
    <w:pPr>
      <w:numPr>
        <w:numId w:val="5"/>
      </w:numPr>
    </w:pPr>
  </w:style>
  <w:style w:type="numbering" w:customStyle="1" w:styleId="ul-startdisc-rbg">
    <w:name w:val="ul-startdisc-rbg"/>
    <w:basedOn w:val="Geenlijst"/>
    <w:pPr>
      <w:numPr>
        <w:numId w:val="6"/>
      </w:numPr>
    </w:p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</w:style>
  <w:style w:type="character" w:styleId="Verwijzingopmerking">
    <w:name w:val="annotation reference"/>
    <w:basedOn w:val="Standaardalinea-lettertype"/>
    <w:uiPriority w:val="99"/>
    <w:semiHidden/>
    <w:unhideWhenUsed/>
    <w:rsid w:val="0050113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01138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01138"/>
    <w:rPr>
      <w:sz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B0EEB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B0EEB"/>
    <w:rPr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B0EEB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BB0EE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B0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ijksoverheid.nl/documenten/vergaderstukken/2026/02/26/ministerie-van-financien-bestuursraad-bedrijfsvoeringstukken-26-februari-2026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373</ap:Words>
  <ap:Characters>2052</ap:Characters>
  <ap:DocSecurity>4</ap:DocSecurity>
  <ap:Lines>17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2026-04-17T12:52:00.0000000Z</dcterms:created>
  <dcterms:modified xsi:type="dcterms:W3CDTF">2026-04-17T12:52:00.0000000Z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ad6b54-f757-49c9-8c83-ef7f8aa67172_Enabled">
    <vt:lpwstr>true</vt:lpwstr>
  </property>
  <property fmtid="{D5CDD505-2E9C-101B-9397-08002B2CF9AE}" pid="3" name="MSIP_Label_35ad6b54-f757-49c9-8c83-ef7f8aa67172_SetDate">
    <vt:lpwstr>2026-04-01T09:48:25Z</vt:lpwstr>
  </property>
  <property fmtid="{D5CDD505-2E9C-101B-9397-08002B2CF9AE}" pid="4" name="MSIP_Label_35ad6b54-f757-49c9-8c83-ef7f8aa67172_Method">
    <vt:lpwstr>Standard</vt:lpwstr>
  </property>
  <property fmtid="{D5CDD505-2E9C-101B-9397-08002B2CF9AE}" pid="5" name="MSIP_Label_35ad6b54-f757-49c9-8c83-ef7f8aa67172_Name">
    <vt:lpwstr>FIN-DGRB-Rijksoverheid</vt:lpwstr>
  </property>
  <property fmtid="{D5CDD505-2E9C-101B-9397-08002B2CF9AE}" pid="6" name="MSIP_Label_35ad6b54-f757-49c9-8c83-ef7f8aa67172_SiteId">
    <vt:lpwstr>84712536-f524-40a0-913b-5d25ba502732</vt:lpwstr>
  </property>
  <property fmtid="{D5CDD505-2E9C-101B-9397-08002B2CF9AE}" pid="7" name="MSIP_Label_35ad6b54-f757-49c9-8c83-ef7f8aa67172_ActionId">
    <vt:lpwstr>5412a3bf-186a-496e-acc6-87509e3c2b42</vt:lpwstr>
  </property>
  <property fmtid="{D5CDD505-2E9C-101B-9397-08002B2CF9AE}" pid="8" name="MSIP_Label_35ad6b54-f757-49c9-8c83-ef7f8aa67172_ContentBits">
    <vt:lpwstr>0</vt:lpwstr>
  </property>
  <property fmtid="{D5CDD505-2E9C-101B-9397-08002B2CF9AE}" pid="9" name="MSIP_Label_35ad6b54-f757-49c9-8c83-ef7f8aa67172_Tag">
    <vt:lpwstr>10, 3, 0, 1</vt:lpwstr>
  </property>
  <property fmtid="{D5CDD505-2E9C-101B-9397-08002B2CF9AE}" pid="10" name="ContentTypeId">
    <vt:lpwstr>0x010100619CC3456CB7C2499A176999B4C1AA3F</vt:lpwstr>
  </property>
</Properties>
</file>