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2026Z08241</w:t>
        <w:br/>
      </w:r>
      <w:proofErr w:type="spellEnd"/>
    </w:p>
    <w:p>
      <w:pPr>
        <w:pStyle w:val="Normal"/>
        <w:rPr>
          <w:b w:val="1"/>
          <w:bCs w:val="1"/>
        </w:rPr>
      </w:pPr>
      <w:r w:rsidR="250AE766">
        <w:rPr>
          <w:b w:val="0"/>
          <w:bCs w:val="0"/>
        </w:rPr>
        <w:t>(ingezonden 17 april 2026)</w:t>
        <w:br/>
      </w:r>
    </w:p>
    <w:p>
      <w:r>
        <w:t xml:space="preserve">Vragen van het lid Van den Berg (JA21) aan de staatssecretarissen van Economische Zaken en Klimaat en van Binnenlandse Zaken en Koninkrijksrelaties over het artikel 'Privacy-adviseur Binnenlandse Zaken: overname van DigiD bedreigt veiligheid van Nederland'</w:t>
      </w:r>
      <w:r>
        <w:br/>
      </w:r>
    </w:p>
    <w:p>
      <w:pPr>
        <w:pStyle w:val="ListParagraph"/>
        <w:numPr>
          <w:ilvl w:val="0"/>
          <w:numId w:val="100504480"/>
        </w:numPr>
        <w:ind w:left="360"/>
      </w:pPr>
      <w:r>
        <w:t xml:space="preserve">Bent u bekend met het bericht 'Privacy-adviseur Binnenlandse Zaken: overname van DigiD bedreigt veiligheid van Nederland</w:t>
      </w:r>
      <w:r>
        <w:rPr>
          <w:i w:val="1"/>
          <w:iCs w:val="1"/>
        </w:rPr>
        <w:t xml:space="preserve">'</w:t>
      </w:r>
      <w:r>
        <w:rPr/>
        <w:t xml:space="preserve">?[1]?</w:t>
      </w:r>
      <w:r>
        <w:br/>
      </w:r>
      <w:r>
        <w:t xml:space="preserve"> </w:t>
      </w:r>
      <w:r>
        <w:br/>
      </w:r>
    </w:p>
    <w:p>
      <w:pPr>
        <w:pStyle w:val="ListParagraph"/>
        <w:numPr>
          <w:ilvl w:val="0"/>
          <w:numId w:val="100504480"/>
        </w:numPr>
        <w:ind w:left="360"/>
      </w:pPr>
      <w:r>
        <w:t xml:space="preserve">Hoe kwalificeert u het naar buiten treden van de Centrale Privacy Officer (CPO) van Logius in deze casus als het buiten de eigen rol treden door via media en procedures politieke druk uit te oefenen?</w:t>
      </w:r>
      <w:r>
        <w:br/>
      </w:r>
      <w:r>
        <w:t xml:space="preserve"> </w:t>
      </w:r>
      <w:r>
        <w:br/>
      </w:r>
    </w:p>
    <w:p>
      <w:pPr>
        <w:pStyle w:val="ListParagraph"/>
        <w:numPr>
          <w:ilvl w:val="0"/>
          <w:numId w:val="100504480"/>
        </w:numPr>
        <w:ind w:left="360"/>
      </w:pPr>
      <w:r>
        <w:t xml:space="preserve">Welke formele interne escalatiekanalen stonden voor deze functionaris open, welke van deze kanalen zijn feitelijk benut en klopt de bewering dat toegang tot de bewindspersoon of de politieke leiding is geweigerd?</w:t>
      </w:r>
      <w:r>
        <w:br/>
      </w:r>
      <w:r>
        <w:t xml:space="preserve"> </w:t>
      </w:r>
      <w:r>
        <w:br/>
      </w:r>
    </w:p>
    <w:p>
      <w:pPr>
        <w:pStyle w:val="ListParagraph"/>
        <w:numPr>
          <w:ilvl w:val="0"/>
          <w:numId w:val="100504480"/>
        </w:numPr>
        <w:ind w:left="360"/>
      </w:pPr>
      <w:r>
        <w:t xml:space="preserve">Is in deze casus formeel een melding gedaan op grond van de Wet bescherming klokkenluiders en, zo ja, onder welke kwalificatie of categorie is die melding gedaan?</w:t>
      </w:r>
      <w:r>
        <w:br/>
      </w:r>
      <w:r>
        <w:t xml:space="preserve"> </w:t>
      </w:r>
      <w:r>
        <w:br/>
      </w:r>
    </w:p>
    <w:p>
      <w:pPr>
        <w:pStyle w:val="ListParagraph"/>
        <w:numPr>
          <w:ilvl w:val="0"/>
          <w:numId w:val="100504480"/>
        </w:numPr>
        <w:ind w:left="360"/>
      </w:pPr>
      <w:r>
        <w:t xml:space="preserve">Kunt u aangeven of in deze casus onderzoek wordt gedaan naar mogelijke ongeoorloofde openbaarmaking van interne informatie en, zo nee, waarom niet? Indien daarvan wel sprake is, op basis van welke normen, procedures en mogelijke disciplinaire of strafrechtelijke kaders vindt dat onderzoek plaats?</w:t>
      </w:r>
      <w:r>
        <w:br/>
      </w:r>
      <w:r>
        <w:t xml:space="preserve"> </w:t>
      </w:r>
      <w:r>
        <w:br/>
      </w:r>
    </w:p>
    <w:p>
      <w:pPr>
        <w:pStyle w:val="ListParagraph"/>
        <w:numPr>
          <w:ilvl w:val="0"/>
          <w:numId w:val="100504480"/>
        </w:numPr>
        <w:ind w:left="360"/>
      </w:pPr>
      <w:r>
        <w:t xml:space="preserve">Hoe beoordeelt u, mede in het licht van de voor ambtenaren geldende regels over contacten met de media, het in het artikel opgenomen citaat van een bron met jarenlange ervaring in de top van ministeries die volgens het artikel niet officieel met de media mocht spreken? [2]</w:t>
      </w:r>
      <w:r>
        <w:br/>
      </w:r>
      <w:r>
        <w:t xml:space="preserve"> </w:t>
      </w:r>
      <w:r>
        <w:br/>
      </w:r>
    </w:p>
    <w:p>
      <w:pPr>
        <w:pStyle w:val="ListParagraph"/>
        <w:numPr>
          <w:ilvl w:val="0"/>
          <w:numId w:val="100504480"/>
        </w:numPr>
        <w:ind w:left="360"/>
      </w:pPr>
      <w:r>
        <w:t xml:space="preserve">Deelt u de opvatting dat politiek wordt bedreven in de Tweede Kamer der Staten-Generaal en in het kabinet, en niet vanuit de ambtelijke organisatie via mediaoptredens en rechtszaken tegen de Staat?</w:t>
      </w:r>
      <w:r>
        <w:br/>
      </w:r>
      <w:r>
        <w:t xml:space="preserve"> </w:t>
      </w:r>
      <w:r>
        <w:br/>
      </w:r>
    </w:p>
    <w:p>
      <w:pPr>
        <w:pStyle w:val="ListParagraph"/>
        <w:numPr>
          <w:ilvl w:val="0"/>
          <w:numId w:val="100504480"/>
        </w:numPr>
        <w:ind w:left="360"/>
      </w:pPr>
      <w:r>
        <w:t xml:space="preserve">Welke disciplinaire, integriteitsrechtelijke of rechtspositionele kaders gelden wanneer een ambtenaar vertrouwelijke of interne informatie gebruikt om lopende politieke besluitvorming publiekelijk te beïnvloeden?</w:t>
      </w:r>
      <w:r>
        <w:br/>
      </w:r>
      <w:r>
        <w:t xml:space="preserve"> </w:t>
      </w:r>
      <w:r>
        <w:br/>
      </w:r>
    </w:p>
    <w:p>
      <w:pPr>
        <w:pStyle w:val="ListParagraph"/>
        <w:numPr>
          <w:ilvl w:val="0"/>
          <w:numId w:val="100504480"/>
        </w:numPr>
        <w:ind w:left="360"/>
      </w:pPr>
      <w:r>
        <w:t xml:space="preserve">Acht u het, gelet op deze casus, verdedigbaar dat het kabinet de regie in dit dossier heeft, wanneer ambtenaren op deze wijze naar buiten treden, de Staat aanklagen en zich daarover ook openlijk uitlaten op sociale media?[3]</w:t>
      </w:r>
      <w:r>
        <w:br/>
      </w:r>
      <w:r>
        <w:t xml:space="preserve"> </w:t>
      </w:r>
      <w:r>
        <w:br/>
      </w:r>
    </w:p>
    <w:p>
      <w:pPr>
        <w:pStyle w:val="ListParagraph"/>
        <w:numPr>
          <w:ilvl w:val="0"/>
          <w:numId w:val="100504480"/>
        </w:numPr>
        <w:ind w:left="360"/>
      </w:pPr>
      <w:r>
        <w:t xml:space="preserve">Is het kabinet bereid onomwonden uit te spreken dat ambtenaren mogen waarschuwen, adviseren en, waar de wet dat toestaat, melden, maar dat zij geen parallel politiek strijdtoneel via media en procedures mogen organiseren tegen het eigen kabinetsbeleid?</w:t>
      </w:r>
      <w:r>
        <w:br/>
      </w:r>
      <w:r>
        <w:t xml:space="preserve"> </w:t>
      </w:r>
      <w:r>
        <w:br/>
      </w:r>
    </w:p>
    <w:p>
      <w:pPr>
        <w:pStyle w:val="ListParagraph"/>
        <w:numPr>
          <w:ilvl w:val="0"/>
          <w:numId w:val="100504480"/>
        </w:numPr>
        <w:ind w:left="360"/>
      </w:pPr>
      <w:r>
        <w:t xml:space="preserve">Zou u de vragen afzonderlijk van elkaar willen beantwoorden?</w:t>
      </w:r>
      <w:r>
        <w:br/>
      </w:r>
    </w:p>
    <w:p>
      <w:r>
        <w:t xml:space="preserve"> </w:t>
      </w:r>
      <w:r>
        <w:br/>
      </w:r>
    </w:p>
    <w:p>
      <w:r>
        <w:t xml:space="preserve"> </w:t>
      </w:r>
      <w:r>
        <w:br/>
      </w:r>
    </w:p>
    <w:p>
      <w:r>
        <w:t xml:space="preserve">
          [1] Volkskrant d.d. 16 april 2026
          <w:br/>
          https://www.volkskrant.nl/tech/privacy-adviseur-binnenlandse-zaken-overname-van-digid-bedreigt-veiligheid-van-nederland~b6be96c0/
        </w:t>
      </w:r>
      <w:r>
        <w:br/>
      </w:r>
    </w:p>
    <w:p>
      <w:r>
        <w:t xml:space="preserve">[2] Citaat: </w:t>
      </w:r>
      <w:r>
        <w:rPr>
          <w:i w:val="1"/>
          <w:iCs w:val="1"/>
        </w:rPr>
        <w:t xml:space="preserve">“</w:t>
      </w:r>
      <w:r>
        <w:rPr/>
        <w:t xml:space="preserve">Een probleem, zegt een bron met jarenlange ervaring in de top van ministeries die niet officieel met de media mag praten, is dat dergelijke overnames worden bekeken vanuit het principe van de open markt. En zo bezien zijn de juridische middelen om het tegen te houden beperkt.’”</w:t>
      </w:r>
      <w:r>
        <w:br/>
      </w:r>
    </w:p>
    <w:p>
      <w:r>
        <w:t xml:space="preserve">[3] https://www.linkedin.com/posts/activity-7450426083449028608-ZcFt?utm_source=share&amp;utm_medium=member_desktop&amp;rcm=ACoAABjJfdgB784_pPj4CzI8b1_Sdf7dY3AilEM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