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2026Z08237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april 2026)</w:t>
        <w:br/>
      </w:r>
    </w:p>
    <w:p>
      <w:r>
        <w:t xml:space="preserve">Vragen van het lid Van Eijk (VVD) aan de ministers van Financiën en van Justitie en Veiligheid over de Panama Papers en de Nederlandse trustsector.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Bent u bekend met de artikelen in het FD van 3 april[1] en 8 april[2] jl. over de trustsector?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beoordeelt u de wijze waarop in de media het functioneren en de maatschappelijke waarde van de Nederlandse trustsector wordt weergegeven?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Deelt u de opvatting dat het sterk afgenomen aantal trustkantoren (circa 80%) en doelvennootschappen (circa 50%) niet uitsluitend als een morele overwinning moet worden gepresenteerd, maar ook economische consequenties heeft?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Kunt u uiteenzetten welke rol de trustsector speelt in:</w:t>
      </w:r>
      <w:r>
        <w:br/>
      </w:r>
      <w:r>
        <w:t xml:space="preserve">- het faciliteren van internationale investeringsstromen;</w:t>
      </w:r>
      <w:r>
        <w:br/>
      </w:r>
      <w:r>
        <w:t xml:space="preserve">- naleving van internationale wet- en regelgeving;</w:t>
      </w:r>
      <w:r>
        <w:br/>
      </w:r>
      <w:r>
        <w:t xml:space="preserve">- het Nederlandse vestigingsklimaat;</w:t>
      </w:r>
      <w:r>
        <w:br/>
      </w:r>
      <w:r>
        <w:t xml:space="preserve">- werkgelegenheid en belastingopbrengsten?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In hoeverre acht u het risico aanwezig dat negatieve beeldvorming en beleidsaanscherpingen ertoe leiden dat internationaal opererende bedrijven Nederland vermijden of verlaten?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beoordeelt u het functioneren van De Nederlandsche Bank als toezichthouder op de trustsector?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Herkent u signalen uit de sector dat er sprake zou zijn van een disproportioneel strikte of zelfs vijandige toezichtshouding?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waarborgt u dat toezicht effectief is zonder het legitieme functioneren van de sector onnodig te belemmeren?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Wat is naar uw inschatting de omvang van illegale trustdienstverlening in Nederland?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Erkent en herkent u signalen dat illegale trustdienstverlening toeneemt?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Wat zijn naar uw mening de belangrijkste oorzaken van deze ontwikkeling, mede in relatie tot aangescherpte regelgeving zoals de Wtt 2018?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Wordt illegale trustdienstverlening naar uw oordeel voldoende bestreden? Zo nee, waar ziet u ruimte voor verbetering?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Hoeveel signalen over mogelijke illegale trustdienstverlening worden jaarlijks afgegeven en in hoeverre worden deze opgevolgd?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Klopt het dat overwogen is om intensiever op te treden tegen illegale dienstverlening, maar dat hiervan is afgezien vanwege kostenoverwegingen? Zo ja, wat is uw oordeel daarover?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Wanneer wordt de evaluatie van de Wet toezicht trustkantoren 2018 afgerond?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Indien blijkt dat strengere regelgeving leidt tot een verschuiving naar illegale dienstverlening, bent u bereid in overleg te treden met de sector om deze onbedoelde effecten te mitigeren?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groot acht u de risico’s op witwassen en terrorismefinanciering bij illegale trustdienstverlening?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Wat is de stand van zaken van het onderzoek naar risicovolle adressen (motie Van Nispen [3])?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Klopt het dat er een pilot loopt in Noord-Holland en wat zijn de eerste bevindingen?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weegt u de rol van de trustsector in het licht van internationale ontwikkelingen zoals BEPS, ATAD en de wereldwijde minimumbelasting (Pijler 2)?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Deelt u de analyse dat door deze internationale maatregelen de mogelijkheden voor belastingontwijking via Nederland sterk zijn beperkt?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Hoe voorkomt u dat aanvullende nationale maatregelen het Nederlandse vestigingsklimaat verder onder druk zetten?</w:t>
      </w:r>
      <w:r>
        <w:br/>
      </w:r>
    </w:p>
    <w:p>
      <w:pPr>
        <w:pStyle w:val="ListParagraph"/>
        <w:numPr>
          <w:ilvl w:val="0"/>
          <w:numId w:val="100504430"/>
        </w:numPr>
        <w:ind w:left="360"/>
      </w:pPr>
      <w:r>
        <w:t xml:space="preserve">Welke concrete stappen bent u bereid te zetten om Nederland aantrekkelijk te houden voor internationaal opererende bedrijven, mede gezien de geopolitieke en economische ontwikkelingen?</w:t>
      </w:r>
      <w:r>
        <w:br/>
      </w:r>
    </w:p>
    <w:p>
      <w:r>
        <w:t xml:space="preserve"> </w:t>
      </w:r>
      <w:r>
        <w:br/>
      </w:r>
    </w:p>
    <w:p>
      <w:r>
        <w:t xml:space="preserve">[1] FD.nl, 3 april 2026. https://fd.nl/bedrijfsleven/1591946/tien-jaar-na-de-panama-papers-is-de-nederlandse-trustsector-gehalveerd</w:t>
      </w:r>
      <w:r>
        <w:br/>
      </w:r>
    </w:p>
    <w:p>
      <w:r>
        <w:t xml:space="preserve">[2] FD.nl, 8 april 2026. https://fd.nl/opinie/1592441/toezicht-op-illegale-trustdienstverlening-blijft-achter</w:t>
      </w:r>
      <w:r>
        <w:br/>
      </w:r>
    </w:p>
    <w:p>
      <w:r>
        <w:t xml:space="preserve">[3] Kamerstuk 29 911, nr. 448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4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4400">
    <w:abstractNumId w:val="100504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