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2026Z08233</w:t>
        <w:br/>
      </w:r>
      <w:proofErr w:type="spellEnd"/>
    </w:p>
    <w:p>
      <w:pPr>
        <w:pStyle w:val="Normal"/>
        <w:rPr>
          <w:b w:val="1"/>
          <w:bCs w:val="1"/>
        </w:rPr>
      </w:pPr>
      <w:r w:rsidR="250AE766">
        <w:rPr>
          <w:b w:val="0"/>
          <w:bCs w:val="0"/>
        </w:rPr>
        <w:t>(ingezonden 17 april 2026)</w:t>
        <w:br/>
      </w:r>
    </w:p>
    <w:p>
      <w:r>
        <w:t xml:space="preserve">Vragen van het lid Boelsma-Hoekstra (CDA) aan de minister van Infrastructuur en Waterstaat over buitenproportionele eisen voor vrijwilligers in de traditionele scheepvaart.</w:t>
      </w:r>
      <w:r>
        <w:br/>
      </w:r>
    </w:p>
    <w:p>
      <w:r>
        <w:t xml:space="preserve"> </w:t>
      </w:r>
      <w:r>
        <w:br/>
      </w:r>
    </w:p>
    <w:p>
      <w:pPr>
        <w:pStyle w:val="ListParagraph"/>
        <w:numPr>
          <w:ilvl w:val="0"/>
          <w:numId w:val="100504400"/>
        </w:numPr>
        <w:ind w:left="360"/>
      </w:pPr>
      <w:r>
        <w:t xml:space="preserve">Kunt u, in aanvulling op uw eerdere beantwoording van schriftelijke vragen op hetzelfde onderwerp, een nadere duiding geven van de kosten die gepaard gaan met de vereiste van het bezig van het kwalificatiecertificaat schipper? Kunt u in ieder geval ingaan op welke kosten gepaard gaan met een verplichte tweejaarlijkse medische keuring? 1)</w:t>
      </w:r>
      <w:r>
        <w:br/>
      </w:r>
    </w:p>
    <w:p>
      <w:pPr>
        <w:pStyle w:val="ListParagraph"/>
        <w:numPr>
          <w:ilvl w:val="0"/>
          <w:numId w:val="100504400"/>
        </w:numPr>
        <w:ind w:left="360"/>
      </w:pPr>
      <w:r>
        <w:t xml:space="preserve">Kunt u aangeven welke punten in de genoemde gesprekken met de vertegenwoordiging van de Enterse Zompen en het praambedrijf in Leeuwarden naar voren gebracht zijn, en hoe hier vervolgens opvolging aan gegeven is?</w:t>
      </w:r>
      <w:r>
        <w:br/>
      </w:r>
    </w:p>
    <w:p>
      <w:pPr>
        <w:pStyle w:val="ListParagraph"/>
        <w:numPr>
          <w:ilvl w:val="0"/>
          <w:numId w:val="100504400"/>
        </w:numPr>
        <w:ind w:left="360"/>
      </w:pPr>
      <w:r>
        <w:t xml:space="preserve">Klopt het dat in de Richtlijn (EU) 2017/2397 is bepaald dat lidstaten personen die uitsluitend actief zijn op nationale binnenwateren, die niet in verbinding staan met het vaarwegennet van een andere lidstaat, kunnen vrijstellen van de in de richtlijn opgenomen verplichtingen? Kunt u aangeven of is overwogen om van deze mogelijkheid gebruik te maken? En indien ja, waarom hier niet toe besloten is?</w:t>
      </w:r>
      <w:r>
        <w:br/>
      </w:r>
    </w:p>
    <w:p>
      <w:pPr>
        <w:pStyle w:val="ListParagraph"/>
        <w:numPr>
          <w:ilvl w:val="0"/>
          <w:numId w:val="100504400"/>
        </w:numPr>
        <w:ind w:left="360"/>
      </w:pPr>
      <w:r>
        <w:t xml:space="preserve">Klopt het dat binnen dezelfde richtlijn de mogelijkheid wordt geboden om een kwalificatiecertificaat af te geven onder afwijkende voorwaarden, mits daarmee een afdoende veiligheidsniveau wordt gewaarborgd? Kunt u aangeven of is overwogen om van deze mogelijkheid gebruik te maken? En indien ja, waarom hier niet toe besloten is?</w:t>
      </w:r>
      <w:r>
        <w:br/>
      </w:r>
    </w:p>
    <w:p>
      <w:pPr>
        <w:pStyle w:val="ListParagraph"/>
        <w:numPr>
          <w:ilvl w:val="0"/>
          <w:numId w:val="100504400"/>
        </w:numPr>
        <w:ind w:left="360"/>
      </w:pPr>
      <w:r>
        <w:t xml:space="preserve">Bent u het ermee eens dat met een combinatie van een Klein Vaarbewijs en een intern verzwaarde praktijkopleiding een passend veiligheidsniveau gewaarborgd kan worden?</w:t>
      </w:r>
      <w:r>
        <w:br/>
      </w:r>
    </w:p>
    <w:p>
      <w:r>
        <w:t xml:space="preserve"> </w:t>
      </w:r>
      <w:r>
        <w:br/>
      </w:r>
    </w:p>
    <w:p>
      <w:r>
        <w:t xml:space="preserve">1) Tweede Kamer, vergaderjaar 2025–2026, Aanhangsel van de Handelingen, nr. 1448.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4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4400">
    <w:abstractNumId w:val="100504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