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45CEF" w14:paraId="258EB843" w14:textId="7B5CA6F4">
                            <w:pPr>
                              <w:pStyle w:val="Huisstijl-Agendatitel"/>
                              <w:ind w:left="0" w:firstLine="0"/>
                              <w:jc w:val="right"/>
                            </w:pPr>
                            <w:r>
                              <w:t>1</w:t>
                            </w:r>
                            <w:r w:rsidR="00C26C95">
                              <w:t>7</w:t>
                            </w:r>
                            <w:r w:rsidR="0024256B">
                              <w:t xml:space="preserve"> april</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45CEF" w14:paraId="258EB843" w14:textId="7B5CA6F4">
                      <w:pPr>
                        <w:pStyle w:val="Huisstijl-Agendatitel"/>
                        <w:ind w:left="0" w:firstLine="0"/>
                        <w:jc w:val="right"/>
                      </w:pPr>
                      <w:r>
                        <w:t>1</w:t>
                      </w:r>
                      <w:r w:rsidR="00C26C95">
                        <w:t>7</w:t>
                      </w:r>
                      <w:r w:rsidR="0024256B">
                        <w:t xml:space="preserve"> april</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B81030" w:rsidP="009308A8" w:rsidRDefault="00CC2F33" w14:paraId="0A0ABC2A" w14:textId="594A0F5D">
      <w:pPr>
        <w:pStyle w:val="Normaalweb"/>
        <w:rPr>
          <w:rFonts w:ascii="Verdana" w:hAnsi="Verdana"/>
          <w:sz w:val="18"/>
          <w:szCs w:val="18"/>
        </w:rPr>
      </w:pPr>
      <w:r>
        <w:rPr>
          <w:rFonts w:ascii="Verdana" w:hAnsi="Verdana"/>
          <w:sz w:val="18"/>
          <w:szCs w:val="18"/>
        </w:rPr>
        <w:t xml:space="preserve">Er zijn ditmaal </w:t>
      </w:r>
      <w:r w:rsidR="00B81030">
        <w:rPr>
          <w:rFonts w:ascii="Verdana" w:hAnsi="Verdana"/>
          <w:sz w:val="18"/>
          <w:szCs w:val="18"/>
        </w:rPr>
        <w:t>alleen niet-</w:t>
      </w:r>
      <w:r>
        <w:rPr>
          <w:rFonts w:ascii="Verdana" w:hAnsi="Verdana"/>
          <w:sz w:val="18"/>
          <w:szCs w:val="18"/>
        </w:rPr>
        <w:t xml:space="preserve">wetgevende voorstellen </w:t>
      </w:r>
      <w:r w:rsidR="00B81030">
        <w:rPr>
          <w:rFonts w:ascii="Verdana" w:hAnsi="Verdana"/>
          <w:sz w:val="18"/>
          <w:szCs w:val="18"/>
        </w:rPr>
        <w:t>binnengekomen.</w:t>
      </w:r>
    </w:p>
    <w:p w:rsidRPr="00B81030" w:rsidR="009425E2" w:rsidP="00B81030" w:rsidRDefault="005115F8" w14:paraId="0ED0D65F" w14:textId="158F3D31">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26C95"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F3AF8" w:rsidR="005F3370" w:rsidP="005D6B99" w:rsidRDefault="005D6B99" w14:paraId="0497943B" w14:textId="77777777">
            <w:pPr>
              <w:rPr>
                <w:szCs w:val="18"/>
                <w:lang w:val="en-US"/>
              </w:rPr>
            </w:pPr>
            <w:r w:rsidRPr="005D6B99">
              <w:rPr>
                <w:szCs w:val="18"/>
                <w:lang w:val="en-US"/>
              </w:rPr>
              <w:t xml:space="preserve">Proposal for a COUNCIL IMPLEMENTING DECISION approving assistance to Ukraine in implementing the Ukrainian Financing Strategy </w:t>
            </w:r>
            <w:hyperlink w:history="1" r:id="rId14">
              <w:r w:rsidRPr="005D6B99">
                <w:rPr>
                  <w:rStyle w:val="Hyperlink"/>
                  <w:szCs w:val="18"/>
                  <w:lang w:val="en-US"/>
                </w:rPr>
                <w:t>COM(2026)157</w:t>
              </w:r>
            </w:hyperlink>
          </w:p>
          <w:p w:rsidRPr="005D6B99" w:rsidR="005D6B99" w:rsidP="005D6B99" w:rsidRDefault="005D6B99" w14:paraId="31D74321" w14:textId="6EF99E10">
            <w:pPr>
              <w:rPr>
                <w:szCs w:val="18"/>
                <w:lang w:val="en-US"/>
              </w:rPr>
            </w:pPr>
          </w:p>
        </w:tc>
      </w:tr>
      <w:tr w:rsidRPr="00A9227F" w:rsidR="00182C87" w:rsidTr="00160D31" w14:paraId="6C8322D3" w14:textId="77777777">
        <w:tc>
          <w:tcPr>
            <w:tcW w:w="1035" w:type="dxa"/>
          </w:tcPr>
          <w:p w:rsidRPr="00A9227F" w:rsidR="00182C87" w:rsidP="00160D31" w:rsidRDefault="00182C87" w14:paraId="1EFB1F4E" w14:textId="06B8889B">
            <w:pPr>
              <w:spacing w:after="240"/>
              <w:rPr>
                <w:szCs w:val="18"/>
              </w:rPr>
            </w:pPr>
            <w:r w:rsidRPr="00A9227F">
              <w:rPr>
                <w:szCs w:val="18"/>
              </w:rPr>
              <w:t>Voorstel</w:t>
            </w:r>
          </w:p>
        </w:tc>
        <w:tc>
          <w:tcPr>
            <w:tcW w:w="6529" w:type="dxa"/>
          </w:tcPr>
          <w:p w:rsidRPr="005E62ED" w:rsidR="00182C87" w:rsidP="00160D31" w:rsidRDefault="005D6B99" w14:paraId="22ECABAF" w14:textId="7ED3FF94">
            <w:pPr>
              <w:spacing w:after="240"/>
              <w:rPr>
                <w:szCs w:val="18"/>
              </w:rPr>
            </w:pPr>
            <w:r>
              <w:rPr>
                <w:szCs w:val="18"/>
              </w:rPr>
              <w:t xml:space="preserve">Desgewenst betrekken bij </w:t>
            </w:r>
            <w:r w:rsidR="00C26C95">
              <w:rPr>
                <w:szCs w:val="18"/>
              </w:rPr>
              <w:t>het schriftelijk overleg</w:t>
            </w:r>
            <w:r w:rsidR="00301D20">
              <w:rPr>
                <w:szCs w:val="18"/>
              </w:rPr>
              <w:t xml:space="preserve"> van 28 april 2026 over de</w:t>
            </w:r>
            <w:r w:rsidR="005767CC">
              <w:rPr>
                <w:szCs w:val="18"/>
              </w:rPr>
              <w:t xml:space="preserve"> Eurogroep en Ecofinraad 2026 van 4 en 5 mei 2026</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9871CA" w:rsidR="009871CA" w:rsidP="009871CA" w:rsidRDefault="009871CA" w14:paraId="4CCBAAE8" w14:textId="38902AE3">
            <w:pPr>
              <w:spacing w:after="240"/>
              <w:rPr>
                <w:color w:val="595959" w:themeColor="text1" w:themeTint="A6"/>
                <w:szCs w:val="18"/>
              </w:rPr>
            </w:pPr>
            <w:r w:rsidRPr="009871CA">
              <w:rPr>
                <w:color w:val="595959" w:themeColor="text1" w:themeTint="A6"/>
                <w:szCs w:val="18"/>
              </w:rPr>
              <w:t xml:space="preserve">Het voorstel gaat over een uitvoeringsbesluit </w:t>
            </w:r>
            <w:r w:rsidR="00AB018E">
              <w:rPr>
                <w:color w:val="595959" w:themeColor="text1" w:themeTint="A6"/>
                <w:szCs w:val="18"/>
              </w:rPr>
              <w:t>om f</w:t>
            </w:r>
            <w:r w:rsidRPr="009871CA">
              <w:rPr>
                <w:color w:val="595959" w:themeColor="text1" w:themeTint="A6"/>
                <w:szCs w:val="18"/>
              </w:rPr>
              <w:t>inanciële steun beschikbaar te stellen aan Oekraïne</w:t>
            </w:r>
            <w:r w:rsidR="00D77FD9">
              <w:rPr>
                <w:color w:val="595959" w:themeColor="text1" w:themeTint="A6"/>
                <w:szCs w:val="18"/>
              </w:rPr>
              <w:t xml:space="preserve">. </w:t>
            </w:r>
            <w:r w:rsidRPr="009871CA">
              <w:rPr>
                <w:color w:val="595959" w:themeColor="text1" w:themeTint="A6"/>
                <w:szCs w:val="18"/>
              </w:rPr>
              <w:t xml:space="preserve">Concreet gaat het om een bedrag tot ongeveer </w:t>
            </w:r>
            <w:r w:rsidRPr="009871CA">
              <w:rPr>
                <w:b/>
                <w:bCs/>
                <w:color w:val="595959" w:themeColor="text1" w:themeTint="A6"/>
                <w:szCs w:val="18"/>
              </w:rPr>
              <w:t>90 miljard euro voor de periode 2026–2027</w:t>
            </w:r>
            <w:r w:rsidRPr="009871CA">
              <w:rPr>
                <w:color w:val="595959" w:themeColor="text1" w:themeTint="A6"/>
                <w:szCs w:val="18"/>
              </w:rPr>
              <w:t>, bedoeld om Oekraïne te helpen essentiële uitgaven te blijven doen en financiële stabiliteit te behouden.</w:t>
            </w:r>
          </w:p>
          <w:p w:rsidRPr="009871CA" w:rsidR="009871CA" w:rsidP="009871CA" w:rsidRDefault="009871CA" w14:paraId="3C685BED" w14:textId="77777777">
            <w:pPr>
              <w:spacing w:after="240"/>
              <w:rPr>
                <w:color w:val="595959" w:themeColor="text1" w:themeTint="A6"/>
                <w:szCs w:val="18"/>
              </w:rPr>
            </w:pPr>
            <w:r w:rsidRPr="009871CA">
              <w:rPr>
                <w:color w:val="595959" w:themeColor="text1" w:themeTint="A6"/>
                <w:szCs w:val="18"/>
              </w:rPr>
              <w:t>Een uitvoeringsbesluit is een juridisch instrument waarmee de EU de praktische uitvoering van eerder vastgestelde wetgeving of afspraken regelt. Het legt dus concreet vast hoe een maatregel wordt toegepast, bijvoorbeeld door bedragen, voorwaarden en procedures te bepalen.</w:t>
            </w:r>
          </w:p>
          <w:p w:rsidRPr="00F13564" w:rsidR="00F13564" w:rsidP="00F13564" w:rsidRDefault="009871CA" w14:paraId="731D1EE2" w14:textId="0A407F46">
            <w:pPr>
              <w:spacing w:after="240"/>
              <w:rPr>
                <w:color w:val="595959" w:themeColor="text1" w:themeTint="A6"/>
                <w:szCs w:val="18"/>
              </w:rPr>
            </w:pPr>
            <w:r w:rsidRPr="009871CA">
              <w:rPr>
                <w:color w:val="595959" w:themeColor="text1" w:themeTint="A6"/>
                <w:szCs w:val="18"/>
              </w:rPr>
              <w:t>In dit geval wordt de steun vormgegeven als een grote lening met specifieke voorwaarden. Zo wordt geregeld hoe en wanneer Oekraïne moet terugbetalen, waarbij rekening wordt gehouden met de uitzonderlijke omstandigheden waarin het land zich bevindt. Daarnaast wordt beschreven</w:t>
            </w:r>
            <w:r w:rsidR="00F13564">
              <w:rPr>
                <w:color w:val="595959" w:themeColor="text1" w:themeTint="A6"/>
                <w:szCs w:val="18"/>
              </w:rPr>
              <w:t xml:space="preserve"> hoe d</w:t>
            </w:r>
            <w:r w:rsidRPr="00F13564" w:rsidR="00F13564">
              <w:rPr>
                <w:color w:val="595959" w:themeColor="text1" w:themeTint="A6"/>
                <w:szCs w:val="18"/>
              </w:rPr>
              <w:t xml:space="preserve">e steun wordt vormgegeven als een grote lening met specifieke voorwaarden, die nauw aansluiten bij de economische en politieke situatie van Oekraïne. Dat betekent onder meer dat de uitbetaling in </w:t>
            </w:r>
            <w:r w:rsidRPr="00A34E80" w:rsidR="00F13564">
              <w:rPr>
                <w:b/>
                <w:bCs/>
                <w:color w:val="595959" w:themeColor="text1" w:themeTint="A6"/>
                <w:szCs w:val="18"/>
              </w:rPr>
              <w:t>tranches</w:t>
            </w:r>
            <w:r w:rsidRPr="00F13564" w:rsidR="00F13564">
              <w:rPr>
                <w:color w:val="595959" w:themeColor="text1" w:themeTint="A6"/>
                <w:szCs w:val="18"/>
              </w:rPr>
              <w:t xml:space="preserve"> kan plaatsvinden en gekoppeld kan worden aan bepaalde </w:t>
            </w:r>
            <w:r w:rsidRPr="00A34E80" w:rsidR="00F13564">
              <w:rPr>
                <w:b/>
                <w:bCs/>
                <w:color w:val="595959" w:themeColor="text1" w:themeTint="A6"/>
                <w:szCs w:val="18"/>
              </w:rPr>
              <w:t>hervormingen</w:t>
            </w:r>
            <w:r w:rsidRPr="00F13564" w:rsidR="00F13564">
              <w:rPr>
                <w:color w:val="595959" w:themeColor="text1" w:themeTint="A6"/>
                <w:szCs w:val="18"/>
              </w:rPr>
              <w:t xml:space="preserve"> of beleidsmaatregelen, zoals goed financieel beheer, transparantie en het versterken van instituties. Ook wordt rekening gehouden met de beperkte terugbetalingscapaciteit van Oekraïne op korte termijn, waardoor de looptijd lang kan zijn en terugbetaling pas later echt op gang hoeft te komen.</w:t>
            </w:r>
          </w:p>
          <w:p w:rsidRPr="00C66E98" w:rsidR="00182C87" w:rsidP="00B866D2" w:rsidRDefault="00F13564" w14:paraId="7AEF5AFD" w14:textId="1AD29DDF">
            <w:pPr>
              <w:spacing w:after="240"/>
              <w:rPr>
                <w:color w:val="595959" w:themeColor="text1" w:themeTint="A6"/>
                <w:szCs w:val="18"/>
              </w:rPr>
            </w:pPr>
            <w:r w:rsidRPr="00F13564">
              <w:rPr>
                <w:color w:val="595959" w:themeColor="text1" w:themeTint="A6"/>
                <w:szCs w:val="18"/>
              </w:rPr>
              <w:t xml:space="preserve">Wat betreft de organisatie van de financiering wordt in het voorstel uitgewerkt hoe de </w:t>
            </w:r>
            <w:r w:rsidR="00A34E80">
              <w:rPr>
                <w:color w:val="595959" w:themeColor="text1" w:themeTint="A6"/>
                <w:szCs w:val="18"/>
              </w:rPr>
              <w:t>EU</w:t>
            </w:r>
            <w:r w:rsidRPr="00F13564">
              <w:rPr>
                <w:color w:val="595959" w:themeColor="text1" w:themeTint="A6"/>
                <w:szCs w:val="18"/>
              </w:rPr>
              <w:t xml:space="preserve"> het geld op de kapitaalmarkt aantrekt en vervolgens doorleent aan Oekraïne. Daarbij speelt ook de vraag hoe risico’s worden afgedekt. In dat kader wordt gekeken naar </w:t>
            </w:r>
            <w:r w:rsidRPr="00F13564">
              <w:rPr>
                <w:color w:val="595959" w:themeColor="text1" w:themeTint="A6"/>
                <w:szCs w:val="18"/>
              </w:rPr>
              <w:lastRenderedPageBreak/>
              <w:t xml:space="preserve">bestaande EU-instrumenten en begrotingsmiddelen, maar ook naar mogelijke inzet van opbrengsten uit bevroren Russische </w:t>
            </w:r>
            <w:r w:rsidR="00A34E80">
              <w:rPr>
                <w:color w:val="595959" w:themeColor="text1" w:themeTint="A6"/>
                <w:szCs w:val="18"/>
              </w:rPr>
              <w:t>tegoeden</w:t>
            </w:r>
            <w:r w:rsidRPr="00F13564">
              <w:rPr>
                <w:color w:val="595959" w:themeColor="text1" w:themeTint="A6"/>
                <w:szCs w:val="18"/>
              </w:rPr>
              <w:t>. Die opbrengsten zouden kunnen worden gebruikt om (een deel van) de kosten van de lening te dragen of als extra zekerheid te dienen, binnen de grenzen van het EU-recht en het internationaal recht.</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26C95"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F3AF8" w:rsidR="001D0A8F" w:rsidP="005F3370" w:rsidRDefault="005F3AF8" w14:paraId="155EC703" w14:textId="764A61C3">
            <w:pPr>
              <w:rPr>
                <w:szCs w:val="18"/>
                <w:lang w:val="en-US"/>
              </w:rPr>
            </w:pPr>
            <w:r w:rsidRPr="005F3AF8">
              <w:rPr>
                <w:szCs w:val="18"/>
                <w:lang w:val="en-US"/>
              </w:rPr>
              <w:t xml:space="preserve">DRAFT AMENDING BUDGET No 1 TO THE GENERAL BUDGET 2026 ENTERING THE SURPLUS OF THE FINANCIAL YEAR 2025 </w:t>
            </w:r>
            <w:hyperlink w:history="1" r:id="rId15">
              <w:r w:rsidRPr="005F3AF8">
                <w:rPr>
                  <w:rStyle w:val="Hyperlink"/>
                  <w:szCs w:val="18"/>
                  <w:lang w:val="en-US"/>
                </w:rPr>
                <w:t>COM(2026)450</w:t>
              </w:r>
            </w:hyperlink>
          </w:p>
          <w:p w:rsidRPr="005F3AF8" w:rsidR="005F3370" w:rsidP="005F3370" w:rsidRDefault="005F3370" w14:paraId="638456AC" w14:textId="640C2866">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E30621" w14:paraId="013BA8CE" w14:textId="7ECD4ADD">
            <w:pPr>
              <w:spacing w:after="240"/>
              <w:rPr>
                <w:szCs w:val="18"/>
              </w:rPr>
            </w:pPr>
            <w:r>
              <w:rPr>
                <w:szCs w:val="18"/>
              </w:rPr>
              <w:t>Voor kennisgeving aannemen</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23679" w:rsidR="00A23679" w:rsidP="00A23679" w:rsidRDefault="00A23679" w14:paraId="52062B86" w14:textId="77777777">
            <w:pPr>
              <w:spacing w:after="240"/>
              <w:rPr>
                <w:color w:val="595959" w:themeColor="text1" w:themeTint="A6"/>
                <w:szCs w:val="18"/>
              </w:rPr>
            </w:pPr>
            <w:r w:rsidRPr="00A23679">
              <w:rPr>
                <w:color w:val="595959" w:themeColor="text1" w:themeTint="A6"/>
                <w:szCs w:val="18"/>
              </w:rPr>
              <w:t xml:space="preserve">Dit voorstel (COM(2026) 450) is een ontwerpbegrotingswijziging van de Europese Unie, specifiek een </w:t>
            </w:r>
            <w:r w:rsidRPr="00A23679">
              <w:rPr>
                <w:i/>
                <w:iCs/>
                <w:color w:val="595959" w:themeColor="text1" w:themeTint="A6"/>
                <w:szCs w:val="18"/>
              </w:rPr>
              <w:t xml:space="preserve">draft </w:t>
            </w:r>
            <w:proofErr w:type="spellStart"/>
            <w:r w:rsidRPr="00A23679">
              <w:rPr>
                <w:i/>
                <w:iCs/>
                <w:color w:val="595959" w:themeColor="text1" w:themeTint="A6"/>
                <w:szCs w:val="18"/>
              </w:rPr>
              <w:t>amending</w:t>
            </w:r>
            <w:proofErr w:type="spellEnd"/>
            <w:r w:rsidRPr="00A23679">
              <w:rPr>
                <w:i/>
                <w:iCs/>
                <w:color w:val="595959" w:themeColor="text1" w:themeTint="A6"/>
                <w:szCs w:val="18"/>
              </w:rPr>
              <w:t xml:space="preserve"> budget nr. 1 voor 2026</w:t>
            </w:r>
            <w:r w:rsidRPr="00A23679">
              <w:rPr>
                <w:color w:val="595959" w:themeColor="text1" w:themeTint="A6"/>
                <w:szCs w:val="18"/>
              </w:rPr>
              <w:t>. Het gaat dus niet om nieuw beleid, maar om het aanpassen van de bestaande EU-begroting voor 2026.</w:t>
            </w:r>
          </w:p>
          <w:p w:rsidRPr="00A23679" w:rsidR="00A23679" w:rsidP="00A23679" w:rsidRDefault="00A23679" w14:paraId="51C09AC8" w14:textId="77777777">
            <w:pPr>
              <w:spacing w:after="240"/>
              <w:rPr>
                <w:color w:val="595959" w:themeColor="text1" w:themeTint="A6"/>
                <w:szCs w:val="18"/>
              </w:rPr>
            </w:pPr>
            <w:r w:rsidRPr="00A23679">
              <w:rPr>
                <w:color w:val="595959" w:themeColor="text1" w:themeTint="A6"/>
                <w:szCs w:val="18"/>
              </w:rPr>
              <w:t>Concreet regelt het voorstel dat het begrotingsoverschot van het jaar 2025 wordt verwerkt (“ingeschreven”) in de begroting van 2026. Zo’n overschot ontstaat wanneer er in een jaar minder is uitgegeven of meer is ontvangen dan vooraf begroot.</w:t>
            </w:r>
          </w:p>
          <w:p w:rsidRPr="00A23679" w:rsidR="00A23679" w:rsidP="00A23679" w:rsidRDefault="00A23679" w14:paraId="05E25B17" w14:textId="191BF716">
            <w:pPr>
              <w:tabs>
                <w:tab w:val="num" w:pos="720"/>
              </w:tabs>
              <w:spacing w:after="240"/>
              <w:rPr>
                <w:color w:val="595959" w:themeColor="text1" w:themeTint="A6"/>
                <w:szCs w:val="18"/>
              </w:rPr>
            </w:pPr>
            <w:r w:rsidRPr="00A23679">
              <w:rPr>
                <w:color w:val="595959" w:themeColor="text1" w:themeTint="A6"/>
                <w:szCs w:val="18"/>
              </w:rPr>
              <w:t>De kern is dat dit overschot vervolgens wordt gebruikt om de begroting van 2026 aan te passen, meestal door</w:t>
            </w:r>
            <w:r>
              <w:rPr>
                <w:color w:val="595959" w:themeColor="text1" w:themeTint="A6"/>
                <w:szCs w:val="18"/>
              </w:rPr>
              <w:t xml:space="preserve"> </w:t>
            </w:r>
            <w:r w:rsidRPr="00A23679">
              <w:rPr>
                <w:color w:val="595959" w:themeColor="text1" w:themeTint="A6"/>
                <w:szCs w:val="18"/>
              </w:rPr>
              <w:t xml:space="preserve">de bijdragen van lidstaten te verlagen, of extra ruimte te creëren voor uitgaven binnen de bestaande begroting. </w:t>
            </w:r>
          </w:p>
          <w:p w:rsidRPr="00C66E98" w:rsidR="00374336" w:rsidP="00374336" w:rsidRDefault="00A23679" w14:paraId="34F080DB" w14:textId="48A1BC14">
            <w:pPr>
              <w:spacing w:after="240"/>
              <w:rPr>
                <w:color w:val="595959" w:themeColor="text1" w:themeTint="A6"/>
                <w:szCs w:val="18"/>
              </w:rPr>
            </w:pPr>
            <w:r w:rsidRPr="00A23679">
              <w:rPr>
                <w:color w:val="595959" w:themeColor="text1" w:themeTint="A6"/>
                <w:szCs w:val="18"/>
              </w:rPr>
              <w:t>Kort</w:t>
            </w:r>
            <w:r>
              <w:rPr>
                <w:color w:val="595959" w:themeColor="text1" w:themeTint="A6"/>
                <w:szCs w:val="18"/>
              </w:rPr>
              <w:t>om</w:t>
            </w:r>
            <w:r w:rsidRPr="00A23679">
              <w:rPr>
                <w:color w:val="595959" w:themeColor="text1" w:themeTint="A6"/>
                <w:szCs w:val="18"/>
              </w:rPr>
              <w:t>: het document zorgt ervoor dat het positieve saldo van 2025 formeel wordt meegenomen en verwerkt in de EU-begroting van 2026, zodat de cijfers weer kloppen en de financiering correct wordt verdeeld</w:t>
            </w:r>
            <w:r w:rsidR="00E30621">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26C95"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E1A18" w:rsidR="00470368" w:rsidP="00301D20" w:rsidRDefault="00E579AC" w14:paraId="3619AA31" w14:textId="77777777">
            <w:pPr>
              <w:rPr>
                <w:szCs w:val="18"/>
                <w:lang w:val="en-US"/>
              </w:rPr>
            </w:pPr>
            <w:r w:rsidRPr="00E579AC">
              <w:rPr>
                <w:szCs w:val="18"/>
                <w:lang w:val="en-US"/>
              </w:rPr>
              <w:t xml:space="preserve">Proposal for a COUNCIL IMPLEMENTING DECISION amending the Implementing Decision of 13 July 2021 on the approval of the assessment of the recovery and resilience plan for Denmark </w:t>
            </w:r>
            <w:hyperlink w:history="1" r:id="rId16">
              <w:r w:rsidRPr="00E579AC">
                <w:rPr>
                  <w:rStyle w:val="Hyperlink"/>
                  <w:szCs w:val="18"/>
                  <w:lang w:val="en-US"/>
                </w:rPr>
                <w:t>COM(2026)162</w:t>
              </w:r>
            </w:hyperlink>
          </w:p>
          <w:p w:rsidRPr="00E579AC" w:rsidR="00E579AC" w:rsidP="00301D20" w:rsidRDefault="00E579AC" w14:paraId="45B254E2" w14:textId="70A8431F">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AD7804" w14:paraId="77E44C7A" w14:textId="29CA3F65">
            <w:pPr>
              <w:spacing w:after="240"/>
              <w:rPr>
                <w:szCs w:val="18"/>
              </w:rPr>
            </w:pPr>
            <w:r>
              <w:rPr>
                <w:szCs w:val="18"/>
              </w:rPr>
              <w:t>Desgewenst betrekken bij het schriftelijk overleg van 28 april over de Eurogroep en Ecofinraad van 4 en 5 mei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00AD7804" w:rsidP="00AD7804" w:rsidRDefault="00AD7804" w14:paraId="58812E7B" w14:textId="374DF577">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Denemarken positief beoordeeld en de Ecofinraad moet de gewijzigde plannen vervolgens nog formeel met gekwalificeerde meerderheid goedkeuren.</w:t>
            </w:r>
          </w:p>
          <w:p w:rsidRPr="00C66E98" w:rsidR="006104A5" w:rsidP="00AD7804" w:rsidRDefault="00AD7804" w14:paraId="2FA4DAA3" w14:textId="7A4EB22E">
            <w:pPr>
              <w:spacing w:after="240"/>
              <w:rPr>
                <w:color w:val="595959" w:themeColor="text1" w:themeTint="A6"/>
                <w:szCs w:val="18"/>
              </w:rPr>
            </w:pPr>
            <w:r>
              <w:rPr>
                <w:color w:val="595959" w:themeColor="text1" w:themeTint="A6"/>
                <w:szCs w:val="18"/>
              </w:rPr>
              <w:lastRenderedPageBreak/>
              <w:t xml:space="preserve">Op </w:t>
            </w:r>
            <w:r w:rsidR="007F7299">
              <w:rPr>
                <w:color w:val="595959" w:themeColor="text1" w:themeTint="A6"/>
                <w:szCs w:val="18"/>
              </w:rPr>
              <w:t>2</w:t>
            </w:r>
            <w:r>
              <w:rPr>
                <w:color w:val="595959" w:themeColor="text1" w:themeTint="A6"/>
                <w:szCs w:val="18"/>
              </w:rPr>
              <w:t xml:space="preserve"> maart 2026</w:t>
            </w:r>
            <w:r w:rsidRPr="00D123F2">
              <w:rPr>
                <w:color w:val="595959" w:themeColor="text1" w:themeTint="A6"/>
                <w:szCs w:val="18"/>
              </w:rPr>
              <w:t xml:space="preserve"> heeft </w:t>
            </w:r>
            <w:r>
              <w:rPr>
                <w:color w:val="595959" w:themeColor="text1" w:themeTint="A6"/>
                <w:szCs w:val="18"/>
              </w:rPr>
              <w:t>Denemarken</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sidR="009469D4">
              <w:rPr>
                <w:color w:val="595959" w:themeColor="text1" w:themeTint="A6"/>
                <w:szCs w:val="18"/>
              </w:rPr>
              <w:t>13 juli</w:t>
            </w:r>
            <w:r>
              <w:rPr>
                <w:color w:val="595959" w:themeColor="text1" w:themeTint="A6"/>
                <w:szCs w:val="18"/>
              </w:rPr>
              <w:t xml:space="preserve"> 2021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Pr>
                <w:color w:val="595959" w:themeColor="text1" w:themeTint="A6"/>
                <w:szCs w:val="18"/>
              </w:rPr>
              <w:t>Denemarken</w:t>
            </w:r>
            <w:r w:rsidRPr="009633A0">
              <w:rPr>
                <w:color w:val="595959" w:themeColor="text1" w:themeTint="A6"/>
                <w:szCs w:val="18"/>
              </w:rPr>
              <w:t xml:space="preserve"> op grond van objectieve omstandigheden heeft ingediend, hebben betrekking op </w:t>
            </w:r>
            <w:r>
              <w:rPr>
                <w:color w:val="595959" w:themeColor="text1" w:themeTint="A6"/>
                <w:szCs w:val="18"/>
              </w:rPr>
              <w:t>1</w:t>
            </w:r>
            <w:r w:rsidR="002E4612">
              <w:rPr>
                <w:color w:val="595959" w:themeColor="text1" w:themeTint="A6"/>
                <w:szCs w:val="18"/>
              </w:rPr>
              <w:t>2</w:t>
            </w:r>
            <w:r w:rsidRPr="009633A0">
              <w:rPr>
                <w:color w:val="595959" w:themeColor="text1" w:themeTint="A6"/>
                <w:szCs w:val="18"/>
              </w:rPr>
              <w:t> maatregelen.</w:t>
            </w:r>
            <w:r w:rsidRPr="001247C1">
              <w:rPr>
                <w:color w:val="595959" w:themeColor="text1" w:themeTint="A6"/>
                <w:szCs w:val="18"/>
              </w:rPr>
              <w:t xml:space="preserve"> </w:t>
            </w:r>
            <w:r w:rsidR="006012AD">
              <w:rPr>
                <w:color w:val="595959" w:themeColor="text1" w:themeTint="A6"/>
                <w:szCs w:val="18"/>
              </w:rPr>
              <w:t>De financiële contributie blijft onveranderd.</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00895A76" w:rsidP="00512CDC" w:rsidRDefault="00E579AC" w14:paraId="0DED5910" w14:textId="425431C9">
            <w:pPr>
              <w:rPr>
                <w:szCs w:val="18"/>
              </w:rPr>
            </w:pPr>
            <w:r w:rsidRPr="00E579AC">
              <w:rPr>
                <w:szCs w:val="18"/>
              </w:rPr>
              <w:t xml:space="preserve">Voorstel voor een BESLUIT VAN DE RAAD betreffende de bepaling van het standpunt dat namens de Europese Unie in het Technisch Comité inzake de douanewaarde en in de Technische Commissie “Oorsprongsregels”, die zijn opgericht onder auspiciën van de </w:t>
            </w:r>
            <w:proofErr w:type="spellStart"/>
            <w:r w:rsidRPr="00E579AC">
              <w:rPr>
                <w:szCs w:val="18"/>
              </w:rPr>
              <w:t>Werelddouaneorganisatie</w:t>
            </w:r>
            <w:proofErr w:type="spellEnd"/>
            <w:r w:rsidRPr="00E579AC">
              <w:rPr>
                <w:szCs w:val="18"/>
              </w:rPr>
              <w:t xml:space="preserve">, moet worden ingenomen met betrekking tot de goedkeuring van raadgevingen, commentaren, toelichtingen, casestudy’s, studies en soortgelijke handelingen betreffende de douanewaarde van ingevoerde goederen in het kader van de Overeenkomst inzake de toepassing van artikel VII van de Algemene Overeenkomst betreffende tarieven en handel 1994 en de goedkeuring van raadgevingen, informatie en adviezen en soortgelijke handelingen betreffende de bepaling van de oorsprong van goederen in het kader van de Overeenkomst betreffende de oorsprongsregels </w:t>
            </w:r>
            <w:hyperlink w:history="1" r:id="rId17">
              <w:r w:rsidRPr="00E579AC">
                <w:rPr>
                  <w:rStyle w:val="Hyperlink"/>
                  <w:szCs w:val="18"/>
                </w:rPr>
                <w:t>COM(2026)154</w:t>
              </w:r>
            </w:hyperlink>
          </w:p>
          <w:p w:rsidRPr="00125D0A" w:rsidR="00816A40" w:rsidP="00692A87" w:rsidRDefault="00816A40" w14:paraId="7D21EC5D" w14:textId="661EF58A">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0E1A18" w14:paraId="3301AC0F" w14:textId="4C5B0C0C">
            <w:pPr>
              <w:spacing w:after="240"/>
              <w:rPr>
                <w:szCs w:val="18"/>
              </w:rPr>
            </w:pPr>
            <w:r>
              <w:rPr>
                <w:szCs w:val="18"/>
              </w:rPr>
              <w:t>Voor 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8F6309" w:rsidR="008F6309" w:rsidP="008F6309" w:rsidRDefault="008F6309" w14:paraId="126D350B" w14:textId="041F7159">
            <w:pPr>
              <w:spacing w:after="240"/>
              <w:rPr>
                <w:color w:val="595959" w:themeColor="text1" w:themeTint="A6"/>
                <w:szCs w:val="18"/>
              </w:rPr>
            </w:pPr>
            <w:r w:rsidRPr="008F6309">
              <w:rPr>
                <w:color w:val="595959" w:themeColor="text1" w:themeTint="A6"/>
                <w:szCs w:val="18"/>
              </w:rPr>
              <w:t xml:space="preserve">Dit voorstel is een Raadsbesluit waarin de Europese Commissie vastlegt welk standpunt de EU moet innemen in een internationale context, namelijk binnen technische comité van de </w:t>
            </w:r>
            <w:proofErr w:type="spellStart"/>
            <w:r w:rsidRPr="008F6309">
              <w:rPr>
                <w:color w:val="595959" w:themeColor="text1" w:themeTint="A6"/>
                <w:szCs w:val="18"/>
              </w:rPr>
              <w:t>Werelddouaneorganisatie</w:t>
            </w:r>
            <w:proofErr w:type="spellEnd"/>
            <w:r w:rsidRPr="008F6309">
              <w:rPr>
                <w:color w:val="595959" w:themeColor="text1" w:themeTint="A6"/>
                <w:szCs w:val="18"/>
              </w:rPr>
              <w:t>.</w:t>
            </w:r>
          </w:p>
          <w:p w:rsidRPr="008F6309" w:rsidR="008F6309" w:rsidP="008F6309" w:rsidRDefault="008F6309" w14:paraId="02989B9A" w14:textId="4C3790BC">
            <w:pPr>
              <w:spacing w:after="240"/>
              <w:rPr>
                <w:color w:val="595959" w:themeColor="text1" w:themeTint="A6"/>
                <w:szCs w:val="18"/>
              </w:rPr>
            </w:pPr>
            <w:r w:rsidRPr="008F6309">
              <w:rPr>
                <w:color w:val="595959" w:themeColor="text1" w:themeTint="A6"/>
                <w:szCs w:val="18"/>
              </w:rPr>
              <w:t>Het gaat daarbij om regels rond douanewaarde en oorsprong van goederen. Die comité ne</w:t>
            </w:r>
            <w:r w:rsidR="00B27BED">
              <w:rPr>
                <w:color w:val="595959" w:themeColor="text1" w:themeTint="A6"/>
                <w:szCs w:val="18"/>
              </w:rPr>
              <w:t>emt</w:t>
            </w:r>
            <w:r w:rsidRPr="008F6309">
              <w:rPr>
                <w:color w:val="595959" w:themeColor="text1" w:themeTint="A6"/>
                <w:szCs w:val="18"/>
              </w:rPr>
              <w:t xml:space="preserve"> regelmatig niet-bindende maar wel invloedrijke instrumenten aan, zoals adviezen, richtsnoeren en toelichtingen over hoe je de waarde van ingevoerde goederen bepaalt en hoe je vaststelt uit welk land producten afkomstig zijn. </w:t>
            </w:r>
          </w:p>
          <w:p w:rsidR="008F6309" w:rsidP="008F6309" w:rsidRDefault="008F6309" w14:paraId="339603B1" w14:textId="2BB0132E">
            <w:pPr>
              <w:spacing w:after="240"/>
              <w:rPr>
                <w:color w:val="595959" w:themeColor="text1" w:themeTint="A6"/>
                <w:szCs w:val="18"/>
              </w:rPr>
            </w:pPr>
            <w:r w:rsidRPr="008F6309">
              <w:rPr>
                <w:color w:val="595959" w:themeColor="text1" w:themeTint="A6"/>
                <w:szCs w:val="18"/>
              </w:rPr>
              <w:t xml:space="preserve">In het voorstel wordt geregeld dat de </w:t>
            </w:r>
            <w:r w:rsidR="00B27BED">
              <w:rPr>
                <w:color w:val="595959" w:themeColor="text1" w:themeTint="A6"/>
                <w:szCs w:val="18"/>
              </w:rPr>
              <w:t>EU</w:t>
            </w:r>
            <w:r w:rsidRPr="008F6309">
              <w:rPr>
                <w:color w:val="595959" w:themeColor="text1" w:themeTint="A6"/>
                <w:szCs w:val="18"/>
              </w:rPr>
              <w:t xml:space="preserve"> een gezamenlijk en vooraf bepaald standpunt inneemt wanneer zulke besluiten daar worden besproken en vastgesteld. Dat is nodig omdat deze internationale interpretaties direct invloed kunnen hebben op hoe EU-douaneregels worden toegepast in de praktijk.</w:t>
            </w:r>
          </w:p>
          <w:p w:rsidR="009858EE" w:rsidP="008F6309" w:rsidRDefault="009858EE" w14:paraId="1D45AC92" w14:textId="5210EA69">
            <w:pPr>
              <w:spacing w:after="240"/>
              <w:rPr>
                <w:color w:val="595959" w:themeColor="text1" w:themeTint="A6"/>
                <w:szCs w:val="18"/>
              </w:rPr>
            </w:pPr>
            <w:r>
              <w:rPr>
                <w:color w:val="595959" w:themeColor="text1" w:themeTint="A6"/>
                <w:szCs w:val="18"/>
              </w:rPr>
              <w:t>De gezamenlijke standpunten die hier worden benoemd zijn:</w:t>
            </w:r>
          </w:p>
          <w:p w:rsidRPr="009858EE" w:rsidR="009858EE" w:rsidP="009858EE" w:rsidRDefault="009858EE" w14:paraId="087C65F4" w14:textId="5E6B7C74">
            <w:pPr>
              <w:numPr>
                <w:ilvl w:val="0"/>
                <w:numId w:val="29"/>
              </w:numPr>
              <w:spacing w:after="240"/>
              <w:rPr>
                <w:color w:val="595959" w:themeColor="text1" w:themeTint="A6"/>
                <w:szCs w:val="18"/>
              </w:rPr>
            </w:pPr>
            <w:r w:rsidRPr="00433765">
              <w:rPr>
                <w:color w:val="595959" w:themeColor="text1" w:themeTint="A6"/>
                <w:szCs w:val="18"/>
              </w:rPr>
              <w:t>I</w:t>
            </w:r>
            <w:r w:rsidRPr="009858EE">
              <w:rPr>
                <w:color w:val="595959" w:themeColor="text1" w:themeTint="A6"/>
                <w:szCs w:val="18"/>
              </w:rPr>
              <w:t>nstem</w:t>
            </w:r>
            <w:r w:rsidRPr="00433765">
              <w:rPr>
                <w:color w:val="595959" w:themeColor="text1" w:themeTint="A6"/>
                <w:szCs w:val="18"/>
              </w:rPr>
              <w:t xml:space="preserve">men </w:t>
            </w:r>
            <w:r w:rsidRPr="009858EE">
              <w:rPr>
                <w:color w:val="595959" w:themeColor="text1" w:themeTint="A6"/>
                <w:szCs w:val="18"/>
              </w:rPr>
              <w:t xml:space="preserve">met (of geen bezwaar </w:t>
            </w:r>
            <w:r w:rsidRPr="00433765">
              <w:rPr>
                <w:color w:val="595959" w:themeColor="text1" w:themeTint="A6"/>
                <w:szCs w:val="18"/>
              </w:rPr>
              <w:t>maken</w:t>
            </w:r>
            <w:r w:rsidRPr="009858EE">
              <w:rPr>
                <w:color w:val="595959" w:themeColor="text1" w:themeTint="A6"/>
                <w:szCs w:val="18"/>
              </w:rPr>
              <w:t xml:space="preserve"> tegen) de voorgestelde interpretaties van regels over douanewaarde en oorsprong, voor zover die in lijn zijn met het bestaande EU-recht (zoals het Douanewetboek van de Unie); </w:t>
            </w:r>
          </w:p>
          <w:p w:rsidRPr="009858EE" w:rsidR="009858EE" w:rsidP="009858EE" w:rsidRDefault="009858EE" w14:paraId="275FE9F4" w14:textId="4547C64C">
            <w:pPr>
              <w:numPr>
                <w:ilvl w:val="0"/>
                <w:numId w:val="29"/>
              </w:numPr>
              <w:spacing w:after="240"/>
              <w:rPr>
                <w:color w:val="595959" w:themeColor="text1" w:themeTint="A6"/>
                <w:szCs w:val="18"/>
              </w:rPr>
            </w:pPr>
            <w:r w:rsidRPr="009858EE">
              <w:rPr>
                <w:color w:val="595959" w:themeColor="text1" w:themeTint="A6"/>
                <w:szCs w:val="18"/>
              </w:rPr>
              <w:lastRenderedPageBreak/>
              <w:t xml:space="preserve">ervoor </w:t>
            </w:r>
            <w:r w:rsidRPr="00433765">
              <w:rPr>
                <w:color w:val="595959" w:themeColor="text1" w:themeTint="A6"/>
                <w:szCs w:val="18"/>
              </w:rPr>
              <w:t>zorgen</w:t>
            </w:r>
            <w:r w:rsidRPr="009858EE">
              <w:rPr>
                <w:color w:val="595959" w:themeColor="text1" w:themeTint="A6"/>
                <w:szCs w:val="18"/>
              </w:rPr>
              <w:t xml:space="preserve"> dat de internationale richtsnoeren consistent zijn met de EU-praktijk, zodat er geen tegenstrijdigheden ontstaan tussen internationale en Europese toepassing; </w:t>
            </w:r>
          </w:p>
          <w:p w:rsidRPr="00C66E98" w:rsidR="001C40D8" w:rsidP="00433765" w:rsidRDefault="009858EE" w14:paraId="263688F0" w14:textId="042788CE">
            <w:pPr>
              <w:numPr>
                <w:ilvl w:val="0"/>
                <w:numId w:val="29"/>
              </w:numPr>
              <w:spacing w:after="240"/>
              <w:rPr>
                <w:color w:val="595959" w:themeColor="text1" w:themeTint="A6"/>
                <w:szCs w:val="18"/>
              </w:rPr>
            </w:pPr>
            <w:r w:rsidRPr="009858EE">
              <w:rPr>
                <w:color w:val="595959" w:themeColor="text1" w:themeTint="A6"/>
                <w:szCs w:val="18"/>
              </w:rPr>
              <w:t>en alle lidstaten verplicht</w:t>
            </w:r>
            <w:r w:rsidRPr="00433765">
              <w:rPr>
                <w:color w:val="595959" w:themeColor="text1" w:themeTint="A6"/>
                <w:szCs w:val="18"/>
              </w:rPr>
              <w:t>en</w:t>
            </w:r>
            <w:r w:rsidRPr="009858EE">
              <w:rPr>
                <w:color w:val="595959" w:themeColor="text1" w:themeTint="A6"/>
                <w:szCs w:val="18"/>
              </w:rPr>
              <w:t xml:space="preserve"> om datzelfde standpunt uit te dragen in de betreffende comité, zodat de EU als één blok optreedt. </w:t>
            </w:r>
          </w:p>
        </w:tc>
      </w:tr>
    </w:tbl>
    <w:p w:rsidR="004E33D3" w:rsidP="003D5FB8" w:rsidRDefault="004E33D3" w14:paraId="5D2B7E8B" w14:textId="77777777">
      <w:pPr>
        <w:rPr>
          <w:szCs w:val="18"/>
        </w:rPr>
      </w:pPr>
    </w:p>
    <w:p w:rsidR="00F91A9D" w:rsidP="00F91A9D" w:rsidRDefault="00F91A9D" w14:paraId="6CC1869B" w14:textId="77777777">
      <w:pPr>
        <w:rPr>
          <w:szCs w:val="18"/>
        </w:rPr>
      </w:pPr>
    </w:p>
    <w:sectPr w:rsidR="00F91A9D"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D307" w14:textId="77777777" w:rsidR="005E4870" w:rsidRDefault="005E4870">
      <w:r>
        <w:separator/>
      </w:r>
    </w:p>
  </w:endnote>
  <w:endnote w:type="continuationSeparator" w:id="0">
    <w:p w14:paraId="60F04C6F" w14:textId="77777777" w:rsidR="005E4870" w:rsidRDefault="005E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CC62" w14:textId="77777777" w:rsidR="005E4870" w:rsidRDefault="005E4870">
      <w:r>
        <w:separator/>
      </w:r>
    </w:p>
  </w:footnote>
  <w:footnote w:type="continuationSeparator" w:id="0">
    <w:p w14:paraId="1235E372" w14:textId="77777777" w:rsidR="005E4870" w:rsidRDefault="005E4870">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44A4D"/>
    <w:multiLevelType w:val="multilevel"/>
    <w:tmpl w:val="447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5D32A5"/>
    <w:multiLevelType w:val="multilevel"/>
    <w:tmpl w:val="2DE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5"/>
  </w:num>
  <w:num w:numId="2" w16cid:durableId="1371299798">
    <w:abstractNumId w:val="15"/>
  </w:num>
  <w:num w:numId="3" w16cid:durableId="1852522919">
    <w:abstractNumId w:val="25"/>
  </w:num>
  <w:num w:numId="4" w16cid:durableId="1700932629">
    <w:abstractNumId w:val="14"/>
  </w:num>
  <w:num w:numId="5" w16cid:durableId="695811610">
    <w:abstractNumId w:val="7"/>
  </w:num>
  <w:num w:numId="6" w16cid:durableId="1212182578">
    <w:abstractNumId w:val="1"/>
  </w:num>
  <w:num w:numId="7" w16cid:durableId="1827696991">
    <w:abstractNumId w:val="24"/>
  </w:num>
  <w:num w:numId="8" w16cid:durableId="1120151534">
    <w:abstractNumId w:val="19"/>
  </w:num>
  <w:num w:numId="9" w16cid:durableId="298996237">
    <w:abstractNumId w:val="20"/>
  </w:num>
  <w:num w:numId="10" w16cid:durableId="1877303567">
    <w:abstractNumId w:val="13"/>
  </w:num>
  <w:num w:numId="11" w16cid:durableId="831991226">
    <w:abstractNumId w:val="23"/>
  </w:num>
  <w:num w:numId="12" w16cid:durableId="1265193725">
    <w:abstractNumId w:val="26"/>
  </w:num>
  <w:num w:numId="13" w16cid:durableId="30108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9"/>
  </w:num>
  <w:num w:numId="15" w16cid:durableId="986742125">
    <w:abstractNumId w:val="3"/>
  </w:num>
  <w:num w:numId="16" w16cid:durableId="1625963240">
    <w:abstractNumId w:val="18"/>
  </w:num>
  <w:num w:numId="17" w16cid:durableId="340592333">
    <w:abstractNumId w:val="17"/>
  </w:num>
  <w:num w:numId="18" w16cid:durableId="320357181">
    <w:abstractNumId w:val="0"/>
  </w:num>
  <w:num w:numId="19" w16cid:durableId="117257602">
    <w:abstractNumId w:val="22"/>
  </w:num>
  <w:num w:numId="20" w16cid:durableId="1379670799">
    <w:abstractNumId w:val="4"/>
  </w:num>
  <w:num w:numId="21" w16cid:durableId="807821389">
    <w:abstractNumId w:val="6"/>
  </w:num>
  <w:num w:numId="22" w16cid:durableId="1699892902">
    <w:abstractNumId w:val="21"/>
  </w:num>
  <w:num w:numId="23" w16cid:durableId="29771826">
    <w:abstractNumId w:val="16"/>
  </w:num>
  <w:num w:numId="24" w16cid:durableId="64382437">
    <w:abstractNumId w:val="12"/>
  </w:num>
  <w:num w:numId="25" w16cid:durableId="1388987622">
    <w:abstractNumId w:val="11"/>
  </w:num>
  <w:num w:numId="26" w16cid:durableId="1053894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10"/>
  </w:num>
  <w:num w:numId="28" w16cid:durableId="1319069537">
    <w:abstractNumId w:val="2"/>
  </w:num>
  <w:num w:numId="29" w16cid:durableId="88038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4B55"/>
    <w:rsid w:val="00025F7B"/>
    <w:rsid w:val="00026D47"/>
    <w:rsid w:val="000314D3"/>
    <w:rsid w:val="000339A6"/>
    <w:rsid w:val="00035057"/>
    <w:rsid w:val="00035B3A"/>
    <w:rsid w:val="00036674"/>
    <w:rsid w:val="00041D29"/>
    <w:rsid w:val="000423A9"/>
    <w:rsid w:val="000449B5"/>
    <w:rsid w:val="00045831"/>
    <w:rsid w:val="00045D09"/>
    <w:rsid w:val="00050355"/>
    <w:rsid w:val="00050600"/>
    <w:rsid w:val="00050D24"/>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6D50"/>
    <w:rsid w:val="000E1A18"/>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4092"/>
    <w:rsid w:val="00105391"/>
    <w:rsid w:val="00107FB6"/>
    <w:rsid w:val="00113F16"/>
    <w:rsid w:val="00116293"/>
    <w:rsid w:val="00120BE4"/>
    <w:rsid w:val="00120FD2"/>
    <w:rsid w:val="001247C1"/>
    <w:rsid w:val="00125D0A"/>
    <w:rsid w:val="00130B61"/>
    <w:rsid w:val="001336DF"/>
    <w:rsid w:val="00133DC4"/>
    <w:rsid w:val="0013509E"/>
    <w:rsid w:val="0013623C"/>
    <w:rsid w:val="001401C7"/>
    <w:rsid w:val="00141D39"/>
    <w:rsid w:val="0014288C"/>
    <w:rsid w:val="00143A2C"/>
    <w:rsid w:val="001445D4"/>
    <w:rsid w:val="00145F07"/>
    <w:rsid w:val="00147017"/>
    <w:rsid w:val="001506CA"/>
    <w:rsid w:val="00151AC8"/>
    <w:rsid w:val="001545B9"/>
    <w:rsid w:val="00154EC0"/>
    <w:rsid w:val="001555A9"/>
    <w:rsid w:val="00160199"/>
    <w:rsid w:val="00160E6E"/>
    <w:rsid w:val="00161D1B"/>
    <w:rsid w:val="0016550F"/>
    <w:rsid w:val="001656F6"/>
    <w:rsid w:val="00166235"/>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2219"/>
    <w:rsid w:val="001B2F65"/>
    <w:rsid w:val="001B3508"/>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256B"/>
    <w:rsid w:val="00243CE1"/>
    <w:rsid w:val="00244F5A"/>
    <w:rsid w:val="00245D08"/>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76346"/>
    <w:rsid w:val="00280829"/>
    <w:rsid w:val="00281C3D"/>
    <w:rsid w:val="0028208B"/>
    <w:rsid w:val="002826C8"/>
    <w:rsid w:val="00287206"/>
    <w:rsid w:val="0028762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4A4"/>
    <w:rsid w:val="002C18DB"/>
    <w:rsid w:val="002C488A"/>
    <w:rsid w:val="002C52EE"/>
    <w:rsid w:val="002D0AC5"/>
    <w:rsid w:val="002D282B"/>
    <w:rsid w:val="002E079D"/>
    <w:rsid w:val="002E2685"/>
    <w:rsid w:val="002E2E30"/>
    <w:rsid w:val="002E43EB"/>
    <w:rsid w:val="002E4612"/>
    <w:rsid w:val="002E5CC6"/>
    <w:rsid w:val="002E6686"/>
    <w:rsid w:val="002E72EA"/>
    <w:rsid w:val="002F1047"/>
    <w:rsid w:val="002F363A"/>
    <w:rsid w:val="002F45EE"/>
    <w:rsid w:val="002F7FEC"/>
    <w:rsid w:val="00301D20"/>
    <w:rsid w:val="003023F3"/>
    <w:rsid w:val="00302588"/>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185C"/>
    <w:rsid w:val="00345205"/>
    <w:rsid w:val="00346125"/>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BB7"/>
    <w:rsid w:val="0039680C"/>
    <w:rsid w:val="003A191B"/>
    <w:rsid w:val="003A219A"/>
    <w:rsid w:val="003A4250"/>
    <w:rsid w:val="003A5792"/>
    <w:rsid w:val="003B1D02"/>
    <w:rsid w:val="003B254F"/>
    <w:rsid w:val="003B284A"/>
    <w:rsid w:val="003B2964"/>
    <w:rsid w:val="003B4119"/>
    <w:rsid w:val="003B484E"/>
    <w:rsid w:val="003B67E0"/>
    <w:rsid w:val="003C0D63"/>
    <w:rsid w:val="003C1ABF"/>
    <w:rsid w:val="003C2832"/>
    <w:rsid w:val="003C3DD4"/>
    <w:rsid w:val="003C5707"/>
    <w:rsid w:val="003C7179"/>
    <w:rsid w:val="003C796B"/>
    <w:rsid w:val="003D22ED"/>
    <w:rsid w:val="003D450D"/>
    <w:rsid w:val="003D52A8"/>
    <w:rsid w:val="003D5554"/>
    <w:rsid w:val="003D5BF4"/>
    <w:rsid w:val="003D5FB8"/>
    <w:rsid w:val="003D60FA"/>
    <w:rsid w:val="003D660C"/>
    <w:rsid w:val="003D7976"/>
    <w:rsid w:val="003E35D3"/>
    <w:rsid w:val="003E4774"/>
    <w:rsid w:val="003E6EA2"/>
    <w:rsid w:val="003F4ACF"/>
    <w:rsid w:val="003F5BBE"/>
    <w:rsid w:val="003F628A"/>
    <w:rsid w:val="003F7478"/>
    <w:rsid w:val="003F795C"/>
    <w:rsid w:val="003F7C42"/>
    <w:rsid w:val="00400048"/>
    <w:rsid w:val="00400565"/>
    <w:rsid w:val="00403FAF"/>
    <w:rsid w:val="00405747"/>
    <w:rsid w:val="004062EA"/>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3765"/>
    <w:rsid w:val="0043382C"/>
    <w:rsid w:val="00433C38"/>
    <w:rsid w:val="0043446E"/>
    <w:rsid w:val="00434BC6"/>
    <w:rsid w:val="00441745"/>
    <w:rsid w:val="004422E7"/>
    <w:rsid w:val="00442D7A"/>
    <w:rsid w:val="00443E3A"/>
    <w:rsid w:val="0044508B"/>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4EC4"/>
    <w:rsid w:val="004760D1"/>
    <w:rsid w:val="0047736E"/>
    <w:rsid w:val="0047768A"/>
    <w:rsid w:val="00477CC5"/>
    <w:rsid w:val="00482405"/>
    <w:rsid w:val="00484658"/>
    <w:rsid w:val="0048605E"/>
    <w:rsid w:val="00491847"/>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B612B"/>
    <w:rsid w:val="004C3F4D"/>
    <w:rsid w:val="004C6DD4"/>
    <w:rsid w:val="004C7B01"/>
    <w:rsid w:val="004C7E47"/>
    <w:rsid w:val="004D7B14"/>
    <w:rsid w:val="004E33D3"/>
    <w:rsid w:val="004E3424"/>
    <w:rsid w:val="004E426E"/>
    <w:rsid w:val="004E5595"/>
    <w:rsid w:val="005012F5"/>
    <w:rsid w:val="00501E47"/>
    <w:rsid w:val="0050283F"/>
    <w:rsid w:val="00502E5C"/>
    <w:rsid w:val="0050368C"/>
    <w:rsid w:val="00505F93"/>
    <w:rsid w:val="00507A41"/>
    <w:rsid w:val="00511442"/>
    <w:rsid w:val="005115F8"/>
    <w:rsid w:val="00512CDC"/>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38B"/>
    <w:rsid w:val="00540F78"/>
    <w:rsid w:val="005414C4"/>
    <w:rsid w:val="00543233"/>
    <w:rsid w:val="00543489"/>
    <w:rsid w:val="00543BB4"/>
    <w:rsid w:val="00545C8D"/>
    <w:rsid w:val="00546A67"/>
    <w:rsid w:val="00550D74"/>
    <w:rsid w:val="00554CBF"/>
    <w:rsid w:val="005603E2"/>
    <w:rsid w:val="0056106A"/>
    <w:rsid w:val="00562B7D"/>
    <w:rsid w:val="00565011"/>
    <w:rsid w:val="00567995"/>
    <w:rsid w:val="005724D8"/>
    <w:rsid w:val="00574B96"/>
    <w:rsid w:val="00575841"/>
    <w:rsid w:val="005767CC"/>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4D3E"/>
    <w:rsid w:val="005C7184"/>
    <w:rsid w:val="005D00F1"/>
    <w:rsid w:val="005D20CD"/>
    <w:rsid w:val="005D3C52"/>
    <w:rsid w:val="005D6B99"/>
    <w:rsid w:val="005D7E19"/>
    <w:rsid w:val="005E300D"/>
    <w:rsid w:val="005E36A3"/>
    <w:rsid w:val="005E4870"/>
    <w:rsid w:val="005E62ED"/>
    <w:rsid w:val="005E65B5"/>
    <w:rsid w:val="005E7B45"/>
    <w:rsid w:val="005F1EDF"/>
    <w:rsid w:val="005F3027"/>
    <w:rsid w:val="005F3370"/>
    <w:rsid w:val="005F3AF8"/>
    <w:rsid w:val="005F5D06"/>
    <w:rsid w:val="005F7029"/>
    <w:rsid w:val="00600343"/>
    <w:rsid w:val="006012AD"/>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01FE"/>
    <w:rsid w:val="00630C05"/>
    <w:rsid w:val="00633333"/>
    <w:rsid w:val="00633567"/>
    <w:rsid w:val="00635948"/>
    <w:rsid w:val="00637746"/>
    <w:rsid w:val="0064051F"/>
    <w:rsid w:val="00640A42"/>
    <w:rsid w:val="00641852"/>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7736"/>
    <w:rsid w:val="00680E5D"/>
    <w:rsid w:val="00681C26"/>
    <w:rsid w:val="00682002"/>
    <w:rsid w:val="00685D30"/>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6280"/>
    <w:rsid w:val="00726342"/>
    <w:rsid w:val="00726354"/>
    <w:rsid w:val="00726ED9"/>
    <w:rsid w:val="00730C18"/>
    <w:rsid w:val="00731DB3"/>
    <w:rsid w:val="00732F06"/>
    <w:rsid w:val="00736908"/>
    <w:rsid w:val="007417AC"/>
    <w:rsid w:val="007439D7"/>
    <w:rsid w:val="00743D1A"/>
    <w:rsid w:val="00745D31"/>
    <w:rsid w:val="00747B36"/>
    <w:rsid w:val="00752270"/>
    <w:rsid w:val="00755534"/>
    <w:rsid w:val="00757AA5"/>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97CB3"/>
    <w:rsid w:val="007A03BA"/>
    <w:rsid w:val="007A4A53"/>
    <w:rsid w:val="007A6CDA"/>
    <w:rsid w:val="007A71F8"/>
    <w:rsid w:val="007B02DE"/>
    <w:rsid w:val="007B1EFC"/>
    <w:rsid w:val="007B27A0"/>
    <w:rsid w:val="007C4BD2"/>
    <w:rsid w:val="007C7387"/>
    <w:rsid w:val="007D49C7"/>
    <w:rsid w:val="007D53AA"/>
    <w:rsid w:val="007E249D"/>
    <w:rsid w:val="007E2511"/>
    <w:rsid w:val="007E4BFD"/>
    <w:rsid w:val="007E6564"/>
    <w:rsid w:val="007F04F9"/>
    <w:rsid w:val="007F714A"/>
    <w:rsid w:val="007F7299"/>
    <w:rsid w:val="00800FF7"/>
    <w:rsid w:val="0080294E"/>
    <w:rsid w:val="008029A0"/>
    <w:rsid w:val="00802D86"/>
    <w:rsid w:val="00802F06"/>
    <w:rsid w:val="008047D9"/>
    <w:rsid w:val="00804A4D"/>
    <w:rsid w:val="0081023D"/>
    <w:rsid w:val="0081050B"/>
    <w:rsid w:val="00811D80"/>
    <w:rsid w:val="00812326"/>
    <w:rsid w:val="00812348"/>
    <w:rsid w:val="00816A40"/>
    <w:rsid w:val="00820149"/>
    <w:rsid w:val="00820651"/>
    <w:rsid w:val="00822240"/>
    <w:rsid w:val="00824D86"/>
    <w:rsid w:val="00826C29"/>
    <w:rsid w:val="008270F8"/>
    <w:rsid w:val="0082721C"/>
    <w:rsid w:val="00832222"/>
    <w:rsid w:val="00834690"/>
    <w:rsid w:val="0083576C"/>
    <w:rsid w:val="00837913"/>
    <w:rsid w:val="00840FA0"/>
    <w:rsid w:val="00843FBB"/>
    <w:rsid w:val="008454D2"/>
    <w:rsid w:val="00845DEC"/>
    <w:rsid w:val="00846F0C"/>
    <w:rsid w:val="00851419"/>
    <w:rsid w:val="0085294F"/>
    <w:rsid w:val="00860128"/>
    <w:rsid w:val="00866593"/>
    <w:rsid w:val="00867BA3"/>
    <w:rsid w:val="00870719"/>
    <w:rsid w:val="0087721F"/>
    <w:rsid w:val="00877C82"/>
    <w:rsid w:val="00881791"/>
    <w:rsid w:val="00891F6B"/>
    <w:rsid w:val="00892314"/>
    <w:rsid w:val="0089371C"/>
    <w:rsid w:val="00895A76"/>
    <w:rsid w:val="008A265F"/>
    <w:rsid w:val="008A313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8F6309"/>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7826"/>
    <w:rsid w:val="009308A8"/>
    <w:rsid w:val="00930D89"/>
    <w:rsid w:val="00935201"/>
    <w:rsid w:val="00935FD0"/>
    <w:rsid w:val="0093711F"/>
    <w:rsid w:val="009373A1"/>
    <w:rsid w:val="00937A9F"/>
    <w:rsid w:val="009411C2"/>
    <w:rsid w:val="009425E2"/>
    <w:rsid w:val="00942CDE"/>
    <w:rsid w:val="009469D4"/>
    <w:rsid w:val="00946E0E"/>
    <w:rsid w:val="009531A4"/>
    <w:rsid w:val="00953B00"/>
    <w:rsid w:val="00956342"/>
    <w:rsid w:val="009575DB"/>
    <w:rsid w:val="00962A95"/>
    <w:rsid w:val="00962B00"/>
    <w:rsid w:val="009633A0"/>
    <w:rsid w:val="009647CC"/>
    <w:rsid w:val="00967713"/>
    <w:rsid w:val="00970CA0"/>
    <w:rsid w:val="0097614E"/>
    <w:rsid w:val="00976B14"/>
    <w:rsid w:val="009778FA"/>
    <w:rsid w:val="00977A39"/>
    <w:rsid w:val="00981B9B"/>
    <w:rsid w:val="009858EE"/>
    <w:rsid w:val="00985DE2"/>
    <w:rsid w:val="00986DA2"/>
    <w:rsid w:val="009870EA"/>
    <w:rsid w:val="009871CA"/>
    <w:rsid w:val="009874C6"/>
    <w:rsid w:val="00990B28"/>
    <w:rsid w:val="00990BD6"/>
    <w:rsid w:val="0099243E"/>
    <w:rsid w:val="00993EC1"/>
    <w:rsid w:val="00994BC2"/>
    <w:rsid w:val="009956D1"/>
    <w:rsid w:val="00995B14"/>
    <w:rsid w:val="009A0866"/>
    <w:rsid w:val="009A29A3"/>
    <w:rsid w:val="009A5399"/>
    <w:rsid w:val="009A76C3"/>
    <w:rsid w:val="009B1333"/>
    <w:rsid w:val="009B1792"/>
    <w:rsid w:val="009B1FCB"/>
    <w:rsid w:val="009B2C99"/>
    <w:rsid w:val="009B3CF3"/>
    <w:rsid w:val="009B4DCA"/>
    <w:rsid w:val="009B6731"/>
    <w:rsid w:val="009B6AA3"/>
    <w:rsid w:val="009B706C"/>
    <w:rsid w:val="009C2266"/>
    <w:rsid w:val="009C3878"/>
    <w:rsid w:val="009C5DDE"/>
    <w:rsid w:val="009C5F72"/>
    <w:rsid w:val="009D073C"/>
    <w:rsid w:val="009D0749"/>
    <w:rsid w:val="009D599B"/>
    <w:rsid w:val="009E2113"/>
    <w:rsid w:val="009E28FE"/>
    <w:rsid w:val="009E5025"/>
    <w:rsid w:val="009E5891"/>
    <w:rsid w:val="009F1C43"/>
    <w:rsid w:val="009F2CCC"/>
    <w:rsid w:val="009F66F7"/>
    <w:rsid w:val="009F75DD"/>
    <w:rsid w:val="00A009CA"/>
    <w:rsid w:val="00A04C8A"/>
    <w:rsid w:val="00A04C91"/>
    <w:rsid w:val="00A055D0"/>
    <w:rsid w:val="00A06AE7"/>
    <w:rsid w:val="00A07E6E"/>
    <w:rsid w:val="00A146D2"/>
    <w:rsid w:val="00A149AC"/>
    <w:rsid w:val="00A15559"/>
    <w:rsid w:val="00A20A7D"/>
    <w:rsid w:val="00A23679"/>
    <w:rsid w:val="00A324AB"/>
    <w:rsid w:val="00A3345F"/>
    <w:rsid w:val="00A33B04"/>
    <w:rsid w:val="00A34E30"/>
    <w:rsid w:val="00A34E80"/>
    <w:rsid w:val="00A362EB"/>
    <w:rsid w:val="00A37154"/>
    <w:rsid w:val="00A37656"/>
    <w:rsid w:val="00A37966"/>
    <w:rsid w:val="00A42CDC"/>
    <w:rsid w:val="00A46157"/>
    <w:rsid w:val="00A463B2"/>
    <w:rsid w:val="00A464BD"/>
    <w:rsid w:val="00A501AD"/>
    <w:rsid w:val="00A52D40"/>
    <w:rsid w:val="00A5708E"/>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44E4"/>
    <w:rsid w:val="00AA52A0"/>
    <w:rsid w:val="00AA5F94"/>
    <w:rsid w:val="00AB018E"/>
    <w:rsid w:val="00AB0987"/>
    <w:rsid w:val="00AB365C"/>
    <w:rsid w:val="00AB4DE5"/>
    <w:rsid w:val="00AB5789"/>
    <w:rsid w:val="00AB601C"/>
    <w:rsid w:val="00AB6D0E"/>
    <w:rsid w:val="00AB6DF8"/>
    <w:rsid w:val="00AB711B"/>
    <w:rsid w:val="00AC16C2"/>
    <w:rsid w:val="00AC226A"/>
    <w:rsid w:val="00AC2D1E"/>
    <w:rsid w:val="00AC34E8"/>
    <w:rsid w:val="00AC558F"/>
    <w:rsid w:val="00AC68C0"/>
    <w:rsid w:val="00AC785C"/>
    <w:rsid w:val="00AD0985"/>
    <w:rsid w:val="00AD33F2"/>
    <w:rsid w:val="00AD3C93"/>
    <w:rsid w:val="00AD4211"/>
    <w:rsid w:val="00AD531D"/>
    <w:rsid w:val="00AD718C"/>
    <w:rsid w:val="00AD7804"/>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15CFF"/>
    <w:rsid w:val="00B17067"/>
    <w:rsid w:val="00B173E6"/>
    <w:rsid w:val="00B22A15"/>
    <w:rsid w:val="00B2319C"/>
    <w:rsid w:val="00B23CB4"/>
    <w:rsid w:val="00B257AD"/>
    <w:rsid w:val="00B2587C"/>
    <w:rsid w:val="00B2723B"/>
    <w:rsid w:val="00B27BED"/>
    <w:rsid w:val="00B30327"/>
    <w:rsid w:val="00B306FA"/>
    <w:rsid w:val="00B32B9B"/>
    <w:rsid w:val="00B34C2F"/>
    <w:rsid w:val="00B40A14"/>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1030"/>
    <w:rsid w:val="00B854CE"/>
    <w:rsid w:val="00B860F9"/>
    <w:rsid w:val="00B86419"/>
    <w:rsid w:val="00B866D2"/>
    <w:rsid w:val="00B90C6F"/>
    <w:rsid w:val="00B90CB7"/>
    <w:rsid w:val="00B91483"/>
    <w:rsid w:val="00B914C1"/>
    <w:rsid w:val="00B918E0"/>
    <w:rsid w:val="00B92EE7"/>
    <w:rsid w:val="00B930A7"/>
    <w:rsid w:val="00B95D56"/>
    <w:rsid w:val="00B96878"/>
    <w:rsid w:val="00B96AD5"/>
    <w:rsid w:val="00BA41EB"/>
    <w:rsid w:val="00BA4858"/>
    <w:rsid w:val="00BB02CD"/>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1C2A"/>
    <w:rsid w:val="00BD28EC"/>
    <w:rsid w:val="00BD2F3E"/>
    <w:rsid w:val="00BD3B5C"/>
    <w:rsid w:val="00BD5DA8"/>
    <w:rsid w:val="00BE14D9"/>
    <w:rsid w:val="00BE3706"/>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4B87"/>
    <w:rsid w:val="00C26777"/>
    <w:rsid w:val="00C26C95"/>
    <w:rsid w:val="00C32326"/>
    <w:rsid w:val="00C3378C"/>
    <w:rsid w:val="00C3534E"/>
    <w:rsid w:val="00C3624D"/>
    <w:rsid w:val="00C376B5"/>
    <w:rsid w:val="00C4073F"/>
    <w:rsid w:val="00C41268"/>
    <w:rsid w:val="00C4727D"/>
    <w:rsid w:val="00C5067A"/>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136F"/>
    <w:rsid w:val="00C920B0"/>
    <w:rsid w:val="00C92FEA"/>
    <w:rsid w:val="00C95F3E"/>
    <w:rsid w:val="00C97A62"/>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4BA"/>
    <w:rsid w:val="00CC1F4A"/>
    <w:rsid w:val="00CC2F33"/>
    <w:rsid w:val="00CC4922"/>
    <w:rsid w:val="00CC6A8E"/>
    <w:rsid w:val="00CD180F"/>
    <w:rsid w:val="00CD3FDC"/>
    <w:rsid w:val="00CD57F3"/>
    <w:rsid w:val="00CD6193"/>
    <w:rsid w:val="00CD730D"/>
    <w:rsid w:val="00CE45BD"/>
    <w:rsid w:val="00CE6987"/>
    <w:rsid w:val="00CE69C4"/>
    <w:rsid w:val="00CF01C8"/>
    <w:rsid w:val="00CF040C"/>
    <w:rsid w:val="00CF0772"/>
    <w:rsid w:val="00CF685B"/>
    <w:rsid w:val="00CF721C"/>
    <w:rsid w:val="00CF7ECD"/>
    <w:rsid w:val="00D03679"/>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5CEF"/>
    <w:rsid w:val="00D46679"/>
    <w:rsid w:val="00D467E2"/>
    <w:rsid w:val="00D46CDA"/>
    <w:rsid w:val="00D5115C"/>
    <w:rsid w:val="00D523C8"/>
    <w:rsid w:val="00D52BAA"/>
    <w:rsid w:val="00D5774F"/>
    <w:rsid w:val="00D61608"/>
    <w:rsid w:val="00D63526"/>
    <w:rsid w:val="00D64CF8"/>
    <w:rsid w:val="00D64F93"/>
    <w:rsid w:val="00D6591C"/>
    <w:rsid w:val="00D65C94"/>
    <w:rsid w:val="00D67F7F"/>
    <w:rsid w:val="00D701F4"/>
    <w:rsid w:val="00D7159E"/>
    <w:rsid w:val="00D7255C"/>
    <w:rsid w:val="00D72CC9"/>
    <w:rsid w:val="00D75535"/>
    <w:rsid w:val="00D77FD9"/>
    <w:rsid w:val="00D805EF"/>
    <w:rsid w:val="00D80762"/>
    <w:rsid w:val="00D84E96"/>
    <w:rsid w:val="00D91E7D"/>
    <w:rsid w:val="00DA1FE5"/>
    <w:rsid w:val="00DA2732"/>
    <w:rsid w:val="00DA482B"/>
    <w:rsid w:val="00DA5144"/>
    <w:rsid w:val="00DB2B90"/>
    <w:rsid w:val="00DB3AAC"/>
    <w:rsid w:val="00DB3F6B"/>
    <w:rsid w:val="00DB464F"/>
    <w:rsid w:val="00DB67D3"/>
    <w:rsid w:val="00DB6B9D"/>
    <w:rsid w:val="00DC0EBD"/>
    <w:rsid w:val="00DC1442"/>
    <w:rsid w:val="00DC165E"/>
    <w:rsid w:val="00DC1F0A"/>
    <w:rsid w:val="00DC699E"/>
    <w:rsid w:val="00DD2283"/>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2ABD"/>
    <w:rsid w:val="00E23B52"/>
    <w:rsid w:val="00E23D3A"/>
    <w:rsid w:val="00E246A4"/>
    <w:rsid w:val="00E2607E"/>
    <w:rsid w:val="00E265FC"/>
    <w:rsid w:val="00E269CC"/>
    <w:rsid w:val="00E2749A"/>
    <w:rsid w:val="00E30621"/>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579AC"/>
    <w:rsid w:val="00E609B8"/>
    <w:rsid w:val="00E60AD6"/>
    <w:rsid w:val="00E61EE7"/>
    <w:rsid w:val="00E63829"/>
    <w:rsid w:val="00E6432B"/>
    <w:rsid w:val="00E64676"/>
    <w:rsid w:val="00E666D4"/>
    <w:rsid w:val="00E67989"/>
    <w:rsid w:val="00E76150"/>
    <w:rsid w:val="00E80096"/>
    <w:rsid w:val="00E80FBD"/>
    <w:rsid w:val="00E82B47"/>
    <w:rsid w:val="00E84D83"/>
    <w:rsid w:val="00E84FF5"/>
    <w:rsid w:val="00E86BEF"/>
    <w:rsid w:val="00E86E93"/>
    <w:rsid w:val="00EA157B"/>
    <w:rsid w:val="00EA36AC"/>
    <w:rsid w:val="00EA3A9D"/>
    <w:rsid w:val="00EA3D58"/>
    <w:rsid w:val="00EA4B76"/>
    <w:rsid w:val="00EA546B"/>
    <w:rsid w:val="00EA5976"/>
    <w:rsid w:val="00EA602A"/>
    <w:rsid w:val="00EA6FF9"/>
    <w:rsid w:val="00EB36B2"/>
    <w:rsid w:val="00EB409D"/>
    <w:rsid w:val="00EB55EE"/>
    <w:rsid w:val="00EB676F"/>
    <w:rsid w:val="00EB6A5D"/>
    <w:rsid w:val="00EB7E28"/>
    <w:rsid w:val="00EC3F10"/>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324D"/>
    <w:rsid w:val="00EF4583"/>
    <w:rsid w:val="00EF69C7"/>
    <w:rsid w:val="00F00C07"/>
    <w:rsid w:val="00F01F92"/>
    <w:rsid w:val="00F02AF6"/>
    <w:rsid w:val="00F1038D"/>
    <w:rsid w:val="00F11149"/>
    <w:rsid w:val="00F13564"/>
    <w:rsid w:val="00F14A3A"/>
    <w:rsid w:val="00F17D6A"/>
    <w:rsid w:val="00F20064"/>
    <w:rsid w:val="00F21A77"/>
    <w:rsid w:val="00F21FB6"/>
    <w:rsid w:val="00F246AB"/>
    <w:rsid w:val="00F250A7"/>
    <w:rsid w:val="00F25942"/>
    <w:rsid w:val="00F2683B"/>
    <w:rsid w:val="00F268FE"/>
    <w:rsid w:val="00F26D7C"/>
    <w:rsid w:val="00F2799A"/>
    <w:rsid w:val="00F30E66"/>
    <w:rsid w:val="00F31203"/>
    <w:rsid w:val="00F33E5F"/>
    <w:rsid w:val="00F33F45"/>
    <w:rsid w:val="00F34544"/>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154%26qid%3D1776236000192&amp;data=05%7C02%7Cj.kramer%40tweedekamer.nl%7Caef13d71597244a2435408de9b7dab56%7C238cb5073f714afeaaab8382731a4345%7C0%7C0%7C639119161223148120%7CUnknown%7CTWFpbGZsb3d8eyJFbXB0eU1hcGkiOnRydWUsIlYiOiIwLjAuMDAwMCIsIlAiOiJXaW4zMiIsIkFOIjoiTWFpbCIsIldUIjoyfQ%3D%3D%7C0%7C%7C%7C&amp;sdata=wDod%2BecW1b8aqFTu5%2FzWw34oZrFt%2FbuEJHk8dkbdQnU%3D&amp;reserved=0" TargetMode="External" Id="rId17" /><Relationship Type="http://schemas.openxmlformats.org/officeDocument/2006/relationships/hyperlink" Target="https://eur06.safelinks.protection.outlook.com/?url=https%3A%2F%2Feur-lex.europa.eu%2Flegal-content%2FNL%2FTXT%2F%3Furi%3DCELEX%253A52026PC0162%26qid%3D1776235698164&amp;data=05%7C02%7Cj.kramer%40tweedekamer.nl%7Caef13d71597244a2435408de9b7dab56%7C238cb5073f714afeaaab8382731a4345%7C0%7C0%7C639119161223093379%7CUnknown%7CTWFpbGZsb3d8eyJFbXB0eU1hcGkiOnRydWUsIlYiOiIwLjAuMDAwMCIsIlAiOiJXaW4zMiIsIkFOIjoiTWFpbCIsIldUIjoyfQ%3D%3D%7C0%7C%7C%7C&amp;sdata=fg2cLXXx25lVj2a%2B2LM3y1qos7bHLv2LpllTwAOKgfs%3D&amp;reserved=0"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DC0450%26qid%3D1776234951216&amp;data=05%7C02%7Cj.kramer%40tweedekamer.nl%7Caef13d71597244a2435408de9b7dab56%7C238cb5073f714afeaaab8382731a4345%7C0%7C0%7C639119161223073440%7CUnknown%7CTWFpbGZsb3d8eyJFbXB0eU1hcGkiOnRydWUsIlYiOiIwLjAuMDAwMCIsIlAiOiJXaW4zMiIsIkFOIjoiTWFpbCIsIldUIjoyfQ%3D%3D%7C0%7C%7C%7C&amp;sdata=jPbcDEcSnCy7%2B7CZUAZdep3B83qxgCRCCZzcDfsJc8I%3D&amp;reserved=0"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157%26qid%3D1775549800625&amp;data=05%7C02%7Cj.kramer%40tweedekamer.nl%7C704aa7ad8d4145eb23bb08de959083fc%7C238cb5073f714afeaaab8382731a4345%7C0%7C0%7C639112645082881021%7CUnknown%7CTWFpbGZsb3d8eyJFbXB0eU1hcGkiOnRydWUsIlYiOiIwLjAuMDAwMCIsIlAiOiJXaW4zMiIsIkFOIjoiTWFpbCIsIldUIjoyfQ%3D%3D%7C0%7C%7C%7C&amp;sdata=yqIBvjaf2RcWuxm18du1Mtit2VIOkQd2Cze8rOlCBqM%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1049</ap:Words>
  <ap:Characters>8388</ap:Characters>
  <ap:DocSecurity>0</ap:DocSecurity>
  <ap:Lines>69</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2026-04-17T13:11:00.0000000Z</dcterms:created>
  <dcterms:modified xsi:type="dcterms:W3CDTF">2026-04-17T13:13:00.0000000Z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