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563" w:rsidP="00C25563" w:rsidRDefault="00C25563" w14:paraId="28C9FA3F" w14:textId="77777777"/>
    <w:p w:rsidRPr="00B45820" w:rsidR="00B45820" w:rsidP="00B45820" w:rsidRDefault="00B45820" w14:paraId="6F9EE74D" w14:textId="0B31BFA4">
      <w:pPr>
        <w:textAlignment w:val="auto"/>
      </w:pPr>
      <w:r w:rsidRPr="00B45820">
        <w:t>Voor het terugvorderen van uitkeringen bij klanten die zich in het buitenland bevinden heeft de SVB een contract afgesloten met een incassobureau. Echter, sinds maart 2025 komt het desbetreffende incassobureau haar verplichtingen niet na</w:t>
      </w:r>
      <w:r w:rsidR="0048226A">
        <w:t xml:space="preserve">. De </w:t>
      </w:r>
      <w:r w:rsidRPr="00B45820">
        <w:t xml:space="preserve">SVB </w:t>
      </w:r>
      <w:r w:rsidR="0048226A">
        <w:t xml:space="preserve">heeft </w:t>
      </w:r>
      <w:r w:rsidRPr="00B45820">
        <w:t>in september 2025 de samenwerking beëindig</w:t>
      </w:r>
      <w:r w:rsidR="00882009">
        <w:t>d</w:t>
      </w:r>
      <w:r w:rsidRPr="00B45820">
        <w:t>. Naast de SVB he</w:t>
      </w:r>
      <w:r w:rsidR="00375E0B">
        <w:t>eft ook</w:t>
      </w:r>
      <w:r w:rsidRPr="00B45820">
        <w:t xml:space="preserve"> DUO gebruikgemaakt van de diensten van het desbetreffende incassobureau.</w:t>
      </w:r>
      <w:r w:rsidR="00375E0B">
        <w:t xml:space="preserve"> Voor een aantal andere overheidsinstellingen wordt dit nog uitgezocht.</w:t>
      </w:r>
      <w:r w:rsidRPr="00B45820">
        <w:t xml:space="preserve"> Daarom wil ik u, mede namens </w:t>
      </w:r>
      <w:r w:rsidR="0048226A">
        <w:t>M</w:t>
      </w:r>
      <w:r w:rsidRPr="00B45820">
        <w:t xml:space="preserve">OCW, </w:t>
      </w:r>
      <w:r w:rsidR="0048226A">
        <w:t xml:space="preserve">met </w:t>
      </w:r>
      <w:r w:rsidRPr="00B45820">
        <w:t>deze brief informeren over deze situatie.</w:t>
      </w:r>
    </w:p>
    <w:p w:rsidRPr="00B45820" w:rsidR="00B45820" w:rsidP="00B45820" w:rsidRDefault="00B45820" w14:paraId="3E1C70C1" w14:textId="77777777">
      <w:pPr>
        <w:textAlignment w:val="auto"/>
        <w:rPr>
          <w:b/>
          <w:bCs/>
        </w:rPr>
      </w:pPr>
    </w:p>
    <w:p w:rsidRPr="00B45820" w:rsidR="00B45820" w:rsidP="00B45820" w:rsidRDefault="00B45820" w14:paraId="641E78A6" w14:textId="77777777">
      <w:pPr>
        <w:textAlignment w:val="auto"/>
        <w:rPr>
          <w:b/>
          <w:bCs/>
        </w:rPr>
      </w:pPr>
      <w:r w:rsidRPr="00B45820">
        <w:rPr>
          <w:b/>
          <w:bCs/>
        </w:rPr>
        <w:t>Situatie incassobureau</w:t>
      </w:r>
    </w:p>
    <w:p w:rsidRPr="00B45820" w:rsidR="00B45820" w:rsidP="00B45820" w:rsidRDefault="00B45820" w14:paraId="00075EA9" w14:textId="77777777">
      <w:pPr>
        <w:textAlignment w:val="auto"/>
        <w:rPr>
          <w:bCs/>
          <w:i/>
          <w:iCs/>
        </w:rPr>
      </w:pPr>
      <w:r w:rsidRPr="00B45820">
        <w:rPr>
          <w:bCs/>
          <w:i/>
          <w:iCs/>
        </w:rPr>
        <w:t>SVB</w:t>
      </w:r>
    </w:p>
    <w:p w:rsidRPr="00B45820" w:rsidR="00B45820" w:rsidP="00B45820" w:rsidRDefault="00B45820" w14:paraId="35C73184" w14:textId="651BF540">
      <w:pPr>
        <w:textAlignment w:val="auto"/>
        <w:rPr>
          <w:bCs/>
        </w:rPr>
      </w:pPr>
      <w:r w:rsidRPr="00B45820">
        <w:rPr>
          <w:bCs/>
        </w:rPr>
        <w:t xml:space="preserve">Bij het incassobureau liepen voor de SVB </w:t>
      </w:r>
      <w:proofErr w:type="gramStart"/>
      <w:r w:rsidRPr="00B45820">
        <w:rPr>
          <w:bCs/>
        </w:rPr>
        <w:t>circa</w:t>
      </w:r>
      <w:proofErr w:type="gramEnd"/>
      <w:r w:rsidRPr="00B45820">
        <w:rPr>
          <w:bCs/>
        </w:rPr>
        <w:t xml:space="preserve"> 600 betalingsregelingen, waarvan op ruim 150 nog een actie tot terugbetaling zat. Geschat wordt dat het incassobureau nog </w:t>
      </w:r>
      <w:proofErr w:type="gramStart"/>
      <w:r w:rsidRPr="00B45820">
        <w:rPr>
          <w:bCs/>
        </w:rPr>
        <w:t>circa</w:t>
      </w:r>
      <w:proofErr w:type="gramEnd"/>
      <w:r w:rsidRPr="00B45820">
        <w:rPr>
          <w:bCs/>
        </w:rPr>
        <w:t xml:space="preserve"> € 300.000 aan geïnde bedragen moet betalen aan de SVB. Samen met de betalingsregelingen waar nog een actie tot terugbetaling op zat is in totaal </w:t>
      </w:r>
      <w:proofErr w:type="gramStart"/>
      <w:r w:rsidRPr="00B45820">
        <w:t>circa</w:t>
      </w:r>
      <w:proofErr w:type="gramEnd"/>
      <w:r w:rsidRPr="00B45820">
        <w:t xml:space="preserve"> € 1 miljoen aan uitstaande schuld gemoeid</w:t>
      </w:r>
      <w:r w:rsidRPr="00B45820">
        <w:rPr>
          <w:bCs/>
        </w:rPr>
        <w:t>.</w:t>
      </w:r>
      <w:r w:rsidRPr="00B45820">
        <w:rPr>
          <w:b/>
          <w:bCs/>
        </w:rPr>
        <w:t xml:space="preserve"> </w:t>
      </w:r>
      <w:r w:rsidRPr="00B45820">
        <w:rPr>
          <w:bCs/>
        </w:rPr>
        <w:t>Na herhaaldelijk verzoek om verbetering en niet-nakoming van gedane toezeggingen heeft de SVB in september 2025 de samenwerking met het incassobureau beëindigd</w:t>
      </w:r>
      <w:r w:rsidR="00497F06">
        <w:rPr>
          <w:bCs/>
        </w:rPr>
        <w:t>.</w:t>
      </w:r>
    </w:p>
    <w:p w:rsidRPr="00B45820" w:rsidR="00B45820" w:rsidP="00B45820" w:rsidRDefault="00B45820" w14:paraId="35C370AB" w14:textId="77777777">
      <w:pPr>
        <w:textAlignment w:val="auto"/>
        <w:rPr>
          <w:bCs/>
        </w:rPr>
      </w:pPr>
    </w:p>
    <w:p w:rsidRPr="00B45820" w:rsidR="00B45820" w:rsidP="00B45820" w:rsidRDefault="00B45820" w14:paraId="25C61DD3" w14:textId="77777777">
      <w:pPr>
        <w:textAlignment w:val="auto"/>
        <w:rPr>
          <w:bCs/>
          <w:i/>
          <w:iCs/>
        </w:rPr>
      </w:pPr>
      <w:r w:rsidRPr="00B45820">
        <w:rPr>
          <w:bCs/>
          <w:i/>
          <w:iCs/>
        </w:rPr>
        <w:t>DUO</w:t>
      </w:r>
    </w:p>
    <w:p w:rsidRPr="00B45820" w:rsidR="00B45820" w:rsidP="00B45820" w:rsidRDefault="00B45820" w14:paraId="3C72E8FE" w14:textId="77777777">
      <w:pPr>
        <w:textAlignment w:val="auto"/>
        <w:rPr>
          <w:bCs/>
        </w:rPr>
      </w:pPr>
      <w:r w:rsidRPr="00B45820">
        <w:t>In het verleden heeft DUO ook gebruik gemaakt van de diensten van het betreffende incassobureau. Sinds eind 2019 worden geen zaken meer overgedragen, wel blijft het bureau de al overgedragen zaken afhandelen. Van de overgedragen dossiers zijn er nog 750 dossiers niet afgehandeld. Het gaat in totaal om een vordering van ca € 1,5 miljoen.</w:t>
      </w:r>
    </w:p>
    <w:p w:rsidRPr="00B45820" w:rsidR="00B45820" w:rsidP="00B45820" w:rsidRDefault="00B45820" w14:paraId="1F611ABD" w14:textId="77777777">
      <w:pPr>
        <w:textAlignment w:val="auto"/>
        <w:rPr>
          <w:bCs/>
        </w:rPr>
      </w:pPr>
    </w:p>
    <w:p w:rsidRPr="00B45820" w:rsidR="00B45820" w:rsidP="00B45820" w:rsidRDefault="00B45820" w14:paraId="6B4B7C8E" w14:textId="77777777">
      <w:pPr>
        <w:textAlignment w:val="auto"/>
        <w:rPr>
          <w:b/>
          <w:bCs/>
        </w:rPr>
      </w:pPr>
      <w:r w:rsidRPr="00B45820">
        <w:rPr>
          <w:b/>
          <w:bCs/>
        </w:rPr>
        <w:t>Juridische vervolgstappen</w:t>
      </w:r>
    </w:p>
    <w:p w:rsidRPr="00B45820" w:rsidR="00B45820" w:rsidP="00B45820" w:rsidRDefault="00B45820" w14:paraId="49F640C2" w14:textId="7C9C929B">
      <w:pPr>
        <w:spacing w:line="256" w:lineRule="auto"/>
        <w:textAlignment w:val="auto"/>
        <w:rPr>
          <w:rFonts w:eastAsia="Aptos" w:cs="Times New Roman"/>
          <w:color w:val="auto"/>
          <w:lang w:eastAsia="en-US"/>
        </w:rPr>
      </w:pPr>
      <w:r w:rsidRPr="00B45820">
        <w:rPr>
          <w:rFonts w:eastAsia="Aptos" w:cs="Times New Roman"/>
          <w:color w:val="auto"/>
          <w:lang w:eastAsia="en-US"/>
        </w:rPr>
        <w:t xml:space="preserve">Nadat de SVB de samenwerking met het incassobureau via de buitengerechtelijke ontbindingsverklaring had beëindigd, is de SVB een kortgedingprocedure gestart om de meest recente gegevens van klanten en de geïnde bedragen te vorderen van het incassobureau. De voorzieningenrechter heeft in november 2025 alle vorderingen van de SVB in kort geding toegewezen. Daarnaast is het incassobureau veroordeeld tot een dwangsom tot een maximum van € 500.000. </w:t>
      </w:r>
    </w:p>
    <w:p w:rsidRPr="00B45820" w:rsidR="00B45820" w:rsidP="00B45820" w:rsidRDefault="00B45820" w14:paraId="071F1EFB" w14:textId="77777777">
      <w:pPr>
        <w:spacing w:line="256" w:lineRule="auto"/>
        <w:textAlignment w:val="auto"/>
        <w:rPr>
          <w:rFonts w:eastAsia="Aptos" w:cs="Times New Roman"/>
          <w:color w:val="auto"/>
          <w:lang w:eastAsia="en-US"/>
        </w:rPr>
      </w:pPr>
    </w:p>
    <w:p w:rsidR="00F701DC" w:rsidP="00B45820" w:rsidRDefault="00F701DC" w14:paraId="4756B87A" w14:textId="77777777">
      <w:pPr>
        <w:spacing w:line="256" w:lineRule="auto"/>
        <w:textAlignment w:val="auto"/>
        <w:rPr>
          <w:rFonts w:eastAsia="Aptos" w:cs="Times New Roman"/>
          <w:color w:val="auto"/>
          <w:lang w:eastAsia="en-US"/>
        </w:rPr>
      </w:pPr>
    </w:p>
    <w:p w:rsidRPr="00B45820" w:rsidR="00B45820" w:rsidP="00B45820" w:rsidRDefault="00B45820" w14:paraId="4FF4481E" w14:textId="4F5E219B">
      <w:pPr>
        <w:spacing w:line="256" w:lineRule="auto"/>
        <w:textAlignment w:val="auto"/>
        <w:rPr>
          <w:rFonts w:eastAsia="Aptos" w:cs="Times New Roman"/>
          <w:color w:val="auto"/>
          <w:lang w:eastAsia="en-US"/>
        </w:rPr>
      </w:pPr>
      <w:r w:rsidRPr="00B45820">
        <w:rPr>
          <w:rFonts w:eastAsia="Aptos" w:cs="Times New Roman"/>
          <w:color w:val="auto"/>
          <w:lang w:eastAsia="en-US"/>
        </w:rPr>
        <w:lastRenderedPageBreak/>
        <w:t xml:space="preserve">In overleg met de landsadvocaat Pels </w:t>
      </w:r>
      <w:proofErr w:type="spellStart"/>
      <w:r w:rsidRPr="00B45820">
        <w:rPr>
          <w:rFonts w:eastAsia="Aptos" w:cs="Times New Roman"/>
          <w:color w:val="auto"/>
          <w:lang w:eastAsia="en-US"/>
        </w:rPr>
        <w:t>Rijcken</w:t>
      </w:r>
      <w:proofErr w:type="spellEnd"/>
      <w:r w:rsidRPr="00B45820">
        <w:rPr>
          <w:rFonts w:eastAsia="Aptos" w:cs="Times New Roman"/>
          <w:color w:val="auto"/>
          <w:lang w:eastAsia="en-US"/>
        </w:rPr>
        <w:t xml:space="preserve"> wordt door de SVB nagegaan welke andere juridische stappen er ondernomen kunnen worden</w:t>
      </w:r>
      <w:r w:rsidR="006C336E">
        <w:rPr>
          <w:rFonts w:eastAsia="Aptos" w:cs="Times New Roman"/>
          <w:color w:val="auto"/>
          <w:lang w:eastAsia="en-US"/>
        </w:rPr>
        <w:t>.</w:t>
      </w:r>
      <w:r w:rsidRPr="00B45820">
        <w:rPr>
          <w:rFonts w:eastAsia="Aptos" w:cs="Times New Roman"/>
          <w:color w:val="auto"/>
          <w:lang w:eastAsia="en-US"/>
        </w:rPr>
        <w:t xml:space="preserve"> Ook bereiden de SVB</w:t>
      </w:r>
      <w:r w:rsidR="00882009">
        <w:rPr>
          <w:rFonts w:eastAsia="Aptos" w:cs="Times New Roman"/>
          <w:color w:val="auto"/>
          <w:lang w:eastAsia="en-US"/>
        </w:rPr>
        <w:t xml:space="preserve"> </w:t>
      </w:r>
      <w:r w:rsidRPr="00B45820">
        <w:rPr>
          <w:rFonts w:eastAsia="Aptos" w:cs="Times New Roman"/>
          <w:color w:val="auto"/>
          <w:lang w:eastAsia="en-US"/>
        </w:rPr>
        <w:t xml:space="preserve">en DUO een gezamenlijke aangifte voor bij het Functioneel Parket van het Openbaar Ministerie Amsterdam. </w:t>
      </w:r>
    </w:p>
    <w:p w:rsidRPr="00B45820" w:rsidR="00B45820" w:rsidP="00B45820" w:rsidRDefault="00B45820" w14:paraId="32B6F2A6" w14:textId="77777777">
      <w:pPr>
        <w:textAlignment w:val="auto"/>
        <w:rPr>
          <w:bCs/>
        </w:rPr>
      </w:pPr>
    </w:p>
    <w:p w:rsidRPr="00B45820" w:rsidR="00B45820" w:rsidP="00B45820" w:rsidRDefault="00B45820" w14:paraId="2F8790AA" w14:textId="77777777">
      <w:pPr>
        <w:textAlignment w:val="auto"/>
        <w:rPr>
          <w:b/>
          <w:bCs/>
        </w:rPr>
      </w:pPr>
      <w:r w:rsidRPr="00B45820">
        <w:rPr>
          <w:b/>
          <w:bCs/>
        </w:rPr>
        <w:t>Gevolgen voor klanten</w:t>
      </w:r>
    </w:p>
    <w:p w:rsidRPr="00B45820" w:rsidR="00B45820" w:rsidP="00B45820" w:rsidRDefault="00B45820" w14:paraId="7EC592BC" w14:textId="77777777">
      <w:pPr>
        <w:spacing w:line="256" w:lineRule="auto"/>
        <w:textAlignment w:val="auto"/>
        <w:rPr>
          <w:rFonts w:eastAsia="Aptos" w:cs="Times New Roman"/>
          <w:i/>
          <w:iCs/>
          <w:color w:val="auto"/>
          <w:lang w:eastAsia="en-US"/>
        </w:rPr>
      </w:pPr>
      <w:r w:rsidRPr="00B45820">
        <w:rPr>
          <w:rFonts w:eastAsia="Aptos" w:cs="Times New Roman"/>
          <w:i/>
          <w:iCs/>
          <w:color w:val="auto"/>
          <w:lang w:eastAsia="en-US"/>
        </w:rPr>
        <w:t>SVB</w:t>
      </w:r>
    </w:p>
    <w:p w:rsidR="00B45820" w:rsidP="00B45820" w:rsidRDefault="00B45820" w14:paraId="7C9B3359" w14:textId="70763F51">
      <w:pPr>
        <w:spacing w:line="256" w:lineRule="auto"/>
        <w:textAlignment w:val="auto"/>
        <w:rPr>
          <w:rFonts w:eastAsia="Aptos" w:cs="Times New Roman"/>
          <w:color w:val="auto"/>
          <w:lang w:eastAsia="en-US"/>
        </w:rPr>
      </w:pPr>
      <w:r w:rsidRPr="00F757DB">
        <w:rPr>
          <w:rFonts w:eastAsia="Aptos" w:cs="Times New Roman"/>
          <w:color w:val="auto"/>
          <w:lang w:eastAsia="en-US"/>
        </w:rPr>
        <w:t>D</w:t>
      </w:r>
      <w:r w:rsidR="00497F06">
        <w:rPr>
          <w:rFonts w:eastAsia="Aptos" w:cs="Times New Roman"/>
          <w:color w:val="auto"/>
          <w:lang w:eastAsia="en-US"/>
        </w:rPr>
        <w:t>e SVB heeft besloten</w:t>
      </w:r>
      <w:r w:rsidRPr="00F757DB">
        <w:rPr>
          <w:rFonts w:eastAsia="Aptos" w:cs="Times New Roman"/>
          <w:color w:val="auto"/>
          <w:lang w:eastAsia="en-US"/>
        </w:rPr>
        <w:t xml:space="preserve"> om alle terugbetalingen stop te zetten en de restantschuld buiten invordering te stellen. Deze situatie heeft daarmee geen financiële gevolgen voor klanten van de SVB. De SVB heeft daarnaast aan de betreffende uitkeringsgerechtigden een toelichtende brief gestuurd waarin wordt aangegeven dat de SVB de samenwerking met het incassobureau heeft beëindigd. Deze brief was ook bedoeld om te voorkomen dat klanten onverhoopt nog bedragen overmaakten naar het desbetreffende bureau. Daarnaast is tijdelijk een telefoonnummer opengesteld waar klanten vragen konden stellen. </w:t>
      </w:r>
    </w:p>
    <w:p w:rsidR="00375E0B" w:rsidP="00B45820" w:rsidRDefault="00375E0B" w14:paraId="7B05F91B" w14:textId="77777777">
      <w:pPr>
        <w:spacing w:line="256" w:lineRule="auto"/>
        <w:textAlignment w:val="auto"/>
        <w:rPr>
          <w:rFonts w:eastAsia="Aptos" w:cs="Times New Roman"/>
          <w:color w:val="auto"/>
          <w:lang w:eastAsia="en-US"/>
        </w:rPr>
      </w:pPr>
    </w:p>
    <w:p w:rsidRPr="00375E0B" w:rsidR="00375E0B" w:rsidP="00375E0B" w:rsidRDefault="00375E0B" w14:paraId="3CC0621D" w14:textId="71C56FA5">
      <w:pPr>
        <w:spacing w:line="254" w:lineRule="auto"/>
        <w:rPr>
          <w:rFonts w:eastAsia="Aptos" w:cs="Times New Roman"/>
          <w:strike/>
          <w:color w:val="auto"/>
          <w:lang w:eastAsia="en-US"/>
        </w:rPr>
      </w:pPr>
      <w:r>
        <w:rPr>
          <w:rFonts w:eastAsia="Aptos" w:cs="Times New Roman"/>
          <w:color w:val="auto"/>
          <w:lang w:eastAsia="en-US"/>
        </w:rPr>
        <w:t>Sinds de situatie in maart 2025 ontstond</w:t>
      </w:r>
      <w:r w:rsidR="004860E8">
        <w:rPr>
          <w:rFonts w:eastAsia="Aptos" w:cs="Times New Roman"/>
          <w:color w:val="auto"/>
          <w:lang w:eastAsia="en-US"/>
        </w:rPr>
        <w:t>,</w:t>
      </w:r>
      <w:r>
        <w:rPr>
          <w:rFonts w:eastAsia="Aptos" w:cs="Times New Roman"/>
          <w:color w:val="auto"/>
          <w:lang w:eastAsia="en-US"/>
        </w:rPr>
        <w:t xml:space="preserve"> zijn er geen nieuwe zaken bij het incassobureau aangeboden. Als gevolg hiervan liggen er bij de SVB nieuwe vorderingen op voorraad. Het is daarom van belang dat er op korte termijn een contract met een nieuw incassobureau wordt afgesloten. Dit traject loopt momenteel. </w:t>
      </w:r>
    </w:p>
    <w:p w:rsidRPr="00B45820" w:rsidR="00B45820" w:rsidP="00B45820" w:rsidRDefault="00B45820" w14:paraId="570D6D58" w14:textId="77777777">
      <w:pPr>
        <w:spacing w:line="256" w:lineRule="auto"/>
        <w:textAlignment w:val="auto"/>
        <w:rPr>
          <w:rFonts w:eastAsia="Aptos" w:cs="Times New Roman"/>
          <w:color w:val="auto"/>
          <w:lang w:eastAsia="en-US"/>
        </w:rPr>
      </w:pPr>
    </w:p>
    <w:p w:rsidRPr="00B45820" w:rsidR="00B45820" w:rsidP="00B45820" w:rsidRDefault="00B45820" w14:paraId="3928B1CB" w14:textId="77777777">
      <w:pPr>
        <w:textAlignment w:val="auto"/>
        <w:rPr>
          <w:b/>
          <w:bCs/>
          <w:color w:val="auto"/>
        </w:rPr>
      </w:pPr>
      <w:r w:rsidRPr="00B45820">
        <w:rPr>
          <w:i/>
          <w:iCs/>
          <w:color w:val="auto"/>
        </w:rPr>
        <w:t>DUO</w:t>
      </w:r>
    </w:p>
    <w:p w:rsidRPr="00B45820" w:rsidR="00B45820" w:rsidP="00B45820" w:rsidRDefault="00B45820" w14:paraId="69399701" w14:textId="77777777">
      <w:pPr>
        <w:textAlignment w:val="auto"/>
        <w:rPr>
          <w:color w:val="auto"/>
        </w:rPr>
      </w:pPr>
      <w:r w:rsidRPr="00B45820">
        <w:t xml:space="preserve">De betreffende debiteuren zijn door DUO aangeschreven en geïnformeerd over de ontstane situatie. Hen is gevraagd om geen bedragen meer over te maken aan het betreffende incassobureau en bij vragen contact op te nemen met DUO via een speciaal daarvoor opengestelde telefoonlijn. </w:t>
      </w:r>
    </w:p>
    <w:p w:rsidRPr="00B45820" w:rsidR="00B45820" w:rsidP="00B45820" w:rsidRDefault="00B45820" w14:paraId="6162EE88" w14:textId="77777777">
      <w:pPr>
        <w:textAlignment w:val="auto"/>
        <w:rPr>
          <w:rFonts w:eastAsia="Aptos" w:cs="Times New Roman"/>
          <w:color w:val="auto"/>
          <w:lang w:eastAsia="en-US"/>
        </w:rPr>
      </w:pPr>
    </w:p>
    <w:p w:rsidRPr="00B45820" w:rsidR="00B45820" w:rsidP="00B45820" w:rsidRDefault="00B45820" w14:paraId="2B65CA33" w14:textId="77777777">
      <w:pPr>
        <w:spacing w:line="256" w:lineRule="auto"/>
        <w:textAlignment w:val="auto"/>
        <w:rPr>
          <w:rFonts w:eastAsia="Aptos" w:cs="Times New Roman"/>
          <w:b/>
          <w:bCs/>
          <w:color w:val="auto"/>
          <w:lang w:eastAsia="en-US"/>
        </w:rPr>
      </w:pPr>
      <w:r w:rsidRPr="00B45820">
        <w:rPr>
          <w:rFonts w:eastAsia="Aptos" w:cs="Times New Roman"/>
          <w:b/>
          <w:bCs/>
          <w:color w:val="auto"/>
          <w:lang w:eastAsia="en-US"/>
        </w:rPr>
        <w:t>Tot slot</w:t>
      </w:r>
    </w:p>
    <w:p w:rsidRPr="00B45820" w:rsidR="00B45820" w:rsidP="00B45820" w:rsidRDefault="00375E0B" w14:paraId="7B0AC47D" w14:textId="67C41313">
      <w:pPr>
        <w:textAlignment w:val="auto"/>
      </w:pPr>
      <w:r>
        <w:t xml:space="preserve">Op 21 april doet de rechter uitspraak over </w:t>
      </w:r>
      <w:r w:rsidR="006F5371">
        <w:t>de financiële situatie van</w:t>
      </w:r>
      <w:r>
        <w:t xml:space="preserve"> desbetreffende incassobureau. Het ligt in de lijn der verwachting dat hierbij het</w:t>
      </w:r>
      <w:r w:rsidRPr="00B45820" w:rsidR="00B45820">
        <w:t xml:space="preserve"> faillissement van het incassobureau</w:t>
      </w:r>
      <w:r>
        <w:t xml:space="preserve"> wordt</w:t>
      </w:r>
      <w:r w:rsidRPr="00B45820" w:rsidR="00B45820">
        <w:t xml:space="preserve"> uitgesproken. Via de Stand van de Uitvoering Sociale Zekerheid en de Stand van de Uitvoering OCW zal uw Kamer geïnformeerd worden over de voortgang.</w:t>
      </w:r>
    </w:p>
    <w:p w:rsidR="00C25563" w:rsidP="00C25563" w:rsidRDefault="00C25563" w14:paraId="41F5A446" w14:textId="77777777"/>
    <w:p w:rsidR="00C25563" w:rsidP="00C25563" w:rsidRDefault="00C25563" w14:paraId="07ABFAA2" w14:textId="77777777">
      <w:pPr>
        <w:pStyle w:val="WitregelW1bodytekst"/>
      </w:pPr>
    </w:p>
    <w:p w:rsidR="00C25563" w:rsidP="00C25563" w:rsidRDefault="00C25563" w14:paraId="6BBACD39" w14:textId="7C29F478">
      <w:r>
        <w:t xml:space="preserve">De </w:t>
      </w:r>
      <w:r w:rsidR="008E6FAF">
        <w:t>m</w:t>
      </w:r>
      <w:r>
        <w:t>inister van Werk en Participatie,</w:t>
      </w:r>
    </w:p>
    <w:p w:rsidR="00C25563" w:rsidP="00C25563" w:rsidRDefault="00C25563" w14:paraId="786002A2" w14:textId="77777777"/>
    <w:p w:rsidR="00C25563" w:rsidP="00C25563" w:rsidRDefault="00C25563" w14:paraId="1651F5AB" w14:textId="77777777"/>
    <w:p w:rsidR="00C25563" w:rsidP="00C25563" w:rsidRDefault="00C25563" w14:paraId="614A5B7D" w14:textId="77777777"/>
    <w:p w:rsidR="00C25563" w:rsidP="00C25563" w:rsidRDefault="00C25563" w14:paraId="7CA4B75A" w14:textId="77777777"/>
    <w:p w:rsidR="00C25563" w:rsidP="00C25563" w:rsidRDefault="00C25563" w14:paraId="561AFBF1" w14:textId="77777777"/>
    <w:p w:rsidR="00C25563" w:rsidP="00C25563" w:rsidRDefault="00C25563" w14:paraId="64403D51" w14:textId="77777777">
      <w:r>
        <w:t>A.A. Aartsen</w:t>
      </w:r>
    </w:p>
    <w:p w:rsidR="00FB19A2" w:rsidRDefault="00FB19A2" w14:paraId="05D78826" w14:textId="77777777"/>
    <w:sectPr w:rsidR="00FB19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5D4C" w14:textId="77777777" w:rsidR="00140784" w:rsidRDefault="00140784">
      <w:pPr>
        <w:spacing w:line="240" w:lineRule="auto"/>
      </w:pPr>
      <w:r>
        <w:separator/>
      </w:r>
    </w:p>
  </w:endnote>
  <w:endnote w:type="continuationSeparator" w:id="0">
    <w:p w14:paraId="704D5D4E" w14:textId="77777777" w:rsidR="00140784" w:rsidRDefault="00140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B5DA" w14:textId="77777777" w:rsidR="00976788" w:rsidRDefault="00976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B2F9" w14:textId="77777777" w:rsidR="00976788" w:rsidRDefault="009767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F79" w14:textId="77777777" w:rsidR="00976788" w:rsidRDefault="00976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5D48" w14:textId="77777777" w:rsidR="00140784" w:rsidRDefault="00140784">
      <w:pPr>
        <w:spacing w:line="240" w:lineRule="auto"/>
      </w:pPr>
      <w:r>
        <w:separator/>
      </w:r>
    </w:p>
  </w:footnote>
  <w:footnote w:type="continuationSeparator" w:id="0">
    <w:p w14:paraId="704D5D4A" w14:textId="77777777" w:rsidR="00140784" w:rsidRDefault="001407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6F9E" w14:textId="77777777" w:rsidR="00976788" w:rsidRDefault="00976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D44" w14:textId="77777777" w:rsidR="00FB19A2" w:rsidRDefault="00140784">
    <w:r>
      <w:rPr>
        <w:noProof/>
      </w:rPr>
      <mc:AlternateContent>
        <mc:Choice Requires="wps">
          <w:drawing>
            <wp:anchor distT="0" distB="0" distL="0" distR="0" simplePos="0" relativeHeight="251654144" behindDoc="0" locked="1" layoutInCell="1" allowOverlap="1" wp14:anchorId="704D5D48" wp14:editId="704D5D4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4D5D79" w14:textId="77777777" w:rsidR="00FB19A2" w:rsidRDefault="00140784">
                          <w:pPr>
                            <w:pStyle w:val="Referentiegegevenskopjes"/>
                          </w:pPr>
                          <w:r>
                            <w:t>Datum</w:t>
                          </w:r>
                        </w:p>
                        <w:p w14:paraId="78F3EF91" w14:textId="365FCBB9" w:rsidR="00DE1B0E" w:rsidRDefault="002B420F">
                          <w:pPr>
                            <w:pStyle w:val="Referentiegegevens"/>
                          </w:pPr>
                          <w:r>
                            <w:t>16-04-2026</w:t>
                          </w:r>
                          <w:r w:rsidR="004C1759">
                            <w:fldChar w:fldCharType="begin"/>
                          </w:r>
                          <w:r w:rsidR="004C1759">
                            <w:instrText xml:space="preserve"> DOCPROPERTY  "iDatum"  \* MERGEFORMAT </w:instrText>
                          </w:r>
                          <w:r w:rsidR="004C1759">
                            <w:fldChar w:fldCharType="end"/>
                          </w:r>
                        </w:p>
                        <w:p w14:paraId="704D5D7B" w14:textId="77777777" w:rsidR="00FB19A2" w:rsidRDefault="00FB19A2">
                          <w:pPr>
                            <w:pStyle w:val="WitregelW1"/>
                          </w:pPr>
                        </w:p>
                        <w:p w14:paraId="704D5D7C" w14:textId="77777777" w:rsidR="00FB19A2" w:rsidRDefault="00140784">
                          <w:pPr>
                            <w:pStyle w:val="Referentiegegevenskopjes"/>
                          </w:pPr>
                          <w:r>
                            <w:t>Onze referentie</w:t>
                          </w:r>
                        </w:p>
                        <w:p w14:paraId="413A7C1F" w14:textId="5B69026A" w:rsidR="00DE1B0E" w:rsidRDefault="004C1759">
                          <w:pPr>
                            <w:pStyle w:val="ReferentiegegevensHL"/>
                          </w:pPr>
                          <w:r>
                            <w:fldChar w:fldCharType="begin"/>
                          </w:r>
                          <w:r>
                            <w:instrText xml:space="preserve"> DOCPROPERTY  "iOnsKenmerk"  \* MERGEFORMAT </w:instrText>
                          </w:r>
                          <w:r>
                            <w:fldChar w:fldCharType="separate"/>
                          </w:r>
                          <w:r w:rsidR="00976788">
                            <w:t>2026-0000101114</w:t>
                          </w:r>
                          <w:r>
                            <w:fldChar w:fldCharType="end"/>
                          </w:r>
                        </w:p>
                      </w:txbxContent>
                    </wps:txbx>
                    <wps:bodyPr vert="horz" wrap="square" lIns="0" tIns="0" rIns="0" bIns="0" anchor="t" anchorCtr="0"/>
                  </wps:wsp>
                </a:graphicData>
              </a:graphic>
            </wp:anchor>
          </w:drawing>
        </mc:Choice>
        <mc:Fallback>
          <w:pict>
            <v:shapetype w14:anchorId="704D5D4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04D5D79" w14:textId="77777777" w:rsidR="00FB19A2" w:rsidRDefault="00140784">
                    <w:pPr>
                      <w:pStyle w:val="Referentiegegevenskopjes"/>
                    </w:pPr>
                    <w:r>
                      <w:t>Datum</w:t>
                    </w:r>
                  </w:p>
                  <w:p w14:paraId="78F3EF91" w14:textId="365FCBB9" w:rsidR="00DE1B0E" w:rsidRDefault="002B420F">
                    <w:pPr>
                      <w:pStyle w:val="Referentiegegevens"/>
                    </w:pPr>
                    <w:r>
                      <w:t>16-04-2026</w:t>
                    </w:r>
                    <w:r w:rsidR="004C1759">
                      <w:fldChar w:fldCharType="begin"/>
                    </w:r>
                    <w:r w:rsidR="004C1759">
                      <w:instrText xml:space="preserve"> DOCPROPERTY  "iDatum"  \* MERGEFORMAT </w:instrText>
                    </w:r>
                    <w:r w:rsidR="004C1759">
                      <w:fldChar w:fldCharType="end"/>
                    </w:r>
                  </w:p>
                  <w:p w14:paraId="704D5D7B" w14:textId="77777777" w:rsidR="00FB19A2" w:rsidRDefault="00FB19A2">
                    <w:pPr>
                      <w:pStyle w:val="WitregelW1"/>
                    </w:pPr>
                  </w:p>
                  <w:p w14:paraId="704D5D7C" w14:textId="77777777" w:rsidR="00FB19A2" w:rsidRDefault="00140784">
                    <w:pPr>
                      <w:pStyle w:val="Referentiegegevenskopjes"/>
                    </w:pPr>
                    <w:r>
                      <w:t>Onze referentie</w:t>
                    </w:r>
                  </w:p>
                  <w:p w14:paraId="413A7C1F" w14:textId="5B69026A" w:rsidR="00DE1B0E" w:rsidRDefault="004C1759">
                    <w:pPr>
                      <w:pStyle w:val="ReferentiegegevensHL"/>
                    </w:pPr>
                    <w:r>
                      <w:fldChar w:fldCharType="begin"/>
                    </w:r>
                    <w:r>
                      <w:instrText xml:space="preserve"> DOCPROPERTY  "iOnsKenmerk"  \* MERGEFORMAT </w:instrText>
                    </w:r>
                    <w:r>
                      <w:fldChar w:fldCharType="separate"/>
                    </w:r>
                    <w:r w:rsidR="00976788">
                      <w:t>2026-0000101114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04D5D4A" wp14:editId="704D5D4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523C41" w14:textId="77777777" w:rsidR="00DE1B0E" w:rsidRDefault="004C175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4D5D4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0523C41" w14:textId="77777777" w:rsidR="00DE1B0E" w:rsidRDefault="004C175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D46" w14:textId="77777777" w:rsidR="00FB19A2" w:rsidRDefault="00140784">
    <w:pPr>
      <w:spacing w:after="7029" w:line="14" w:lineRule="exact"/>
    </w:pPr>
    <w:r>
      <w:rPr>
        <w:noProof/>
      </w:rPr>
      <mc:AlternateContent>
        <mc:Choice Requires="wps">
          <w:drawing>
            <wp:anchor distT="0" distB="0" distL="0" distR="0" simplePos="0" relativeHeight="251656192" behindDoc="0" locked="1" layoutInCell="1" allowOverlap="1" wp14:anchorId="704D5D4C" wp14:editId="704D5D4D">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4D5D58" w14:textId="77777777" w:rsidR="00FB19A2" w:rsidRDefault="0014078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4D5D4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04D5D58" w14:textId="77777777" w:rsidR="00FB19A2" w:rsidRDefault="0014078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04D5D4E" wp14:editId="704D5D4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4D5D5B" w14:textId="77777777" w:rsidR="00FB19A2" w:rsidRPr="00DB561D" w:rsidRDefault="00140784">
                          <w:pPr>
                            <w:pStyle w:val="Afzendgegevens"/>
                            <w:rPr>
                              <w:lang w:val="de-DE"/>
                            </w:rPr>
                          </w:pPr>
                          <w:r w:rsidRPr="00DB561D">
                            <w:rPr>
                              <w:lang w:val="de-DE"/>
                            </w:rPr>
                            <w:t>Postbus 90801</w:t>
                          </w:r>
                        </w:p>
                        <w:p w14:paraId="704D5D5C" w14:textId="1A1F9C37" w:rsidR="00FB19A2" w:rsidRPr="00DB561D" w:rsidRDefault="00140784">
                          <w:pPr>
                            <w:pStyle w:val="Afzendgegevens"/>
                            <w:rPr>
                              <w:lang w:val="de-DE"/>
                            </w:rPr>
                          </w:pPr>
                          <w:r w:rsidRPr="00DB561D">
                            <w:rPr>
                              <w:lang w:val="de-DE"/>
                            </w:rPr>
                            <w:t>2509 LV Den Haag</w:t>
                          </w:r>
                        </w:p>
                        <w:p w14:paraId="704D5D5D" w14:textId="77777777" w:rsidR="00FB19A2" w:rsidRPr="00DB561D" w:rsidRDefault="00140784">
                          <w:pPr>
                            <w:pStyle w:val="Afzendgegevens"/>
                            <w:rPr>
                              <w:lang w:val="de-DE"/>
                            </w:rPr>
                          </w:pPr>
                          <w:r w:rsidRPr="00DB561D">
                            <w:rPr>
                              <w:lang w:val="de-DE"/>
                            </w:rPr>
                            <w:t>T   070 333 44 44</w:t>
                          </w:r>
                        </w:p>
                        <w:p w14:paraId="704D5D5E" w14:textId="77777777" w:rsidR="00FB19A2" w:rsidRPr="00DB561D" w:rsidRDefault="00FB19A2">
                          <w:pPr>
                            <w:pStyle w:val="WitregelW2"/>
                            <w:rPr>
                              <w:lang w:val="de-DE"/>
                            </w:rPr>
                          </w:pPr>
                        </w:p>
                        <w:p w14:paraId="704D5D5F" w14:textId="77777777" w:rsidR="00FB19A2" w:rsidRDefault="00140784">
                          <w:pPr>
                            <w:pStyle w:val="Referentiegegevenskopjes"/>
                          </w:pPr>
                          <w:r>
                            <w:t>Onze referentie</w:t>
                          </w:r>
                        </w:p>
                        <w:p w14:paraId="009A7325" w14:textId="01CF4C79" w:rsidR="00DE1B0E" w:rsidRDefault="004C1759">
                          <w:pPr>
                            <w:pStyle w:val="ReferentiegegevensHL"/>
                          </w:pPr>
                          <w:r>
                            <w:fldChar w:fldCharType="begin"/>
                          </w:r>
                          <w:r>
                            <w:instrText xml:space="preserve"> DOCPROPERTY  "iOnsKenmerk"  \* MERGEFORMAT </w:instrText>
                          </w:r>
                          <w:r>
                            <w:fldChar w:fldCharType="separate"/>
                          </w:r>
                          <w:r w:rsidR="00976788">
                            <w:t>2026-0000101114</w:t>
                          </w:r>
                          <w:r>
                            <w:fldChar w:fldCharType="end"/>
                          </w:r>
                        </w:p>
                        <w:p w14:paraId="704D5D61" w14:textId="77777777" w:rsidR="00FB19A2" w:rsidRDefault="00FB19A2">
                          <w:pPr>
                            <w:pStyle w:val="WitregelW1"/>
                          </w:pPr>
                        </w:p>
                        <w:p w14:paraId="40401534" w14:textId="35DE6934" w:rsidR="00DE1B0E" w:rsidRDefault="004C1759">
                          <w:pPr>
                            <w:pStyle w:val="Referentiegegevens"/>
                          </w:pPr>
                          <w:r>
                            <w:fldChar w:fldCharType="begin"/>
                          </w:r>
                          <w:r>
                            <w:instrText xml:space="preserve"> DOCPROPERTY  "iCC"  \* MERGEFORMAT </w:instrText>
                          </w:r>
                          <w:r>
                            <w:fldChar w:fldCharType="end"/>
                          </w:r>
                        </w:p>
                        <w:p w14:paraId="704D5D63" w14:textId="77777777" w:rsidR="00FB19A2" w:rsidRDefault="00FB19A2">
                          <w:pPr>
                            <w:pStyle w:val="WitregelW1"/>
                          </w:pPr>
                        </w:p>
                        <w:p w14:paraId="757A3FA9" w14:textId="571FEC5C" w:rsidR="00DE1B0E" w:rsidRDefault="004C175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04D5D4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04D5D5B" w14:textId="77777777" w:rsidR="00FB19A2" w:rsidRPr="00DB561D" w:rsidRDefault="00140784">
                    <w:pPr>
                      <w:pStyle w:val="Afzendgegevens"/>
                      <w:rPr>
                        <w:lang w:val="de-DE"/>
                      </w:rPr>
                    </w:pPr>
                    <w:r w:rsidRPr="00DB561D">
                      <w:rPr>
                        <w:lang w:val="de-DE"/>
                      </w:rPr>
                      <w:t>Postbus 90801</w:t>
                    </w:r>
                  </w:p>
                  <w:p w14:paraId="704D5D5C" w14:textId="1A1F9C37" w:rsidR="00FB19A2" w:rsidRPr="00DB561D" w:rsidRDefault="00140784">
                    <w:pPr>
                      <w:pStyle w:val="Afzendgegevens"/>
                      <w:rPr>
                        <w:lang w:val="de-DE"/>
                      </w:rPr>
                    </w:pPr>
                    <w:r w:rsidRPr="00DB561D">
                      <w:rPr>
                        <w:lang w:val="de-DE"/>
                      </w:rPr>
                      <w:t>2509 LV Den Haag</w:t>
                    </w:r>
                  </w:p>
                  <w:p w14:paraId="704D5D5D" w14:textId="77777777" w:rsidR="00FB19A2" w:rsidRPr="00DB561D" w:rsidRDefault="00140784">
                    <w:pPr>
                      <w:pStyle w:val="Afzendgegevens"/>
                      <w:rPr>
                        <w:lang w:val="de-DE"/>
                      </w:rPr>
                    </w:pPr>
                    <w:r w:rsidRPr="00DB561D">
                      <w:rPr>
                        <w:lang w:val="de-DE"/>
                      </w:rPr>
                      <w:t>T   070 333 44 44</w:t>
                    </w:r>
                  </w:p>
                  <w:p w14:paraId="704D5D5E" w14:textId="77777777" w:rsidR="00FB19A2" w:rsidRPr="00DB561D" w:rsidRDefault="00FB19A2">
                    <w:pPr>
                      <w:pStyle w:val="WitregelW2"/>
                      <w:rPr>
                        <w:lang w:val="de-DE"/>
                      </w:rPr>
                    </w:pPr>
                  </w:p>
                  <w:p w14:paraId="704D5D5F" w14:textId="77777777" w:rsidR="00FB19A2" w:rsidRDefault="00140784">
                    <w:pPr>
                      <w:pStyle w:val="Referentiegegevenskopjes"/>
                    </w:pPr>
                    <w:r>
                      <w:t>Onze referentie</w:t>
                    </w:r>
                  </w:p>
                  <w:p w14:paraId="009A7325" w14:textId="01CF4C79" w:rsidR="00DE1B0E" w:rsidRDefault="004C1759">
                    <w:pPr>
                      <w:pStyle w:val="ReferentiegegevensHL"/>
                    </w:pPr>
                    <w:r>
                      <w:fldChar w:fldCharType="begin"/>
                    </w:r>
                    <w:r>
                      <w:instrText xml:space="preserve"> DOCPROPERTY  "iOnsKenmerk"  \* MERGEFORMAT </w:instrText>
                    </w:r>
                    <w:r>
                      <w:fldChar w:fldCharType="separate"/>
                    </w:r>
                    <w:r w:rsidR="00976788">
                      <w:t>2026-0000101114</w:t>
                    </w:r>
                    <w:r>
                      <w:fldChar w:fldCharType="end"/>
                    </w:r>
                  </w:p>
                  <w:p w14:paraId="704D5D61" w14:textId="77777777" w:rsidR="00FB19A2" w:rsidRDefault="00FB19A2">
                    <w:pPr>
                      <w:pStyle w:val="WitregelW1"/>
                    </w:pPr>
                  </w:p>
                  <w:p w14:paraId="40401534" w14:textId="35DE6934" w:rsidR="00DE1B0E" w:rsidRDefault="004C1759">
                    <w:pPr>
                      <w:pStyle w:val="Referentiegegevens"/>
                    </w:pPr>
                    <w:r>
                      <w:fldChar w:fldCharType="begin"/>
                    </w:r>
                    <w:r>
                      <w:instrText xml:space="preserve"> DOCPROPERTY  "iCC"  \* MERGEFORMAT </w:instrText>
                    </w:r>
                    <w:r>
                      <w:fldChar w:fldCharType="end"/>
                    </w:r>
                  </w:p>
                  <w:p w14:paraId="704D5D63" w14:textId="77777777" w:rsidR="00FB19A2" w:rsidRDefault="00FB19A2">
                    <w:pPr>
                      <w:pStyle w:val="WitregelW1"/>
                    </w:pPr>
                  </w:p>
                  <w:p w14:paraId="757A3FA9" w14:textId="571FEC5C" w:rsidR="00DE1B0E" w:rsidRDefault="004C1759">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04D5D50" wp14:editId="704D5D5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04D5D65" w14:textId="77777777" w:rsidR="00FB19A2" w:rsidRDefault="00140784">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B19A2" w:rsidRDefault="00140784" w14:paraId="704D5D6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04D5D52" wp14:editId="704D5D5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4D5D66" w14:textId="77777777" w:rsidR="00FB19A2" w:rsidRDefault="00140784">
                          <w:r>
                            <w:t>De voorzitter van de Tweede Kamer der Staten-Generaal</w:t>
                          </w:r>
                        </w:p>
                        <w:p w14:paraId="704D5D67" w14:textId="77777777" w:rsidR="00FB19A2" w:rsidRDefault="00140784">
                          <w:r>
                            <w:t xml:space="preserve">Postbus 20018 </w:t>
                          </w:r>
                        </w:p>
                        <w:p w14:paraId="704D5D68" w14:textId="77777777" w:rsidR="00FB19A2" w:rsidRDefault="00140784">
                          <w:r>
                            <w:t>2500 EA  Den Haag</w:t>
                          </w:r>
                        </w:p>
                        <w:p w14:paraId="704D5D69" w14:textId="77777777" w:rsidR="00FB19A2" w:rsidRDefault="00140784">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B19A2" w:rsidRDefault="00140784" w14:paraId="704D5D66" w14:textId="77777777">
                    <w:r>
                      <w:t>De voorzitter van de Tweede Kamer der Staten-Generaal</w:t>
                    </w:r>
                  </w:p>
                  <w:p w:rsidR="00FB19A2" w:rsidRDefault="00140784" w14:paraId="704D5D67" w14:textId="77777777">
                    <w:r>
                      <w:t xml:space="preserve">Postbus 20018 </w:t>
                    </w:r>
                  </w:p>
                  <w:p w:rsidR="00FB19A2" w:rsidRDefault="00140784" w14:paraId="704D5D68" w14:textId="77777777">
                    <w:r>
                      <w:t>2500 EA  Den Haag</w:t>
                    </w:r>
                  </w:p>
                  <w:p w:rsidR="00FB19A2" w:rsidRDefault="00140784" w14:paraId="704D5D69"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4D5D54" wp14:editId="704D5D5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B19A2" w14:paraId="704D5D6C" w14:textId="77777777">
                            <w:trPr>
                              <w:trHeight w:val="200"/>
                            </w:trPr>
                            <w:tc>
                              <w:tcPr>
                                <w:tcW w:w="1134" w:type="dxa"/>
                              </w:tcPr>
                              <w:p w14:paraId="704D5D6A" w14:textId="77777777" w:rsidR="00FB19A2" w:rsidRDefault="00FB19A2"/>
                            </w:tc>
                            <w:tc>
                              <w:tcPr>
                                <w:tcW w:w="5244" w:type="dxa"/>
                              </w:tcPr>
                              <w:p w14:paraId="704D5D6B" w14:textId="77777777" w:rsidR="00FB19A2" w:rsidRDefault="00FB19A2"/>
                            </w:tc>
                          </w:tr>
                          <w:tr w:rsidR="00FB19A2" w14:paraId="704D5D6F" w14:textId="77777777">
                            <w:trPr>
                              <w:trHeight w:val="240"/>
                            </w:trPr>
                            <w:tc>
                              <w:tcPr>
                                <w:tcW w:w="1134" w:type="dxa"/>
                              </w:tcPr>
                              <w:p w14:paraId="704D5D6D" w14:textId="77777777" w:rsidR="00FB19A2" w:rsidRDefault="00140784">
                                <w:r>
                                  <w:t>Datum</w:t>
                                </w:r>
                              </w:p>
                            </w:tc>
                            <w:tc>
                              <w:tcPr>
                                <w:tcW w:w="5244" w:type="dxa"/>
                              </w:tcPr>
                              <w:p w14:paraId="6FDB18C9" w14:textId="7955D010" w:rsidR="00DE1B0E" w:rsidRDefault="002B420F">
                                <w:r>
                                  <w:t>16 april 2026</w:t>
                                </w:r>
                                <w:r w:rsidR="004C1759">
                                  <w:fldChar w:fldCharType="begin"/>
                                </w:r>
                                <w:r w:rsidR="004C1759">
                                  <w:instrText xml:space="preserve"> DOCPROPERTY  "iDatum"  \* MERGEFORMAT </w:instrText>
                                </w:r>
                                <w:r w:rsidR="004C1759">
                                  <w:fldChar w:fldCharType="end"/>
                                </w:r>
                              </w:p>
                            </w:tc>
                          </w:tr>
                          <w:tr w:rsidR="00FB19A2" w14:paraId="704D5D72" w14:textId="77777777">
                            <w:trPr>
                              <w:trHeight w:val="240"/>
                            </w:trPr>
                            <w:tc>
                              <w:tcPr>
                                <w:tcW w:w="1134" w:type="dxa"/>
                              </w:tcPr>
                              <w:p w14:paraId="704D5D70" w14:textId="77777777" w:rsidR="00FB19A2" w:rsidRDefault="00140784">
                                <w:r>
                                  <w:t>Betreft</w:t>
                                </w:r>
                              </w:p>
                            </w:tc>
                            <w:tc>
                              <w:tcPr>
                                <w:tcW w:w="5244" w:type="dxa"/>
                              </w:tcPr>
                              <w:p w14:paraId="4352CDDB" w14:textId="07B40976" w:rsidR="00DE1B0E" w:rsidRDefault="004C1759">
                                <w:r>
                                  <w:fldChar w:fldCharType="begin"/>
                                </w:r>
                                <w:r>
                                  <w:instrText xml:space="preserve"> DOCPROPERTY  "iOnderwerp"  \* MERGEFORMAT </w:instrText>
                                </w:r>
                                <w:r>
                                  <w:fldChar w:fldCharType="separate"/>
                                </w:r>
                                <w:r w:rsidR="00976788">
                                  <w:t>Casus buitenlandse vorderingen SVB en DUO door incassobureau</w:t>
                                </w:r>
                                <w:r>
                                  <w:fldChar w:fldCharType="end"/>
                                </w:r>
                              </w:p>
                            </w:tc>
                          </w:tr>
                          <w:tr w:rsidR="00FB19A2" w14:paraId="704D5D75" w14:textId="77777777">
                            <w:trPr>
                              <w:trHeight w:val="200"/>
                            </w:trPr>
                            <w:tc>
                              <w:tcPr>
                                <w:tcW w:w="1134" w:type="dxa"/>
                              </w:tcPr>
                              <w:p w14:paraId="704D5D73" w14:textId="77777777" w:rsidR="00FB19A2" w:rsidRDefault="00FB19A2"/>
                            </w:tc>
                            <w:tc>
                              <w:tcPr>
                                <w:tcW w:w="5244" w:type="dxa"/>
                              </w:tcPr>
                              <w:p w14:paraId="704D5D74" w14:textId="77777777" w:rsidR="00FB19A2" w:rsidRDefault="00FB19A2"/>
                            </w:tc>
                          </w:tr>
                        </w:tbl>
                        <w:p w14:paraId="704D5D83" w14:textId="77777777" w:rsidR="00140784" w:rsidRDefault="00140784"/>
                      </w:txbxContent>
                    </wps:txbx>
                    <wps:bodyPr vert="horz" wrap="square" lIns="0" tIns="0" rIns="0" bIns="0" anchor="t" anchorCtr="0"/>
                  </wps:wsp>
                </a:graphicData>
              </a:graphic>
            </wp:anchor>
          </w:drawing>
        </mc:Choice>
        <mc:Fallback>
          <w:pict>
            <v:shape w14:anchorId="704D5D5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B19A2" w14:paraId="704D5D6C" w14:textId="77777777">
                      <w:trPr>
                        <w:trHeight w:val="200"/>
                      </w:trPr>
                      <w:tc>
                        <w:tcPr>
                          <w:tcW w:w="1134" w:type="dxa"/>
                        </w:tcPr>
                        <w:p w14:paraId="704D5D6A" w14:textId="77777777" w:rsidR="00FB19A2" w:rsidRDefault="00FB19A2"/>
                      </w:tc>
                      <w:tc>
                        <w:tcPr>
                          <w:tcW w:w="5244" w:type="dxa"/>
                        </w:tcPr>
                        <w:p w14:paraId="704D5D6B" w14:textId="77777777" w:rsidR="00FB19A2" w:rsidRDefault="00FB19A2"/>
                      </w:tc>
                    </w:tr>
                    <w:tr w:rsidR="00FB19A2" w14:paraId="704D5D6F" w14:textId="77777777">
                      <w:trPr>
                        <w:trHeight w:val="240"/>
                      </w:trPr>
                      <w:tc>
                        <w:tcPr>
                          <w:tcW w:w="1134" w:type="dxa"/>
                        </w:tcPr>
                        <w:p w14:paraId="704D5D6D" w14:textId="77777777" w:rsidR="00FB19A2" w:rsidRDefault="00140784">
                          <w:r>
                            <w:t>Datum</w:t>
                          </w:r>
                        </w:p>
                      </w:tc>
                      <w:tc>
                        <w:tcPr>
                          <w:tcW w:w="5244" w:type="dxa"/>
                        </w:tcPr>
                        <w:p w14:paraId="6FDB18C9" w14:textId="7955D010" w:rsidR="00DE1B0E" w:rsidRDefault="002B420F">
                          <w:r>
                            <w:t>16 april 2026</w:t>
                          </w:r>
                          <w:r w:rsidR="004C1759">
                            <w:fldChar w:fldCharType="begin"/>
                          </w:r>
                          <w:r w:rsidR="004C1759">
                            <w:instrText xml:space="preserve"> DOCPROPERTY  "iDatum"  \* MERGEFORMAT </w:instrText>
                          </w:r>
                          <w:r w:rsidR="004C1759">
                            <w:fldChar w:fldCharType="end"/>
                          </w:r>
                        </w:p>
                      </w:tc>
                    </w:tr>
                    <w:tr w:rsidR="00FB19A2" w14:paraId="704D5D72" w14:textId="77777777">
                      <w:trPr>
                        <w:trHeight w:val="240"/>
                      </w:trPr>
                      <w:tc>
                        <w:tcPr>
                          <w:tcW w:w="1134" w:type="dxa"/>
                        </w:tcPr>
                        <w:p w14:paraId="704D5D70" w14:textId="77777777" w:rsidR="00FB19A2" w:rsidRDefault="00140784">
                          <w:r>
                            <w:t>Betreft</w:t>
                          </w:r>
                        </w:p>
                      </w:tc>
                      <w:tc>
                        <w:tcPr>
                          <w:tcW w:w="5244" w:type="dxa"/>
                        </w:tcPr>
                        <w:p w14:paraId="4352CDDB" w14:textId="07B40976" w:rsidR="00DE1B0E" w:rsidRDefault="004C1759">
                          <w:r>
                            <w:fldChar w:fldCharType="begin"/>
                          </w:r>
                          <w:r>
                            <w:instrText xml:space="preserve"> DOCPROPERTY  "iOnderwerp"  \* MERGEFORMAT </w:instrText>
                          </w:r>
                          <w:r>
                            <w:fldChar w:fldCharType="separate"/>
                          </w:r>
                          <w:r w:rsidR="00976788">
                            <w:t>Casus buitenlandse vorderingen SVB en DUO door incassobureau</w:t>
                          </w:r>
                          <w:r>
                            <w:fldChar w:fldCharType="end"/>
                          </w:r>
                        </w:p>
                      </w:tc>
                    </w:tr>
                    <w:tr w:rsidR="00FB19A2" w14:paraId="704D5D75" w14:textId="77777777">
                      <w:trPr>
                        <w:trHeight w:val="200"/>
                      </w:trPr>
                      <w:tc>
                        <w:tcPr>
                          <w:tcW w:w="1134" w:type="dxa"/>
                        </w:tcPr>
                        <w:p w14:paraId="704D5D73" w14:textId="77777777" w:rsidR="00FB19A2" w:rsidRDefault="00FB19A2"/>
                      </w:tc>
                      <w:tc>
                        <w:tcPr>
                          <w:tcW w:w="5244" w:type="dxa"/>
                        </w:tcPr>
                        <w:p w14:paraId="704D5D74" w14:textId="77777777" w:rsidR="00FB19A2" w:rsidRDefault="00FB19A2"/>
                      </w:tc>
                    </w:tr>
                  </w:tbl>
                  <w:p w14:paraId="704D5D83" w14:textId="77777777" w:rsidR="00140784" w:rsidRDefault="0014078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04D5D56" wp14:editId="704D5D5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34A226" w14:textId="77777777" w:rsidR="00DE1B0E" w:rsidRDefault="004C175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4D5D5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F34A226" w14:textId="77777777" w:rsidR="00DE1B0E" w:rsidRDefault="004C175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0EF33"/>
    <w:multiLevelType w:val="multilevel"/>
    <w:tmpl w:val="51E534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5C7A8AE"/>
    <w:multiLevelType w:val="multilevel"/>
    <w:tmpl w:val="6C02835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AF21BC"/>
    <w:multiLevelType w:val="multilevel"/>
    <w:tmpl w:val="7DD90D1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0CCEF7"/>
    <w:multiLevelType w:val="multilevel"/>
    <w:tmpl w:val="E35B8BD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D4F1F"/>
    <w:multiLevelType w:val="hybridMultilevel"/>
    <w:tmpl w:val="A19ECE9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8C1203"/>
    <w:multiLevelType w:val="hybridMultilevel"/>
    <w:tmpl w:val="E82A50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2CF9F4"/>
    <w:multiLevelType w:val="multilevel"/>
    <w:tmpl w:val="8E4C758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E1BC2"/>
    <w:multiLevelType w:val="hybridMultilevel"/>
    <w:tmpl w:val="2528C570"/>
    <w:lvl w:ilvl="0" w:tplc="3C1440C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1F8089"/>
    <w:multiLevelType w:val="multilevel"/>
    <w:tmpl w:val="8D86757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61D62F"/>
    <w:multiLevelType w:val="multilevel"/>
    <w:tmpl w:val="08C78A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2FA162A5"/>
    <w:multiLevelType w:val="hybridMultilevel"/>
    <w:tmpl w:val="B0A42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903154D"/>
    <w:multiLevelType w:val="hybridMultilevel"/>
    <w:tmpl w:val="46F22EFA"/>
    <w:lvl w:ilvl="0" w:tplc="3C1440CC">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AA7D6A4"/>
    <w:multiLevelType w:val="multilevel"/>
    <w:tmpl w:val="C9CD5A18"/>
    <w:styleLink w:val="Genummerd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7D015A5A"/>
    <w:multiLevelType w:val="hybridMultilevel"/>
    <w:tmpl w:val="AB44DFE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F18DA00"/>
    <w:multiLevelType w:val="multilevel"/>
    <w:tmpl w:val="E8E586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1129189">
    <w:abstractNumId w:val="14"/>
  </w:num>
  <w:num w:numId="2" w16cid:durableId="897283069">
    <w:abstractNumId w:val="3"/>
  </w:num>
  <w:num w:numId="3" w16cid:durableId="1822040921">
    <w:abstractNumId w:val="9"/>
  </w:num>
  <w:num w:numId="4" w16cid:durableId="1498770312">
    <w:abstractNumId w:val="0"/>
  </w:num>
  <w:num w:numId="5" w16cid:durableId="1559053401">
    <w:abstractNumId w:val="1"/>
  </w:num>
  <w:num w:numId="6" w16cid:durableId="1707679367">
    <w:abstractNumId w:val="6"/>
  </w:num>
  <w:num w:numId="7" w16cid:durableId="1131629667">
    <w:abstractNumId w:val="2"/>
  </w:num>
  <w:num w:numId="8" w16cid:durableId="1267543214">
    <w:abstractNumId w:val="8"/>
  </w:num>
  <w:num w:numId="9" w16cid:durableId="52513078">
    <w:abstractNumId w:val="12"/>
  </w:num>
  <w:num w:numId="10" w16cid:durableId="2074543528">
    <w:abstractNumId w:val="11"/>
  </w:num>
  <w:num w:numId="11" w16cid:durableId="1943106494">
    <w:abstractNumId w:val="5"/>
  </w:num>
  <w:num w:numId="12" w16cid:durableId="1232691637">
    <w:abstractNumId w:val="10"/>
  </w:num>
  <w:num w:numId="13" w16cid:durableId="355738451">
    <w:abstractNumId w:val="4"/>
  </w:num>
  <w:num w:numId="14" w16cid:durableId="1456757287">
    <w:abstractNumId w:val="13"/>
  </w:num>
  <w:num w:numId="15" w16cid:durableId="800080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A2"/>
    <w:rsid w:val="00002CDE"/>
    <w:rsid w:val="000335DB"/>
    <w:rsid w:val="000A2C21"/>
    <w:rsid w:val="000F1108"/>
    <w:rsid w:val="00140784"/>
    <w:rsid w:val="00153562"/>
    <w:rsid w:val="00185ABB"/>
    <w:rsid w:val="001A1ACA"/>
    <w:rsid w:val="001A48AB"/>
    <w:rsid w:val="00225807"/>
    <w:rsid w:val="00225D6B"/>
    <w:rsid w:val="002316BD"/>
    <w:rsid w:val="002758B1"/>
    <w:rsid w:val="002934EA"/>
    <w:rsid w:val="002B420F"/>
    <w:rsid w:val="002C3647"/>
    <w:rsid w:val="002F6330"/>
    <w:rsid w:val="002F733C"/>
    <w:rsid w:val="00303FD4"/>
    <w:rsid w:val="00332EEE"/>
    <w:rsid w:val="003643E2"/>
    <w:rsid w:val="00375E0B"/>
    <w:rsid w:val="00381D1E"/>
    <w:rsid w:val="003928A3"/>
    <w:rsid w:val="003D4705"/>
    <w:rsid w:val="003F026C"/>
    <w:rsid w:val="00414248"/>
    <w:rsid w:val="00450B16"/>
    <w:rsid w:val="0048226A"/>
    <w:rsid w:val="004860E8"/>
    <w:rsid w:val="00497F06"/>
    <w:rsid w:val="004F234A"/>
    <w:rsid w:val="00584FD1"/>
    <w:rsid w:val="005D6D64"/>
    <w:rsid w:val="005E6BD6"/>
    <w:rsid w:val="005F4A59"/>
    <w:rsid w:val="00630A47"/>
    <w:rsid w:val="00637374"/>
    <w:rsid w:val="00683E00"/>
    <w:rsid w:val="006C336E"/>
    <w:rsid w:val="006C4B77"/>
    <w:rsid w:val="006F4B02"/>
    <w:rsid w:val="006F5371"/>
    <w:rsid w:val="00745F98"/>
    <w:rsid w:val="007A35E3"/>
    <w:rsid w:val="007D7832"/>
    <w:rsid w:val="00855C95"/>
    <w:rsid w:val="008727C8"/>
    <w:rsid w:val="00882009"/>
    <w:rsid w:val="00885F63"/>
    <w:rsid w:val="008D0A7D"/>
    <w:rsid w:val="008E16BC"/>
    <w:rsid w:val="008E6FAF"/>
    <w:rsid w:val="00976788"/>
    <w:rsid w:val="009E01BA"/>
    <w:rsid w:val="009E7D16"/>
    <w:rsid w:val="00A64DB9"/>
    <w:rsid w:val="00AA2921"/>
    <w:rsid w:val="00AA51FC"/>
    <w:rsid w:val="00AC79D7"/>
    <w:rsid w:val="00AF7FBA"/>
    <w:rsid w:val="00B45820"/>
    <w:rsid w:val="00B55D86"/>
    <w:rsid w:val="00BB1D4B"/>
    <w:rsid w:val="00BB54FC"/>
    <w:rsid w:val="00C25563"/>
    <w:rsid w:val="00C33077"/>
    <w:rsid w:val="00C53A23"/>
    <w:rsid w:val="00C7406E"/>
    <w:rsid w:val="00C9402B"/>
    <w:rsid w:val="00C95745"/>
    <w:rsid w:val="00CD67E7"/>
    <w:rsid w:val="00CE5904"/>
    <w:rsid w:val="00D36EED"/>
    <w:rsid w:val="00D4452B"/>
    <w:rsid w:val="00D92974"/>
    <w:rsid w:val="00DB561D"/>
    <w:rsid w:val="00DE1B0E"/>
    <w:rsid w:val="00E22C92"/>
    <w:rsid w:val="00E3769B"/>
    <w:rsid w:val="00E55247"/>
    <w:rsid w:val="00E74463"/>
    <w:rsid w:val="00E917E7"/>
    <w:rsid w:val="00EE2C10"/>
    <w:rsid w:val="00EE66B6"/>
    <w:rsid w:val="00EE7CCA"/>
    <w:rsid w:val="00F16078"/>
    <w:rsid w:val="00F701DC"/>
    <w:rsid w:val="00F73F6D"/>
    <w:rsid w:val="00F757DB"/>
    <w:rsid w:val="00FB1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04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D86"/>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numbering" w:customStyle="1" w:styleId="Genummerdelijst1">
    <w:name w:val="Genummerde lijst1"/>
    <w:rsid w:val="00855C95"/>
    <w:pPr>
      <w:numPr>
        <w:numId w:val="9"/>
      </w:numPr>
    </w:pPr>
  </w:style>
  <w:style w:type="paragraph" w:styleId="Voetnoottekst">
    <w:name w:val="footnote text"/>
    <w:basedOn w:val="Standaard"/>
    <w:link w:val="VoetnoottekstChar"/>
    <w:uiPriority w:val="99"/>
    <w:semiHidden/>
    <w:unhideWhenUsed/>
    <w:rsid w:val="00855C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55C95"/>
    <w:rPr>
      <w:rFonts w:ascii="Verdana" w:hAnsi="Verdana"/>
      <w:color w:val="000000"/>
    </w:rPr>
  </w:style>
  <w:style w:type="character" w:styleId="Voetnootmarkering">
    <w:name w:val="footnote reference"/>
    <w:basedOn w:val="Standaardalinea-lettertype"/>
    <w:uiPriority w:val="99"/>
    <w:semiHidden/>
    <w:unhideWhenUsed/>
    <w:rsid w:val="00855C95"/>
    <w:rPr>
      <w:vertAlign w:val="superscript"/>
    </w:rPr>
  </w:style>
  <w:style w:type="character" w:styleId="Verwijzingopmerking">
    <w:name w:val="annotation reference"/>
    <w:basedOn w:val="Standaardalinea-lettertype"/>
    <w:uiPriority w:val="99"/>
    <w:semiHidden/>
    <w:unhideWhenUsed/>
    <w:rsid w:val="00332EEE"/>
    <w:rPr>
      <w:sz w:val="16"/>
      <w:szCs w:val="16"/>
    </w:rPr>
  </w:style>
  <w:style w:type="paragraph" w:styleId="Tekstopmerking">
    <w:name w:val="annotation text"/>
    <w:basedOn w:val="Standaard"/>
    <w:link w:val="TekstopmerkingChar"/>
    <w:uiPriority w:val="99"/>
    <w:unhideWhenUsed/>
    <w:rsid w:val="00332EEE"/>
    <w:pPr>
      <w:spacing w:line="240" w:lineRule="auto"/>
    </w:pPr>
    <w:rPr>
      <w:sz w:val="20"/>
      <w:szCs w:val="20"/>
    </w:rPr>
  </w:style>
  <w:style w:type="character" w:customStyle="1" w:styleId="TekstopmerkingChar">
    <w:name w:val="Tekst opmerking Char"/>
    <w:basedOn w:val="Standaardalinea-lettertype"/>
    <w:link w:val="Tekstopmerking"/>
    <w:uiPriority w:val="99"/>
    <w:rsid w:val="00332E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32EEE"/>
    <w:rPr>
      <w:b/>
      <w:bCs/>
    </w:rPr>
  </w:style>
  <w:style w:type="character" w:customStyle="1" w:styleId="OnderwerpvanopmerkingChar">
    <w:name w:val="Onderwerp van opmerking Char"/>
    <w:basedOn w:val="TekstopmerkingChar"/>
    <w:link w:val="Onderwerpvanopmerking"/>
    <w:uiPriority w:val="99"/>
    <w:semiHidden/>
    <w:rsid w:val="00332EE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3071">
      <w:bodyDiv w:val="1"/>
      <w:marLeft w:val="0"/>
      <w:marRight w:val="0"/>
      <w:marTop w:val="0"/>
      <w:marBottom w:val="0"/>
      <w:divBdr>
        <w:top w:val="none" w:sz="0" w:space="0" w:color="auto"/>
        <w:left w:val="none" w:sz="0" w:space="0" w:color="auto"/>
        <w:bottom w:val="none" w:sz="0" w:space="0" w:color="auto"/>
        <w:right w:val="none" w:sz="0" w:space="0" w:color="auto"/>
      </w:divBdr>
    </w:div>
    <w:div w:id="138170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586</ap:Words>
  <ap:Characters>3225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Kamer - Casus buitenlandse vorderingen SVB door incassobureau</vt:lpstr>
    </vt:vector>
  </ap:TitlesOfParts>
  <ap:LinksUpToDate>false</ap:LinksUpToDate>
  <ap:CharactersWithSpaces>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2026-04-16T14:54:00.0000000Z</dcterms:created>
  <dcterms:modified xsi:type="dcterms:W3CDTF">2026-04-16T14:54:00.0000000Z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Casus buitenlandse vorderingen SVB en DUO door incassobureau</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M.T.C. van Ingen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Casus buitenlandse vorderingen SVB en DUO door incassobureau</vt:lpwstr>
  </property>
  <property fmtid="{D5CDD505-2E9C-101B-9397-08002B2CF9AE}" pid="36" name="iOnsKenmerk">
    <vt:lpwstr>2026-0000101114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