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220" w:rsidRDefault="00066220" w14:paraId="2872C9A1" w14:textId="77777777"/>
    <w:p w:rsidR="00A45CBC" w:rsidP="00A45CBC" w:rsidRDefault="00A45CBC" w14:paraId="55E7F3F6" w14:textId="4C908924">
      <w:pPr>
        <w:pStyle w:val="WitregelW1bodytekst"/>
      </w:pPr>
      <w:r w:rsidRPr="00A45CBC">
        <w:t>Op 15 april 2026 vond de behandeling in uw Kamer plaats van het wetsvoorstel invoering rechtsvermoeden van arbeidsovereenkomst op basis van uurtarief. Dit wetsvoorstel stond voorheen bekend als het wetsvoorstel Verduidelijking beoordeling arbeidsrelaties en rechtsvermoeden (VBAR). Op 10 maart 2026 heb ik een nota van wijziging op dit wetsvoorstel ingediend, waarmee het verduidelijkingsdeel is komen te vervallen en het wetsvoorstel enkel nog ziet op het onderdeel dat bekend staat als het rechtsvermoeden.</w:t>
      </w:r>
      <w:r w:rsidRPr="00A45CBC">
        <w:rPr>
          <w:vertAlign w:val="superscript"/>
        </w:rPr>
        <w:footnoteReference w:id="1"/>
      </w:r>
      <w:r w:rsidRPr="00A45CBC">
        <w:t xml:space="preserve"> Deze wijziging was de aanleiding voor het lid </w:t>
      </w:r>
      <w:proofErr w:type="spellStart"/>
      <w:r w:rsidRPr="00A45CBC">
        <w:t>Patijn</w:t>
      </w:r>
      <w:proofErr w:type="spellEnd"/>
      <w:r w:rsidRPr="00A45CBC">
        <w:t xml:space="preserve"> te vragen welke onderdelen van de Memorie van toelichting bij het wetsvoorstel nog relevant zijn. Met deze brief </w:t>
      </w:r>
      <w:r>
        <w:t>reageer</w:t>
      </w:r>
      <w:r w:rsidRPr="00A45CBC">
        <w:t xml:space="preserve"> op dit verzoek. </w:t>
      </w:r>
      <w:r w:rsidRPr="00A45CBC">
        <w:br/>
      </w:r>
      <w:r w:rsidRPr="00A45CBC">
        <w:br/>
        <w:t>De memorie van toelichting bij een wetsvoorstel wordt niet gewijzigd, ook niet bij een ingrijpende wijziging van een wetsvoorstel, zoals heeft plaatsgevonden met het vervallen van het verduidelijkingsonderdeel.</w:t>
      </w:r>
      <w:r w:rsidRPr="00A45CBC">
        <w:rPr>
          <w:vertAlign w:val="superscript"/>
        </w:rPr>
        <w:footnoteReference w:id="2"/>
      </w:r>
      <w:r w:rsidRPr="00A45CBC">
        <w:t xml:space="preserve"> Dit </w:t>
      </w:r>
      <w:r>
        <w:t>maakt</w:t>
      </w:r>
      <w:r w:rsidRPr="00A45CBC">
        <w:t xml:space="preserve"> dat het enig zoekwerk verreist om na te gaan welke delen van de toelichting nog relevant zijn; deze brief </w:t>
      </w:r>
      <w:r>
        <w:t>helpt</w:t>
      </w:r>
      <w:r w:rsidRPr="00A45CBC">
        <w:t xml:space="preserve"> bij deze zoektocht. </w:t>
      </w:r>
    </w:p>
    <w:p w:rsidRPr="00A45CBC" w:rsidR="00A45CBC" w:rsidP="00A45CBC" w:rsidRDefault="00A45CBC" w14:paraId="6F4B097F" w14:textId="77777777"/>
    <w:p w:rsidRPr="00A45CBC" w:rsidR="00A45CBC" w:rsidP="00A45CBC" w:rsidRDefault="00A45CBC" w14:paraId="3E86FDE8" w14:textId="1BECC824">
      <w:pPr>
        <w:pStyle w:val="WitregelW1bodytekst"/>
      </w:pPr>
      <w:r w:rsidRPr="00A45CBC">
        <w:t xml:space="preserve">Hoofdstuk 1 biedt een overzicht van de aanleiding voor het wetsvoorstel zoals dat is ingediend. Hierin wordt de probleemstelling rond schijnzelfstandigheid en de noodzaak voor het wetsvoorstel beschreven. Dit hoofdstuk is met het oog op het rechtsvermoeden relevant, maar toont daarnaast aan dat het belangrijk is om met wetgeving te komen die duidelijker maakt wanneer iemand werknemer is </w:t>
      </w:r>
      <w:r>
        <w:t>of niet</w:t>
      </w:r>
      <w:r w:rsidRPr="00A45CBC">
        <w:t xml:space="preserve"> en waarom eerdere wetgeving dit nog onvoldoende heeft bereikt. Het kabinet gaat dan ook aan de slag met de Zelfstandigenwet om ervoor te zorgen dat zelfstandigen en opdrachtgevers vooraf meer duidelijkheid hebben wanneer iemand geen werknemer is en dus als zzp’er kan worden ingehuurd, en tegelijkertijd </w:t>
      </w:r>
      <w:r w:rsidR="00557E18">
        <w:t xml:space="preserve">om </w:t>
      </w:r>
      <w:r w:rsidRPr="00A45CBC">
        <w:t>vast te leggen welke verantwoordelijkheden bij die zelfstandige horen. Op die manier blijft het kabinet aan de slag met verduidelijking en zet het de zelfstandige centraal. Uiteraard zal er ook oog blijven voor de werkenden in een kwetsbare positie, zoals de gedwongen (schijn)zelfstandigen.</w:t>
      </w:r>
    </w:p>
    <w:p w:rsidR="00A45CBC" w:rsidP="00A45CBC" w:rsidRDefault="00A45CBC" w14:paraId="3EC7C765" w14:textId="22174298">
      <w:pPr>
        <w:pStyle w:val="WitregelW1bodytekst"/>
      </w:pPr>
      <w:r w:rsidRPr="00A45CBC">
        <w:lastRenderedPageBreak/>
        <w:t xml:space="preserve">In de verdere hoofdstukken van de Memorie van toelichting is steeds aangegeven op welk deel van het wetsvoorstel de tekst betrekking heeft; voor zover dit niet is uitgesplitst, heeft het op beide onderwerpen betrekking en is de tekst daarmee ook relevant voor het rechtsvermoeden. </w:t>
      </w:r>
    </w:p>
    <w:p w:rsidR="00A45CBC" w:rsidP="00A45CBC" w:rsidRDefault="00A45CBC" w14:paraId="6C70C995" w14:textId="75B01CE2">
      <w:pPr>
        <w:pStyle w:val="WitregelW1bodytekst"/>
        <w:numPr>
          <w:ilvl w:val="0"/>
          <w:numId w:val="9"/>
        </w:numPr>
      </w:pPr>
      <w:r>
        <w:t>Hoofdstuk</w:t>
      </w:r>
      <w:r w:rsidRPr="00A45CBC">
        <w:t xml:space="preserve"> 2 </w:t>
      </w:r>
      <w:r>
        <w:t>gaat in</w:t>
      </w:r>
      <w:r w:rsidRPr="00A45CBC">
        <w:t xml:space="preserve"> op de hoofddoelen van het wetsvoorstel. Daarbij </w:t>
      </w:r>
      <w:r>
        <w:t>gaan</w:t>
      </w:r>
      <w:r w:rsidRPr="00A45CBC">
        <w:t xml:space="preserve"> de paragrafen 2.1.5 en 2.3.3 specifiek in op het doel, de doeltreffendheid, en de doelmatigheid van het rechtsvermoeden. </w:t>
      </w:r>
    </w:p>
    <w:p w:rsidR="00A45CBC" w:rsidP="00A45CBC" w:rsidRDefault="00A45CBC" w14:paraId="7E51B0BB" w14:textId="77777777">
      <w:pPr>
        <w:pStyle w:val="WitregelW1bodytekst"/>
        <w:numPr>
          <w:ilvl w:val="0"/>
          <w:numId w:val="9"/>
        </w:numPr>
      </w:pPr>
      <w:r w:rsidRPr="00A45CBC">
        <w:t>Hoofdstuk 3 van het wetsvoorstel ziet specifiek op het verduidelijkingsdeel dat is komen te vervallen</w:t>
      </w:r>
      <w:r>
        <w:t>.</w:t>
      </w:r>
      <w:r w:rsidRPr="00A45CBC">
        <w:t xml:space="preserve"> </w:t>
      </w:r>
    </w:p>
    <w:p w:rsidR="00A45CBC" w:rsidP="00A45CBC" w:rsidRDefault="00A45CBC" w14:paraId="492892E4" w14:textId="77777777">
      <w:pPr>
        <w:pStyle w:val="WitregelW1bodytekst"/>
        <w:numPr>
          <w:ilvl w:val="0"/>
          <w:numId w:val="9"/>
        </w:numPr>
      </w:pPr>
      <w:r>
        <w:t>H</w:t>
      </w:r>
      <w:r w:rsidRPr="00A45CBC">
        <w:t xml:space="preserve">oofdstuk 4 ziet specifiek op de verschillende aspecten van het rechtsvermoeden. </w:t>
      </w:r>
    </w:p>
    <w:p w:rsidR="00A45CBC" w:rsidP="00A45CBC" w:rsidRDefault="00A45CBC" w14:paraId="0A4A3C01" w14:textId="77777777">
      <w:pPr>
        <w:pStyle w:val="WitregelW1bodytekst"/>
        <w:numPr>
          <w:ilvl w:val="0"/>
          <w:numId w:val="9"/>
        </w:numPr>
      </w:pPr>
      <w:r>
        <w:t>H</w:t>
      </w:r>
      <w:r w:rsidRPr="00A45CBC">
        <w:t xml:space="preserve">oofdstuk 5 </w:t>
      </w:r>
      <w:r>
        <w:t>gaat</w:t>
      </w:r>
      <w:r w:rsidRPr="00A45CBC">
        <w:t xml:space="preserve"> in op de gevolgen van het wetsvoorstel, waarbij in de paragrafen 5.1.1.3 en 5.2.3 specifiek wordt ingegaan op de gevolgen van het rechtsvermoeden voor de werkende en </w:t>
      </w:r>
      <w:proofErr w:type="spellStart"/>
      <w:r w:rsidRPr="00A45CBC">
        <w:t>werkgevende</w:t>
      </w:r>
      <w:proofErr w:type="spellEnd"/>
      <w:r w:rsidRPr="00A45CBC">
        <w:t xml:space="preserve">, en in paragraaf 5.3.2 op de arbeidsmarkteffecten het rechtsvermoeden. De regeldruk van het rechtsvermoeden wordt behandeld in artikel 5.5.2. In paragraaf 5.7 wordt onder meer specifiek ingegaan op de MKB-toets voor wat betreft het rechtsvermoeden. </w:t>
      </w:r>
    </w:p>
    <w:p w:rsidR="00A45CBC" w:rsidP="00A45CBC" w:rsidRDefault="00A45CBC" w14:paraId="649C1F36" w14:textId="77777777">
      <w:pPr>
        <w:pStyle w:val="WitregelW1bodytekst"/>
        <w:numPr>
          <w:ilvl w:val="0"/>
          <w:numId w:val="9"/>
        </w:numPr>
      </w:pPr>
      <w:r>
        <w:t>H</w:t>
      </w:r>
      <w:r w:rsidRPr="00A45CBC">
        <w:t xml:space="preserve">oofdstuk 7 </w:t>
      </w:r>
      <w:r>
        <w:t>gaat</w:t>
      </w:r>
      <w:r w:rsidRPr="00A45CBC">
        <w:t xml:space="preserve"> in op de internetconsultatie, waarbij onder het kopje ‘rechtsvermoeden’ specifiek op dat onderdeel wordt ingegaan. </w:t>
      </w:r>
    </w:p>
    <w:p w:rsidR="00A45CBC" w:rsidP="00A45CBC" w:rsidRDefault="00A45CBC" w14:paraId="4C141B38" w14:textId="29EB55FA">
      <w:pPr>
        <w:pStyle w:val="WitregelW1bodytekst"/>
        <w:numPr>
          <w:ilvl w:val="0"/>
          <w:numId w:val="9"/>
        </w:numPr>
      </w:pPr>
      <w:r>
        <w:t>H</w:t>
      </w:r>
      <w:r w:rsidRPr="00A45CBC">
        <w:t xml:space="preserve">oofdstuk 8 </w:t>
      </w:r>
      <w:r>
        <w:t>gaat</w:t>
      </w:r>
      <w:r w:rsidRPr="00A45CBC">
        <w:t xml:space="preserve"> in op de inwerkingtreding, </w:t>
      </w:r>
      <w:r>
        <w:t xml:space="preserve">waarbij </w:t>
      </w:r>
      <w:r w:rsidRPr="00A45CBC">
        <w:t xml:space="preserve">paragraaf 8.2 ziet op de </w:t>
      </w:r>
      <w:r w:rsidRPr="00A45CBC" w:rsidR="00C5097E">
        <w:t>onmiddellijke</w:t>
      </w:r>
      <w:r w:rsidRPr="00A45CBC">
        <w:t xml:space="preserve"> inwerkingtreding van het onderdeel rechtsvermoeden. </w:t>
      </w:r>
    </w:p>
    <w:p w:rsidRPr="00A45CBC" w:rsidR="00A45CBC" w:rsidP="00A45CBC" w:rsidRDefault="00A45CBC" w14:paraId="5BC78971" w14:textId="0FB340BB">
      <w:pPr>
        <w:pStyle w:val="WitregelW1bodytekst"/>
        <w:numPr>
          <w:ilvl w:val="0"/>
          <w:numId w:val="9"/>
        </w:numPr>
      </w:pPr>
      <w:r>
        <w:t>A</w:t>
      </w:r>
      <w:r w:rsidRPr="00A45CBC">
        <w:t>rtikel I, onderdeel B,</w:t>
      </w:r>
      <w:r>
        <w:t xml:space="preserve"> van de artikelsgewijze toelichting ziet</w:t>
      </w:r>
      <w:r w:rsidRPr="00A45CBC">
        <w:t xml:space="preserve"> op het rechtsvermoeden. </w:t>
      </w:r>
    </w:p>
    <w:p w:rsidR="00066220" w:rsidRDefault="00066220" w14:paraId="6B7B2302" w14:textId="77777777">
      <w:pPr>
        <w:pStyle w:val="WitregelW1bodytekst"/>
      </w:pPr>
    </w:p>
    <w:p w:rsidRPr="00A45CBC" w:rsidR="00A45CBC" w:rsidP="00A45CBC" w:rsidRDefault="00A45CBC" w14:paraId="4783B082" w14:textId="77777777"/>
    <w:p w:rsidR="00066220" w:rsidRDefault="00C5097E" w14:paraId="6DFB0367" w14:textId="77777777">
      <w:r>
        <w:t>De Minister van Werk en Participatie,</w:t>
      </w:r>
    </w:p>
    <w:p w:rsidR="00066220" w:rsidRDefault="00066220" w14:paraId="51BE740A" w14:textId="77777777"/>
    <w:p w:rsidR="00066220" w:rsidRDefault="00066220" w14:paraId="12767396" w14:textId="77777777"/>
    <w:p w:rsidR="00066220" w:rsidRDefault="00066220" w14:paraId="653CEDB3" w14:textId="77777777"/>
    <w:p w:rsidR="00066220" w:rsidRDefault="00066220" w14:paraId="6D77CC4F" w14:textId="77777777"/>
    <w:p w:rsidR="00066220" w:rsidRDefault="00066220" w14:paraId="27E5DC33" w14:textId="77777777"/>
    <w:p w:rsidR="00066220" w:rsidRDefault="00C5097E" w14:paraId="383D60C7" w14:textId="77777777">
      <w:r>
        <w:t>A.A. Aartsen</w:t>
      </w:r>
    </w:p>
    <w:sectPr w:rsidR="0006622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60C1" w14:textId="77777777" w:rsidR="005237C1" w:rsidRDefault="005237C1">
      <w:pPr>
        <w:spacing w:line="240" w:lineRule="auto"/>
      </w:pPr>
      <w:r>
        <w:separator/>
      </w:r>
    </w:p>
  </w:endnote>
  <w:endnote w:type="continuationSeparator" w:id="0">
    <w:p w14:paraId="4AE5FB33" w14:textId="77777777" w:rsidR="005237C1" w:rsidRDefault="00523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86DB" w14:textId="77777777" w:rsidR="00366AE4" w:rsidRDefault="00366A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21F7" w14:textId="77777777" w:rsidR="00366AE4" w:rsidRDefault="00366A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7E01" w14:textId="77777777" w:rsidR="00366AE4" w:rsidRDefault="00366A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8F76" w14:textId="77777777" w:rsidR="005237C1" w:rsidRDefault="005237C1">
      <w:pPr>
        <w:spacing w:line="240" w:lineRule="auto"/>
      </w:pPr>
      <w:r>
        <w:separator/>
      </w:r>
    </w:p>
  </w:footnote>
  <w:footnote w:type="continuationSeparator" w:id="0">
    <w:p w14:paraId="6FB691D3" w14:textId="77777777" w:rsidR="005237C1" w:rsidRDefault="005237C1">
      <w:pPr>
        <w:spacing w:line="240" w:lineRule="auto"/>
      </w:pPr>
      <w:r>
        <w:continuationSeparator/>
      </w:r>
    </w:p>
  </w:footnote>
  <w:footnote w:id="1">
    <w:p w14:paraId="10F09DED" w14:textId="77777777" w:rsidR="00A45CBC" w:rsidRDefault="00A45CBC" w:rsidP="00A45CBC">
      <w:pPr>
        <w:pStyle w:val="Voetnoottekst"/>
      </w:pPr>
      <w:r>
        <w:rPr>
          <w:rStyle w:val="Voetnootmarkering"/>
        </w:rPr>
        <w:footnoteRef/>
      </w:r>
      <w:r>
        <w:t xml:space="preserve"> Kamerstukken II, 2025/26</w:t>
      </w:r>
      <w:r w:rsidRPr="00C124E7">
        <w:t>, 36 783, nr. 6</w:t>
      </w:r>
      <w:r>
        <w:t>.</w:t>
      </w:r>
    </w:p>
  </w:footnote>
  <w:footnote w:id="2">
    <w:p w14:paraId="79E759D2" w14:textId="77777777" w:rsidR="00A45CBC" w:rsidRDefault="00A45CBC" w:rsidP="00A45CBC">
      <w:pPr>
        <w:pStyle w:val="Voetnoottekst"/>
      </w:pPr>
      <w:r>
        <w:rPr>
          <w:rStyle w:val="Voetnootmarkering"/>
        </w:rPr>
        <w:footnoteRef/>
      </w:r>
      <w:r>
        <w:t xml:space="preserve"> Verwezen zij naar de brief van de Minister van Justitie, Kamerstukken II, 2006/07</w:t>
      </w:r>
      <w:r w:rsidRPr="00D17422">
        <w:t>, 30 800 VI en 30 800 III, nr. 81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663C" w14:textId="77777777" w:rsidR="00366AE4" w:rsidRDefault="00366A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8176" w14:textId="77777777" w:rsidR="00066220" w:rsidRDefault="00C5097E">
    <w:r>
      <w:rPr>
        <w:noProof/>
      </w:rPr>
      <mc:AlternateContent>
        <mc:Choice Requires="wps">
          <w:drawing>
            <wp:anchor distT="0" distB="0" distL="0" distR="0" simplePos="0" relativeHeight="251654144" behindDoc="0" locked="1" layoutInCell="1" allowOverlap="1" wp14:anchorId="05B3F179" wp14:editId="63435099">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C939F54" w14:textId="77777777" w:rsidR="00066220" w:rsidRDefault="00C5097E">
                          <w:pPr>
                            <w:pStyle w:val="Referentiegegevenskopjes"/>
                          </w:pPr>
                          <w:r>
                            <w:t>Datum</w:t>
                          </w:r>
                        </w:p>
                        <w:p w14:paraId="791FB440" w14:textId="401FA67F" w:rsidR="00A60EA5" w:rsidRDefault="00904139">
                          <w:pPr>
                            <w:pStyle w:val="Referentiegegevens"/>
                          </w:pPr>
                          <w:r>
                            <w:t>16-04-2026</w:t>
                          </w:r>
                          <w:r w:rsidR="001545E3">
                            <w:fldChar w:fldCharType="begin"/>
                          </w:r>
                          <w:r w:rsidR="001545E3">
                            <w:instrText xml:space="preserve"> DOCPROPERTY  "iDatum"  \* MERGEFORMAT </w:instrText>
                          </w:r>
                          <w:r w:rsidR="001545E3">
                            <w:fldChar w:fldCharType="end"/>
                          </w:r>
                        </w:p>
                        <w:p w14:paraId="1A119B7A" w14:textId="77777777" w:rsidR="00066220" w:rsidRDefault="00066220">
                          <w:pPr>
                            <w:pStyle w:val="WitregelW1"/>
                          </w:pPr>
                        </w:p>
                        <w:p w14:paraId="308656F0" w14:textId="77777777" w:rsidR="00066220" w:rsidRDefault="00C5097E">
                          <w:pPr>
                            <w:pStyle w:val="Referentiegegevenskopjes"/>
                          </w:pPr>
                          <w:r>
                            <w:t>Onze referentie</w:t>
                          </w:r>
                        </w:p>
                        <w:p w14:paraId="5052E486" w14:textId="42B3CE8F" w:rsidR="00A60EA5" w:rsidRDefault="001545E3">
                          <w:pPr>
                            <w:pStyle w:val="ReferentiegegevensHL"/>
                          </w:pPr>
                          <w:r>
                            <w:fldChar w:fldCharType="begin"/>
                          </w:r>
                          <w:r>
                            <w:instrText xml:space="preserve"> DOCPROPERTY  "iOnsKenmerk"  \* MERGEFORMAT </w:instrText>
                          </w:r>
                          <w:r>
                            <w:fldChar w:fldCharType="separate"/>
                          </w:r>
                          <w:r w:rsidR="00366AE4">
                            <w:t>2026-0000123255</w:t>
                          </w:r>
                          <w:r>
                            <w:fldChar w:fldCharType="end"/>
                          </w:r>
                        </w:p>
                      </w:txbxContent>
                    </wps:txbx>
                    <wps:bodyPr vert="horz" wrap="square" lIns="0" tIns="0" rIns="0" bIns="0" anchor="t" anchorCtr="0"/>
                  </wps:wsp>
                </a:graphicData>
              </a:graphic>
            </wp:anchor>
          </w:drawing>
        </mc:Choice>
        <mc:Fallback>
          <w:pict>
            <v:shapetype w14:anchorId="05B3F17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C939F54" w14:textId="77777777" w:rsidR="00066220" w:rsidRDefault="00C5097E">
                    <w:pPr>
                      <w:pStyle w:val="Referentiegegevenskopjes"/>
                    </w:pPr>
                    <w:r>
                      <w:t>Datum</w:t>
                    </w:r>
                  </w:p>
                  <w:p w14:paraId="791FB440" w14:textId="401FA67F" w:rsidR="00A60EA5" w:rsidRDefault="00904139">
                    <w:pPr>
                      <w:pStyle w:val="Referentiegegevens"/>
                    </w:pPr>
                    <w:r>
                      <w:t>16-04-2026</w:t>
                    </w:r>
                    <w:r w:rsidR="001545E3">
                      <w:fldChar w:fldCharType="begin"/>
                    </w:r>
                    <w:r w:rsidR="001545E3">
                      <w:instrText xml:space="preserve"> DOCPROPERTY  "iDatum"  \* MERGEFORMAT </w:instrText>
                    </w:r>
                    <w:r w:rsidR="001545E3">
                      <w:fldChar w:fldCharType="end"/>
                    </w:r>
                  </w:p>
                  <w:p w14:paraId="1A119B7A" w14:textId="77777777" w:rsidR="00066220" w:rsidRDefault="00066220">
                    <w:pPr>
                      <w:pStyle w:val="WitregelW1"/>
                    </w:pPr>
                  </w:p>
                  <w:p w14:paraId="308656F0" w14:textId="77777777" w:rsidR="00066220" w:rsidRDefault="00C5097E">
                    <w:pPr>
                      <w:pStyle w:val="Referentiegegevenskopjes"/>
                    </w:pPr>
                    <w:r>
                      <w:t>Onze referentie</w:t>
                    </w:r>
                  </w:p>
                  <w:p w14:paraId="5052E486" w14:textId="42B3CE8F" w:rsidR="00A60EA5" w:rsidRDefault="001545E3">
                    <w:pPr>
                      <w:pStyle w:val="ReferentiegegevensHL"/>
                    </w:pPr>
                    <w:r>
                      <w:fldChar w:fldCharType="begin"/>
                    </w:r>
                    <w:r>
                      <w:instrText xml:space="preserve"> DOCPROPERTY  "iOnsKenmerk"  \* MERGEFORMAT </w:instrText>
                    </w:r>
                    <w:r>
                      <w:fldChar w:fldCharType="separate"/>
                    </w:r>
                    <w:r w:rsidR="00366AE4">
                      <w:t>2026-0000123255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877ECC7" wp14:editId="1BC3570D">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E950B5" w14:textId="77777777" w:rsidR="00A60EA5" w:rsidRDefault="001545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77ECC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9E950B5" w14:textId="77777777" w:rsidR="00A60EA5" w:rsidRDefault="001545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96FB" w14:textId="77777777" w:rsidR="00066220" w:rsidRDefault="00C5097E">
    <w:pPr>
      <w:spacing w:after="7029" w:line="14" w:lineRule="exact"/>
    </w:pPr>
    <w:r>
      <w:rPr>
        <w:noProof/>
      </w:rPr>
      <mc:AlternateContent>
        <mc:Choice Requires="wps">
          <w:drawing>
            <wp:anchor distT="0" distB="0" distL="0" distR="0" simplePos="0" relativeHeight="251656192" behindDoc="0" locked="1" layoutInCell="1" allowOverlap="1" wp14:anchorId="2FEF4F83" wp14:editId="0ACA1A8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FB5AC8" w14:textId="77777777" w:rsidR="00066220" w:rsidRDefault="00C5097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EF4F8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BFB5AC8" w14:textId="77777777" w:rsidR="00066220" w:rsidRDefault="00C5097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667660A" wp14:editId="47C23053">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F9636AD" w14:textId="77777777" w:rsidR="00066220" w:rsidRPr="00904139" w:rsidRDefault="00C5097E">
                          <w:pPr>
                            <w:pStyle w:val="Afzendgegevens"/>
                            <w:rPr>
                              <w:lang w:val="de-DE"/>
                            </w:rPr>
                          </w:pPr>
                          <w:r w:rsidRPr="00904139">
                            <w:rPr>
                              <w:lang w:val="de-DE"/>
                            </w:rPr>
                            <w:t>Postbus 90801</w:t>
                          </w:r>
                        </w:p>
                        <w:p w14:paraId="10BC326A" w14:textId="6D1F871D" w:rsidR="00066220" w:rsidRPr="00904139" w:rsidRDefault="00C5097E">
                          <w:pPr>
                            <w:pStyle w:val="Afzendgegevens"/>
                            <w:rPr>
                              <w:lang w:val="de-DE"/>
                            </w:rPr>
                          </w:pPr>
                          <w:r w:rsidRPr="00904139">
                            <w:rPr>
                              <w:lang w:val="de-DE"/>
                            </w:rPr>
                            <w:t>2509 LV Den Haag</w:t>
                          </w:r>
                        </w:p>
                        <w:p w14:paraId="1EE6BC64" w14:textId="77777777" w:rsidR="00066220" w:rsidRPr="00904139" w:rsidRDefault="00C5097E">
                          <w:pPr>
                            <w:pStyle w:val="Afzendgegevens"/>
                            <w:rPr>
                              <w:lang w:val="de-DE"/>
                            </w:rPr>
                          </w:pPr>
                          <w:r w:rsidRPr="00904139">
                            <w:rPr>
                              <w:lang w:val="de-DE"/>
                            </w:rPr>
                            <w:t>T   070 333 44 44</w:t>
                          </w:r>
                        </w:p>
                        <w:p w14:paraId="14D5FE6E" w14:textId="77777777" w:rsidR="00066220" w:rsidRPr="00904139" w:rsidRDefault="00066220">
                          <w:pPr>
                            <w:pStyle w:val="WitregelW2"/>
                            <w:rPr>
                              <w:lang w:val="de-DE"/>
                            </w:rPr>
                          </w:pPr>
                        </w:p>
                        <w:p w14:paraId="708E7AFB" w14:textId="77777777" w:rsidR="00066220" w:rsidRDefault="00C5097E">
                          <w:pPr>
                            <w:pStyle w:val="Referentiegegevenskopjes"/>
                          </w:pPr>
                          <w:r>
                            <w:t>Onze referentie</w:t>
                          </w:r>
                        </w:p>
                        <w:p w14:paraId="496F2D0A" w14:textId="5ED5CFC2" w:rsidR="00A60EA5" w:rsidRDefault="001545E3">
                          <w:pPr>
                            <w:pStyle w:val="ReferentiegegevensHL"/>
                          </w:pPr>
                          <w:r>
                            <w:fldChar w:fldCharType="begin"/>
                          </w:r>
                          <w:r>
                            <w:instrText xml:space="preserve"> DOCPROPERTY  "iOnsKenmerk"  \* MERGEFORMAT </w:instrText>
                          </w:r>
                          <w:r>
                            <w:fldChar w:fldCharType="separate"/>
                          </w:r>
                          <w:r w:rsidR="00366AE4">
                            <w:t>2026-0000123255</w:t>
                          </w:r>
                          <w:r>
                            <w:fldChar w:fldCharType="end"/>
                          </w:r>
                        </w:p>
                        <w:p w14:paraId="114D0DB9" w14:textId="77777777" w:rsidR="00066220" w:rsidRDefault="00066220">
                          <w:pPr>
                            <w:pStyle w:val="WitregelW1"/>
                          </w:pPr>
                        </w:p>
                        <w:p w14:paraId="491FAB34" w14:textId="75A91A17" w:rsidR="00A60EA5" w:rsidRDefault="001545E3">
                          <w:pPr>
                            <w:pStyle w:val="Referentiegegevens"/>
                          </w:pPr>
                          <w:r>
                            <w:fldChar w:fldCharType="begin"/>
                          </w:r>
                          <w:r>
                            <w:instrText xml:space="preserve"> DOCPROPERTY  "iCC"  \* MERGEFORMAT </w:instrText>
                          </w:r>
                          <w:r>
                            <w:fldChar w:fldCharType="end"/>
                          </w:r>
                        </w:p>
                        <w:p w14:paraId="26608071" w14:textId="77777777" w:rsidR="00066220" w:rsidRDefault="00066220">
                          <w:pPr>
                            <w:pStyle w:val="WitregelW1"/>
                          </w:pPr>
                        </w:p>
                        <w:p w14:paraId="5EF7CA2C" w14:textId="0160CF4E" w:rsidR="00A60EA5" w:rsidRDefault="001545E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667660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F9636AD" w14:textId="77777777" w:rsidR="00066220" w:rsidRPr="00904139" w:rsidRDefault="00C5097E">
                    <w:pPr>
                      <w:pStyle w:val="Afzendgegevens"/>
                      <w:rPr>
                        <w:lang w:val="de-DE"/>
                      </w:rPr>
                    </w:pPr>
                    <w:r w:rsidRPr="00904139">
                      <w:rPr>
                        <w:lang w:val="de-DE"/>
                      </w:rPr>
                      <w:t>Postbus 90801</w:t>
                    </w:r>
                  </w:p>
                  <w:p w14:paraId="10BC326A" w14:textId="6D1F871D" w:rsidR="00066220" w:rsidRPr="00904139" w:rsidRDefault="00C5097E">
                    <w:pPr>
                      <w:pStyle w:val="Afzendgegevens"/>
                      <w:rPr>
                        <w:lang w:val="de-DE"/>
                      </w:rPr>
                    </w:pPr>
                    <w:r w:rsidRPr="00904139">
                      <w:rPr>
                        <w:lang w:val="de-DE"/>
                      </w:rPr>
                      <w:t>2509 LV Den Haag</w:t>
                    </w:r>
                  </w:p>
                  <w:p w14:paraId="1EE6BC64" w14:textId="77777777" w:rsidR="00066220" w:rsidRPr="00904139" w:rsidRDefault="00C5097E">
                    <w:pPr>
                      <w:pStyle w:val="Afzendgegevens"/>
                      <w:rPr>
                        <w:lang w:val="de-DE"/>
                      </w:rPr>
                    </w:pPr>
                    <w:r w:rsidRPr="00904139">
                      <w:rPr>
                        <w:lang w:val="de-DE"/>
                      </w:rPr>
                      <w:t>T   070 333 44 44</w:t>
                    </w:r>
                  </w:p>
                  <w:p w14:paraId="14D5FE6E" w14:textId="77777777" w:rsidR="00066220" w:rsidRPr="00904139" w:rsidRDefault="00066220">
                    <w:pPr>
                      <w:pStyle w:val="WitregelW2"/>
                      <w:rPr>
                        <w:lang w:val="de-DE"/>
                      </w:rPr>
                    </w:pPr>
                  </w:p>
                  <w:p w14:paraId="708E7AFB" w14:textId="77777777" w:rsidR="00066220" w:rsidRDefault="00C5097E">
                    <w:pPr>
                      <w:pStyle w:val="Referentiegegevenskopjes"/>
                    </w:pPr>
                    <w:r>
                      <w:t>Onze referentie</w:t>
                    </w:r>
                  </w:p>
                  <w:p w14:paraId="496F2D0A" w14:textId="5ED5CFC2" w:rsidR="00A60EA5" w:rsidRDefault="001545E3">
                    <w:pPr>
                      <w:pStyle w:val="ReferentiegegevensHL"/>
                    </w:pPr>
                    <w:r>
                      <w:fldChar w:fldCharType="begin"/>
                    </w:r>
                    <w:r>
                      <w:instrText xml:space="preserve"> DOCPROPERTY  "iOnsKenmerk"  \* MERGEFORMAT </w:instrText>
                    </w:r>
                    <w:r>
                      <w:fldChar w:fldCharType="separate"/>
                    </w:r>
                    <w:r w:rsidR="00366AE4">
                      <w:t>2026-0000123255</w:t>
                    </w:r>
                    <w:r>
                      <w:fldChar w:fldCharType="end"/>
                    </w:r>
                  </w:p>
                  <w:p w14:paraId="114D0DB9" w14:textId="77777777" w:rsidR="00066220" w:rsidRDefault="00066220">
                    <w:pPr>
                      <w:pStyle w:val="WitregelW1"/>
                    </w:pPr>
                  </w:p>
                  <w:p w14:paraId="491FAB34" w14:textId="75A91A17" w:rsidR="00A60EA5" w:rsidRDefault="001545E3">
                    <w:pPr>
                      <w:pStyle w:val="Referentiegegevens"/>
                    </w:pPr>
                    <w:r>
                      <w:fldChar w:fldCharType="begin"/>
                    </w:r>
                    <w:r>
                      <w:instrText xml:space="preserve"> DOCPROPERTY  "iCC"  \* MERGEFORMAT </w:instrText>
                    </w:r>
                    <w:r>
                      <w:fldChar w:fldCharType="end"/>
                    </w:r>
                  </w:p>
                  <w:p w14:paraId="26608071" w14:textId="77777777" w:rsidR="00066220" w:rsidRDefault="00066220">
                    <w:pPr>
                      <w:pStyle w:val="WitregelW1"/>
                    </w:pPr>
                  </w:p>
                  <w:p w14:paraId="5EF7CA2C" w14:textId="0160CF4E" w:rsidR="00A60EA5" w:rsidRDefault="001545E3">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FC4BDCF" wp14:editId="39B2B05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6655BE7" w14:textId="77777777" w:rsidR="00066220" w:rsidRDefault="00C5097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FC4BDC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6655BE7" w14:textId="77777777" w:rsidR="00066220" w:rsidRDefault="00C5097E">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72433CE" wp14:editId="62E427C5">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6C1478C" w14:textId="77777777" w:rsidR="00066220" w:rsidRDefault="00C5097E">
                          <w:r>
                            <w:t>De voorzitter van de Tweede Kamer der Staten-Generaal</w:t>
                          </w:r>
                        </w:p>
                        <w:p w14:paraId="5FE2803A" w14:textId="77777777" w:rsidR="00066220" w:rsidRDefault="00C5097E">
                          <w:r>
                            <w:t xml:space="preserve">Postbus 20018 </w:t>
                          </w:r>
                        </w:p>
                        <w:p w14:paraId="0F5E1E05" w14:textId="77777777" w:rsidR="00066220" w:rsidRDefault="00C5097E">
                          <w:r>
                            <w:t>2500 EA  Den Haag</w:t>
                          </w:r>
                        </w:p>
                        <w:p w14:paraId="28B25D57" w14:textId="77777777" w:rsidR="00066220" w:rsidRDefault="00C5097E">
                          <w:pPr>
                            <w:pStyle w:val="KixCode"/>
                          </w:pPr>
                          <w:r>
                            <w:t>2500 EA</w:t>
                          </w:r>
                        </w:p>
                      </w:txbxContent>
                    </wps:txbx>
                    <wps:bodyPr vert="horz" wrap="square" lIns="0" tIns="0" rIns="0" bIns="0" anchor="t" anchorCtr="0"/>
                  </wps:wsp>
                </a:graphicData>
              </a:graphic>
            </wp:anchor>
          </w:drawing>
        </mc:Choice>
        <mc:Fallback>
          <w:pict>
            <v:shape w14:anchorId="172433CE"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6C1478C" w14:textId="77777777" w:rsidR="00066220" w:rsidRDefault="00C5097E">
                    <w:r>
                      <w:t>De voorzitter van de Tweede Kamer der Staten-Generaal</w:t>
                    </w:r>
                  </w:p>
                  <w:p w14:paraId="5FE2803A" w14:textId="77777777" w:rsidR="00066220" w:rsidRDefault="00C5097E">
                    <w:r>
                      <w:t xml:space="preserve">Postbus 20018 </w:t>
                    </w:r>
                  </w:p>
                  <w:p w14:paraId="0F5E1E05" w14:textId="77777777" w:rsidR="00066220" w:rsidRDefault="00C5097E">
                    <w:r>
                      <w:t>2500 EA  Den Haag</w:t>
                    </w:r>
                  </w:p>
                  <w:p w14:paraId="28B25D57" w14:textId="77777777" w:rsidR="00066220" w:rsidRDefault="00C5097E">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5D6AAC6" wp14:editId="74BF2AF5">
              <wp:simplePos x="0" y="0"/>
              <wp:positionH relativeFrom="margin">
                <wp:align>left</wp:align>
              </wp:positionH>
              <wp:positionV relativeFrom="paragraph">
                <wp:posOffset>3634740</wp:posOffset>
              </wp:positionV>
              <wp:extent cx="4103370" cy="85344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85344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66220" w14:paraId="58A9CFDA" w14:textId="77777777">
                            <w:trPr>
                              <w:trHeight w:val="200"/>
                            </w:trPr>
                            <w:tc>
                              <w:tcPr>
                                <w:tcW w:w="1134" w:type="dxa"/>
                              </w:tcPr>
                              <w:p w14:paraId="4E985DDB" w14:textId="77777777" w:rsidR="00066220" w:rsidRDefault="00066220"/>
                            </w:tc>
                            <w:tc>
                              <w:tcPr>
                                <w:tcW w:w="5244" w:type="dxa"/>
                              </w:tcPr>
                              <w:p w14:paraId="46557D04" w14:textId="77777777" w:rsidR="00066220" w:rsidRDefault="00066220"/>
                            </w:tc>
                          </w:tr>
                          <w:tr w:rsidR="00066220" w14:paraId="37EE1F68" w14:textId="77777777">
                            <w:trPr>
                              <w:trHeight w:val="240"/>
                            </w:trPr>
                            <w:tc>
                              <w:tcPr>
                                <w:tcW w:w="1134" w:type="dxa"/>
                              </w:tcPr>
                              <w:p w14:paraId="0597D064" w14:textId="77777777" w:rsidR="00066220" w:rsidRDefault="00C5097E">
                                <w:r>
                                  <w:t>Datum</w:t>
                                </w:r>
                              </w:p>
                            </w:tc>
                            <w:tc>
                              <w:tcPr>
                                <w:tcW w:w="5244" w:type="dxa"/>
                              </w:tcPr>
                              <w:p w14:paraId="0FB751E6" w14:textId="0DCC5B0E" w:rsidR="00A60EA5" w:rsidRDefault="00904139">
                                <w:r>
                                  <w:t>16 april 2026</w:t>
                                </w:r>
                                <w:r w:rsidR="001545E3">
                                  <w:fldChar w:fldCharType="begin"/>
                                </w:r>
                                <w:r w:rsidR="001545E3">
                                  <w:instrText xml:space="preserve"> DOCPROPERTY  "iDatum"  \* MERGEFORMAT </w:instrText>
                                </w:r>
                                <w:r w:rsidR="001545E3">
                                  <w:fldChar w:fldCharType="end"/>
                                </w:r>
                              </w:p>
                            </w:tc>
                          </w:tr>
                          <w:tr w:rsidR="00066220" w14:paraId="3EE8E1EE" w14:textId="77777777">
                            <w:trPr>
                              <w:trHeight w:val="240"/>
                            </w:trPr>
                            <w:tc>
                              <w:tcPr>
                                <w:tcW w:w="1134" w:type="dxa"/>
                              </w:tcPr>
                              <w:p w14:paraId="4537ADAD" w14:textId="77777777" w:rsidR="00066220" w:rsidRDefault="00C5097E">
                                <w:r>
                                  <w:t>Betreft</w:t>
                                </w:r>
                              </w:p>
                            </w:tc>
                            <w:tc>
                              <w:tcPr>
                                <w:tcW w:w="5244" w:type="dxa"/>
                              </w:tcPr>
                              <w:p w14:paraId="040E97F9" w14:textId="39C947DE" w:rsidR="00066220" w:rsidRDefault="006074B9">
                                <w:fldSimple w:instr=" DOCPROPERTY  &quot;iOnderwerp&quot;  \* MERGEFORMAT ">
                                  <w:r w:rsidR="00366AE4">
                                    <w:t>De verhouding tussen het gewijzigde wetsvoorstel rechtsvermoeden arbeidsovereenkomst op basis van een uurtarief en de memorie van toelichting</w:t>
                                  </w:r>
                                </w:fldSimple>
                              </w:p>
                            </w:tc>
                          </w:tr>
                          <w:tr w:rsidR="00066220" w14:paraId="75CDD660" w14:textId="77777777">
                            <w:trPr>
                              <w:trHeight w:val="200"/>
                            </w:trPr>
                            <w:tc>
                              <w:tcPr>
                                <w:tcW w:w="1134" w:type="dxa"/>
                              </w:tcPr>
                              <w:p w14:paraId="07304354" w14:textId="77777777" w:rsidR="00066220" w:rsidRDefault="00066220"/>
                            </w:tc>
                            <w:tc>
                              <w:tcPr>
                                <w:tcW w:w="5244" w:type="dxa"/>
                              </w:tcPr>
                              <w:p w14:paraId="61939527" w14:textId="77777777" w:rsidR="00066220" w:rsidRDefault="00066220"/>
                            </w:tc>
                          </w:tr>
                        </w:tbl>
                        <w:p w14:paraId="74A61F93" w14:textId="77777777" w:rsidR="00CE6FB1" w:rsidRDefault="00CE6FB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5D6AAC6" id="bd55b0e2-03a6-11ee-8f29-0242ac130005" o:spid="_x0000_s1032" type="#_x0000_t202" style="position:absolute;margin-left:0;margin-top:286.2pt;width:323.1pt;height:67.2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066220" w14:paraId="58A9CFDA" w14:textId="77777777">
                      <w:trPr>
                        <w:trHeight w:val="200"/>
                      </w:trPr>
                      <w:tc>
                        <w:tcPr>
                          <w:tcW w:w="1134" w:type="dxa"/>
                        </w:tcPr>
                        <w:p w14:paraId="4E985DDB" w14:textId="77777777" w:rsidR="00066220" w:rsidRDefault="00066220"/>
                      </w:tc>
                      <w:tc>
                        <w:tcPr>
                          <w:tcW w:w="5244" w:type="dxa"/>
                        </w:tcPr>
                        <w:p w14:paraId="46557D04" w14:textId="77777777" w:rsidR="00066220" w:rsidRDefault="00066220"/>
                      </w:tc>
                    </w:tr>
                    <w:tr w:rsidR="00066220" w14:paraId="37EE1F68" w14:textId="77777777">
                      <w:trPr>
                        <w:trHeight w:val="240"/>
                      </w:trPr>
                      <w:tc>
                        <w:tcPr>
                          <w:tcW w:w="1134" w:type="dxa"/>
                        </w:tcPr>
                        <w:p w14:paraId="0597D064" w14:textId="77777777" w:rsidR="00066220" w:rsidRDefault="00C5097E">
                          <w:r>
                            <w:t>Datum</w:t>
                          </w:r>
                        </w:p>
                      </w:tc>
                      <w:tc>
                        <w:tcPr>
                          <w:tcW w:w="5244" w:type="dxa"/>
                        </w:tcPr>
                        <w:p w14:paraId="0FB751E6" w14:textId="0DCC5B0E" w:rsidR="00A60EA5" w:rsidRDefault="00904139">
                          <w:r>
                            <w:t>16 april 2026</w:t>
                          </w:r>
                          <w:r w:rsidR="001545E3">
                            <w:fldChar w:fldCharType="begin"/>
                          </w:r>
                          <w:r w:rsidR="001545E3">
                            <w:instrText xml:space="preserve"> DOCPROPERTY  "iDatum"  \* MERGEFORMAT </w:instrText>
                          </w:r>
                          <w:r w:rsidR="001545E3">
                            <w:fldChar w:fldCharType="end"/>
                          </w:r>
                        </w:p>
                      </w:tc>
                    </w:tr>
                    <w:tr w:rsidR="00066220" w14:paraId="3EE8E1EE" w14:textId="77777777">
                      <w:trPr>
                        <w:trHeight w:val="240"/>
                      </w:trPr>
                      <w:tc>
                        <w:tcPr>
                          <w:tcW w:w="1134" w:type="dxa"/>
                        </w:tcPr>
                        <w:p w14:paraId="4537ADAD" w14:textId="77777777" w:rsidR="00066220" w:rsidRDefault="00C5097E">
                          <w:r>
                            <w:t>Betreft</w:t>
                          </w:r>
                        </w:p>
                      </w:tc>
                      <w:tc>
                        <w:tcPr>
                          <w:tcW w:w="5244" w:type="dxa"/>
                        </w:tcPr>
                        <w:p w14:paraId="040E97F9" w14:textId="39C947DE" w:rsidR="00066220" w:rsidRDefault="006074B9">
                          <w:fldSimple w:instr=" DOCPROPERTY  &quot;iOnderwerp&quot;  \* MERGEFORMAT ">
                            <w:r w:rsidR="00366AE4">
                              <w:t>De verhouding tussen het gewijzigde wetsvoorstel rechtsvermoeden arbeidsovereenkomst op basis van een uurtarief en de memorie van toelichting</w:t>
                            </w:r>
                          </w:fldSimple>
                        </w:p>
                      </w:tc>
                    </w:tr>
                    <w:tr w:rsidR="00066220" w14:paraId="75CDD660" w14:textId="77777777">
                      <w:trPr>
                        <w:trHeight w:val="200"/>
                      </w:trPr>
                      <w:tc>
                        <w:tcPr>
                          <w:tcW w:w="1134" w:type="dxa"/>
                        </w:tcPr>
                        <w:p w14:paraId="07304354" w14:textId="77777777" w:rsidR="00066220" w:rsidRDefault="00066220"/>
                      </w:tc>
                      <w:tc>
                        <w:tcPr>
                          <w:tcW w:w="5244" w:type="dxa"/>
                        </w:tcPr>
                        <w:p w14:paraId="61939527" w14:textId="77777777" w:rsidR="00066220" w:rsidRDefault="00066220"/>
                      </w:tc>
                    </w:tr>
                  </w:tbl>
                  <w:p w14:paraId="74A61F93" w14:textId="77777777" w:rsidR="00CE6FB1" w:rsidRDefault="00CE6FB1"/>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1E0B14D" wp14:editId="73FE874C">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5C1457" w14:textId="77777777" w:rsidR="00A60EA5" w:rsidRDefault="001545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E0B14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D5C1457" w14:textId="77777777" w:rsidR="00A60EA5" w:rsidRDefault="001545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DB42D"/>
    <w:multiLevelType w:val="multilevel"/>
    <w:tmpl w:val="F5EAC50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4AD287C"/>
    <w:multiLevelType w:val="multilevel"/>
    <w:tmpl w:val="87D323C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4A3BA"/>
    <w:multiLevelType w:val="multilevel"/>
    <w:tmpl w:val="5282A8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94E570B"/>
    <w:multiLevelType w:val="hybridMultilevel"/>
    <w:tmpl w:val="A4F85A40"/>
    <w:lvl w:ilvl="0" w:tplc="CA84C71A">
      <w:start w:val="3"/>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A55868"/>
    <w:multiLevelType w:val="multilevel"/>
    <w:tmpl w:val="41978E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D95E477"/>
    <w:multiLevelType w:val="multilevel"/>
    <w:tmpl w:val="148E437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59CFB3"/>
    <w:multiLevelType w:val="multilevel"/>
    <w:tmpl w:val="B998E8F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F08B6B"/>
    <w:multiLevelType w:val="multilevel"/>
    <w:tmpl w:val="6C5A1FF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B6B907"/>
    <w:multiLevelType w:val="multilevel"/>
    <w:tmpl w:val="376C963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6898373">
    <w:abstractNumId w:val="6"/>
  </w:num>
  <w:num w:numId="2" w16cid:durableId="1818916988">
    <w:abstractNumId w:val="5"/>
  </w:num>
  <w:num w:numId="3" w16cid:durableId="709845058">
    <w:abstractNumId w:val="4"/>
  </w:num>
  <w:num w:numId="4" w16cid:durableId="1699619645">
    <w:abstractNumId w:val="2"/>
  </w:num>
  <w:num w:numId="5" w16cid:durableId="1430586839">
    <w:abstractNumId w:val="1"/>
  </w:num>
  <w:num w:numId="6" w16cid:durableId="278415217">
    <w:abstractNumId w:val="8"/>
  </w:num>
  <w:num w:numId="7" w16cid:durableId="363217383">
    <w:abstractNumId w:val="7"/>
  </w:num>
  <w:num w:numId="8" w16cid:durableId="1670794381">
    <w:abstractNumId w:val="0"/>
  </w:num>
  <w:num w:numId="9" w16cid:durableId="121438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CD"/>
    <w:rsid w:val="00066220"/>
    <w:rsid w:val="001C014E"/>
    <w:rsid w:val="002577CD"/>
    <w:rsid w:val="0028428A"/>
    <w:rsid w:val="00366AE4"/>
    <w:rsid w:val="0050689C"/>
    <w:rsid w:val="005237C1"/>
    <w:rsid w:val="00557E18"/>
    <w:rsid w:val="006074B9"/>
    <w:rsid w:val="00746F69"/>
    <w:rsid w:val="008E5627"/>
    <w:rsid w:val="00904139"/>
    <w:rsid w:val="00A45CBC"/>
    <w:rsid w:val="00A60EA5"/>
    <w:rsid w:val="00A61BA0"/>
    <w:rsid w:val="00C5097E"/>
    <w:rsid w:val="00CE6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C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A45CB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45CB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45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552</ap:Words>
  <ap:Characters>3036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Kamer - De verhouding tussen het gewijzigde wetsvoorstel rechtsvermoeden arbeidsovereenkomst op basis van een uurtarief en de memorie van toelichting</vt:lpstr>
    </vt:vector>
  </ap:TitlesOfParts>
  <ap:LinksUpToDate>false</ap:LinksUpToDate>
  <ap:CharactersWithSpaces>3581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2026-04-16T14:31:00.0000000Z</dcterms:created>
  <dcterms:modified xsi:type="dcterms:W3CDTF">2026-04-16T14:31:00.0000000Z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De verhouding tussen het gewijzigde wetsvoorstel rechtsvermoeden arbeidsovereenkomst op basis van een uurtarief en de memorie van toelichting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M.T. Appeldoorn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De verhouding tussen het gewijzigde wetsvoorstel rechtsvermoeden arbeidsovereenkomst op basis van een uurtarief en de memorie van toelichting</vt:lpwstr>
  </property>
  <property fmtid="{D5CDD505-2E9C-101B-9397-08002B2CF9AE}" pid="36" name="iOnsKenmerk">
    <vt:lpwstr>2026-0000123255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