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768" w:rsidP="504484CA" w:rsidRDefault="7EAC6F81" w14:paraId="07EA02C9" w14:textId="7AF040B3">
      <w:pPr>
        <w:spacing w:after="0" w:line="240" w:lineRule="auto"/>
        <w:rPr>
          <w:rFonts w:ascii="Verdana" w:hAnsi="Verdana" w:eastAsia="Verdana" w:cs="Verdana"/>
          <w:color w:val="000000" w:themeColor="text1"/>
          <w:sz w:val="18"/>
          <w:szCs w:val="18"/>
        </w:rPr>
      </w:pPr>
      <w:r w:rsidRPr="504484CA">
        <w:rPr>
          <w:rFonts w:ascii="Verdana" w:hAnsi="Verdana" w:eastAsia="Verdana" w:cs="Verdana"/>
          <w:b/>
          <w:bCs/>
          <w:color w:val="000000" w:themeColor="text1"/>
          <w:sz w:val="22"/>
          <w:szCs w:val="22"/>
        </w:rPr>
        <w:t>Lijst van nieuwe EU-voorstellen</w:t>
      </w:r>
      <w:r w:rsidR="006D585C">
        <w:tab/>
      </w:r>
      <w:r w:rsidR="006D585C">
        <w:tab/>
      </w:r>
      <w:r w:rsidR="006D585C">
        <w:tab/>
      </w:r>
    </w:p>
    <w:p w:rsidR="00DC0768" w:rsidP="504484CA" w:rsidRDefault="00DC0768" w14:paraId="6EC1EE03" w14:textId="68B88EE3">
      <w:pPr>
        <w:spacing w:after="0" w:line="284" w:lineRule="exact"/>
        <w:rPr>
          <w:rFonts w:ascii="Verdana" w:hAnsi="Verdana" w:eastAsia="Verdana" w:cs="Verdana"/>
          <w:color w:val="000000" w:themeColor="text1"/>
          <w:sz w:val="18"/>
          <w:szCs w:val="18"/>
        </w:rPr>
      </w:pPr>
    </w:p>
    <w:p w:rsidR="00DC0768" w:rsidP="504484CA" w:rsidRDefault="7EAC6F81" w14:paraId="4513E3B8" w14:textId="10118102">
      <w:pPr>
        <w:spacing w:after="0" w:line="240" w:lineRule="auto"/>
        <w:rPr>
          <w:rFonts w:ascii="Verdana" w:hAnsi="Verdana" w:eastAsia="Verdana" w:cs="Verdana"/>
          <w:color w:val="000000" w:themeColor="text1"/>
          <w:sz w:val="18"/>
          <w:szCs w:val="18"/>
        </w:rPr>
      </w:pPr>
      <w:r w:rsidRPr="504484CA">
        <w:rPr>
          <w:rFonts w:ascii="Verdana" w:hAnsi="Verdana" w:eastAsia="Verdana" w:cs="Verdana"/>
          <w:color w:val="000000" w:themeColor="text1"/>
          <w:sz w:val="18"/>
          <w:szCs w:val="18"/>
        </w:rPr>
        <w:t>De</w:t>
      </w:r>
      <w:r w:rsidRPr="504484CA">
        <w:rPr>
          <w:rFonts w:ascii="Verdana" w:hAnsi="Verdana" w:eastAsia="Verdana" w:cs="Verdana"/>
          <w:b/>
          <w:bCs/>
          <w:color w:val="000000" w:themeColor="text1"/>
          <w:sz w:val="18"/>
          <w:szCs w:val="18"/>
        </w:rPr>
        <w:t xml:space="preserve"> </w:t>
      </w:r>
      <w:r w:rsidRPr="504484CA">
        <w:rPr>
          <w:rFonts w:ascii="Verdana" w:hAnsi="Verdana" w:eastAsia="Verdana" w:cs="Verdana"/>
          <w:color w:val="000000" w:themeColor="text1"/>
          <w:sz w:val="18"/>
          <w:szCs w:val="18"/>
        </w:rPr>
        <w:t xml:space="preserve">Europese Commissie heeft in de periode tussen </w:t>
      </w:r>
      <w:r w:rsidRPr="504484CA" w:rsidR="718D6B55">
        <w:rPr>
          <w:rFonts w:ascii="Verdana" w:hAnsi="Verdana" w:eastAsia="Verdana" w:cs="Verdana"/>
          <w:b/>
          <w:bCs/>
          <w:color w:val="000000" w:themeColor="text1"/>
          <w:sz w:val="18"/>
          <w:szCs w:val="18"/>
        </w:rPr>
        <w:t xml:space="preserve">2 en </w:t>
      </w:r>
      <w:r w:rsidRPr="504484CA">
        <w:rPr>
          <w:rFonts w:ascii="Verdana" w:hAnsi="Verdana" w:eastAsia="Verdana" w:cs="Verdana"/>
          <w:b/>
          <w:bCs/>
          <w:color w:val="000000" w:themeColor="text1"/>
          <w:sz w:val="18"/>
          <w:szCs w:val="18"/>
        </w:rPr>
        <w:t>1</w:t>
      </w:r>
      <w:r w:rsidRPr="504484CA" w:rsidR="5CFA37B3">
        <w:rPr>
          <w:rFonts w:ascii="Verdana" w:hAnsi="Verdana" w:eastAsia="Verdana" w:cs="Verdana"/>
          <w:b/>
          <w:bCs/>
          <w:color w:val="000000" w:themeColor="text1"/>
          <w:sz w:val="18"/>
          <w:szCs w:val="18"/>
        </w:rPr>
        <w:t>6 april</w:t>
      </w:r>
      <w:r w:rsidRPr="504484CA">
        <w:rPr>
          <w:rFonts w:ascii="Verdana" w:hAnsi="Verdana" w:eastAsia="Verdana" w:cs="Verdana"/>
          <w:b/>
          <w:bCs/>
          <w:color w:val="000000" w:themeColor="text1"/>
          <w:sz w:val="18"/>
          <w:szCs w:val="18"/>
        </w:rPr>
        <w:t xml:space="preserve"> 2026</w:t>
      </w:r>
      <w:r w:rsidRPr="504484CA">
        <w:rPr>
          <w:rFonts w:ascii="Verdana" w:hAnsi="Verdana" w:eastAsia="Verdana" w:cs="Verdana"/>
          <w:color w:val="000000" w:themeColor="text1"/>
          <w:sz w:val="18"/>
          <w:szCs w:val="18"/>
        </w:rPr>
        <w:t xml:space="preserve"> de volgende voor deze vaste commissie</w:t>
      </w:r>
      <w:r w:rsidRPr="504484CA">
        <w:rPr>
          <w:rFonts w:ascii="Verdana" w:hAnsi="Verdana" w:eastAsia="Verdana" w:cs="Verdana"/>
          <w:b/>
          <w:bCs/>
          <w:color w:val="000000" w:themeColor="text1"/>
          <w:sz w:val="18"/>
          <w:szCs w:val="18"/>
        </w:rPr>
        <w:t xml:space="preserve"> </w:t>
      </w:r>
      <w:r w:rsidRPr="504484CA">
        <w:rPr>
          <w:rFonts w:ascii="Verdana" w:hAnsi="Verdana" w:eastAsia="Verdana" w:cs="Verdana"/>
          <w:color w:val="000000" w:themeColor="text1"/>
          <w:sz w:val="18"/>
          <w:szCs w:val="18"/>
        </w:rPr>
        <w:t>relevante voorstellen voor Europese wetgeving, besluiten en andere beleidsvormende documenten aan de Tweede Kamer gestuurd</w:t>
      </w:r>
      <w:r w:rsidRPr="504484CA">
        <w:rPr>
          <w:rFonts w:ascii="Verdana" w:hAnsi="Verdana" w:eastAsia="Verdana" w:cs="Verdana"/>
          <w:color w:val="000000" w:themeColor="text1"/>
          <w:sz w:val="18"/>
          <w:szCs w:val="18"/>
          <w:vertAlign w:val="superscript"/>
        </w:rPr>
        <w:t>1</w:t>
      </w:r>
      <w:r w:rsidRPr="504484CA">
        <w:rPr>
          <w:rFonts w:ascii="Verdana" w:hAnsi="Verdana" w:eastAsia="Verdana" w:cs="Verdana"/>
          <w:color w:val="000000" w:themeColor="text1"/>
          <w:sz w:val="18"/>
          <w:szCs w:val="18"/>
        </w:rPr>
        <w:t xml:space="preserve">: </w:t>
      </w:r>
    </w:p>
    <w:p w:rsidR="00DC0768" w:rsidP="504484CA" w:rsidRDefault="00DC0768" w14:paraId="7DCFD581" w14:textId="1326A8C6">
      <w:pPr>
        <w:spacing w:after="0" w:line="240" w:lineRule="auto"/>
        <w:rPr>
          <w:rFonts w:ascii="Verdana" w:hAnsi="Verdana" w:eastAsia="Verdana" w:cs="Verdana"/>
          <w:color w:val="000000" w:themeColor="text1"/>
          <w:sz w:val="18"/>
          <w:szCs w:val="18"/>
        </w:rPr>
      </w:pPr>
    </w:p>
    <w:p w:rsidR="00DC0768" w:rsidP="504484CA" w:rsidRDefault="7EAC6F81" w14:paraId="78600869" w14:textId="29E629B6">
      <w:pPr>
        <w:pStyle w:val="Lijstalinea"/>
        <w:numPr>
          <w:ilvl w:val="0"/>
          <w:numId w:val="3"/>
        </w:numPr>
        <w:spacing w:after="0" w:line="240" w:lineRule="auto"/>
        <w:rPr>
          <w:rFonts w:ascii="Verdana" w:hAnsi="Verdana" w:eastAsia="Verdana" w:cs="Verdana"/>
          <w:color w:val="000000" w:themeColor="text1"/>
          <w:sz w:val="18"/>
          <w:szCs w:val="18"/>
        </w:rPr>
      </w:pPr>
      <w:r w:rsidRPr="504484CA">
        <w:rPr>
          <w:rFonts w:ascii="Verdana" w:hAnsi="Verdana" w:eastAsia="Verdana" w:cs="Verdana"/>
          <w:b/>
          <w:bCs/>
          <w:color w:val="000000" w:themeColor="text1"/>
          <w:sz w:val="18"/>
          <w:szCs w:val="18"/>
        </w:rPr>
        <w:t>Nieuw voorgestelde EU-wetgeving</w:t>
      </w:r>
      <w:r w:rsidR="006D585C">
        <w:br/>
      </w:r>
      <w:r w:rsidRPr="504484CA">
        <w:rPr>
          <w:rFonts w:ascii="Verdana" w:hAnsi="Verdana" w:eastAsia="Verdana" w:cs="Verdana"/>
          <w:color w:val="000000" w:themeColor="text1"/>
          <w:sz w:val="18"/>
          <w:szCs w:val="18"/>
        </w:rPr>
        <w:t>(Verordeningen, richtlijnen en wetgevende besluiten)</w:t>
      </w:r>
    </w:p>
    <w:p w:rsidR="00DC0768" w:rsidP="504484CA" w:rsidRDefault="75A856CD" w14:paraId="7A907B65" w14:textId="40EB4FE8">
      <w:pPr>
        <w:spacing w:after="0" w:line="240" w:lineRule="auto"/>
        <w:rPr>
          <w:rFonts w:ascii="Verdana" w:hAnsi="Verdana" w:eastAsia="Verdana" w:cs="Verdana"/>
          <w:color w:val="000000" w:themeColor="text1"/>
          <w:sz w:val="18"/>
          <w:szCs w:val="18"/>
        </w:rPr>
      </w:pPr>
      <w:r w:rsidRPr="504484CA">
        <w:rPr>
          <w:rFonts w:ascii="Verdana" w:hAnsi="Verdana" w:eastAsia="Verdana" w:cs="Verdana"/>
          <w:color w:val="000000" w:themeColor="text1"/>
          <w:sz w:val="18"/>
          <w:szCs w:val="18"/>
        </w:rPr>
        <w:t xml:space="preserve">N.v.t. </w:t>
      </w:r>
    </w:p>
    <w:p w:rsidR="00DC0768" w:rsidP="504484CA" w:rsidRDefault="00DC0768" w14:paraId="6113096D" w14:textId="59CF3DB3">
      <w:pPr>
        <w:spacing w:after="0" w:line="240" w:lineRule="auto"/>
        <w:rPr>
          <w:rFonts w:ascii="Verdana" w:hAnsi="Verdana" w:eastAsia="Verdana" w:cs="Verdana"/>
          <w:color w:val="000000" w:themeColor="text1"/>
          <w:sz w:val="18"/>
          <w:szCs w:val="18"/>
        </w:rPr>
      </w:pPr>
    </w:p>
    <w:p w:rsidR="00DC0768" w:rsidP="504484CA" w:rsidRDefault="7EAC6F81" w14:paraId="10287236" w14:textId="7A9C3E45">
      <w:pPr>
        <w:pStyle w:val="Lijstalinea"/>
        <w:numPr>
          <w:ilvl w:val="0"/>
          <w:numId w:val="3"/>
        </w:numPr>
        <w:spacing w:after="0" w:line="240" w:lineRule="auto"/>
        <w:rPr>
          <w:rFonts w:ascii="Verdana" w:hAnsi="Verdana" w:eastAsia="Verdana" w:cs="Verdana"/>
          <w:color w:val="000000" w:themeColor="text1"/>
          <w:sz w:val="18"/>
          <w:szCs w:val="18"/>
        </w:rPr>
      </w:pPr>
      <w:r w:rsidRPr="504484CA">
        <w:rPr>
          <w:rFonts w:ascii="Verdana" w:hAnsi="Verdana" w:eastAsia="Verdana" w:cs="Verdana"/>
          <w:b/>
          <w:bCs/>
          <w:color w:val="000000" w:themeColor="text1"/>
          <w:sz w:val="18"/>
          <w:szCs w:val="18"/>
        </w:rPr>
        <w:t xml:space="preserve">Nieuwe EU-documenten van niet-wetgevende aard </w:t>
      </w:r>
      <w:r w:rsidR="006D585C">
        <w:br/>
      </w:r>
      <w:r w:rsidRPr="504484CA">
        <w:rPr>
          <w:rFonts w:ascii="Verdana" w:hAnsi="Verdana" w:eastAsia="Verdana" w:cs="Verdana"/>
          <w:color w:val="000000" w:themeColor="text1"/>
          <w:sz w:val="18"/>
          <w:szCs w:val="18"/>
        </w:rPr>
        <w:t>(Mededelingen, aanbevelingen, actieplannen, consultaties, etc.)</w:t>
      </w:r>
    </w:p>
    <w:p w:rsidR="00DC0768" w:rsidP="504484CA" w:rsidRDefault="00DC0768" w14:paraId="4905928E" w14:textId="6D9CE921">
      <w:pPr>
        <w:spacing w:after="0" w:line="240" w:lineRule="auto"/>
        <w:rPr>
          <w:rFonts w:ascii="Verdana" w:hAnsi="Verdana" w:eastAsia="Verdana" w:cs="Verdana"/>
          <w:color w:val="000000" w:themeColor="text1"/>
          <w:sz w:val="18"/>
          <w:szCs w:val="18"/>
        </w:rPr>
      </w:pPr>
    </w:p>
    <w:p w:rsidR="00DC0768" w:rsidP="504484CA" w:rsidRDefault="00DC0768" w14:paraId="7EBFC6FC" w14:textId="08E9373B">
      <w:pPr>
        <w:spacing w:after="0" w:line="240" w:lineRule="auto"/>
        <w:rPr>
          <w:rFonts w:ascii="Verdana" w:hAnsi="Verdana" w:eastAsia="Verdana" w:cs="Verdana"/>
          <w:color w:val="000000" w:themeColor="text1"/>
          <w:sz w:val="18"/>
          <w:szCs w:val="18"/>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20"/>
        <w:gridCol w:w="1425"/>
        <w:gridCol w:w="6675"/>
      </w:tblGrid>
      <w:tr w:rsidR="504484CA" w:rsidTr="504484CA" w14:paraId="208284C3" w14:textId="77777777">
        <w:trPr>
          <w:trHeight w:val="285"/>
        </w:trPr>
        <w:tc>
          <w:tcPr>
            <w:tcW w:w="720" w:type="dxa"/>
            <w:vMerge w:val="restart"/>
            <w:tcBorders>
              <w:top w:val="single" w:color="D9D9D9" w:themeColor="background1" w:themeShade="D9" w:sz="6" w:space="0"/>
              <w:left w:val="single" w:color="D9D9D9" w:themeColor="background1" w:themeShade="D9" w:sz="6" w:space="0"/>
              <w:bottom w:val="single" w:color="D9D9D9" w:themeColor="background1" w:themeShade="D9" w:sz="6" w:space="0"/>
              <w:right w:val="nil"/>
            </w:tcBorders>
            <w:shd w:val="clear" w:color="auto" w:fill="F2F2F2" w:themeFill="background1" w:themeFillShade="F2"/>
            <w:tcMar>
              <w:left w:w="105" w:type="dxa"/>
              <w:right w:w="105" w:type="dxa"/>
            </w:tcMar>
          </w:tcPr>
          <w:p w:rsidR="504484CA" w:rsidP="504484CA" w:rsidRDefault="504484CA" w14:paraId="7A418521" w14:textId="357B1213">
            <w:pPr>
              <w:pStyle w:val="Lijstalinea"/>
              <w:numPr>
                <w:ilvl w:val="0"/>
                <w:numId w:val="2"/>
              </w:numPr>
              <w:spacing w:after="240" w:line="240" w:lineRule="auto"/>
              <w:ind w:left="312"/>
              <w:rPr>
                <w:rFonts w:ascii="Verdana" w:hAnsi="Verdana" w:eastAsia="Verdana" w:cs="Verdana"/>
                <w:sz w:val="18"/>
                <w:szCs w:val="18"/>
              </w:rPr>
            </w:pPr>
          </w:p>
        </w:tc>
        <w:tc>
          <w:tcPr>
            <w:tcW w:w="1425" w:type="dxa"/>
            <w:tcBorders>
              <w:top w:val="single" w:color="D9D9D9" w:themeColor="background1" w:themeShade="D9" w:sz="6" w:space="0"/>
              <w:left w:val="nil"/>
              <w:bottom w:val="nil"/>
              <w:right w:val="nil"/>
            </w:tcBorders>
            <w:tcMar>
              <w:left w:w="105" w:type="dxa"/>
              <w:right w:w="105" w:type="dxa"/>
            </w:tcMar>
          </w:tcPr>
          <w:p w:rsidR="504484CA" w:rsidP="504484CA" w:rsidRDefault="504484CA" w14:paraId="44D58519" w14:textId="272663B7">
            <w:pPr>
              <w:spacing w:after="240" w:line="240" w:lineRule="auto"/>
              <w:rPr>
                <w:rFonts w:ascii="Verdana" w:hAnsi="Verdana" w:eastAsia="Verdana" w:cs="Verdana"/>
                <w:sz w:val="18"/>
                <w:szCs w:val="18"/>
              </w:rPr>
            </w:pPr>
            <w:r w:rsidRPr="504484CA">
              <w:rPr>
                <w:rFonts w:ascii="Verdana" w:hAnsi="Verdana" w:eastAsia="Verdana" w:cs="Verdana"/>
                <w:sz w:val="18"/>
                <w:szCs w:val="18"/>
              </w:rPr>
              <w:t>Titel</w:t>
            </w:r>
          </w:p>
        </w:tc>
        <w:tc>
          <w:tcPr>
            <w:tcW w:w="6675" w:type="dxa"/>
            <w:tcBorders>
              <w:top w:val="single" w:color="D9D9D9" w:themeColor="background1" w:themeShade="D9" w:sz="6" w:space="0"/>
              <w:left w:val="nil"/>
              <w:bottom w:val="nil"/>
              <w:right w:val="single" w:color="D9D9D9" w:themeColor="background1" w:themeShade="D9" w:sz="6" w:space="0"/>
            </w:tcBorders>
            <w:tcMar>
              <w:left w:w="105" w:type="dxa"/>
              <w:right w:w="105" w:type="dxa"/>
            </w:tcMar>
          </w:tcPr>
          <w:p w:rsidR="4A59F215" w:rsidP="504484CA" w:rsidRDefault="4A59F215" w14:paraId="4295DE38" w14:textId="27A96294">
            <w:pPr>
              <w:shd w:val="clear" w:color="auto" w:fill="FFFFFF" w:themeFill="background1"/>
              <w:spacing w:after="75"/>
            </w:pPr>
            <w:r w:rsidRPr="504484CA">
              <w:rPr>
                <w:rFonts w:ascii="Verdana" w:hAnsi="Verdana" w:eastAsia="Verdana" w:cs="Verdana"/>
                <w:color w:val="000000" w:themeColor="text1"/>
                <w:sz w:val="18"/>
                <w:szCs w:val="18"/>
              </w:rPr>
              <w:t xml:space="preserve">Voorstel voor een BESLUIT VAN DE RAAD </w:t>
            </w:r>
          </w:p>
          <w:p w:rsidR="4A59F215" w:rsidP="504484CA" w:rsidRDefault="4A59F215" w14:paraId="0267576A" w14:textId="54177B0F">
            <w:pPr>
              <w:shd w:val="clear" w:color="auto" w:fill="FFFFFF" w:themeFill="background1"/>
              <w:spacing w:after="75"/>
            </w:pPr>
            <w:r w:rsidRPr="504484CA">
              <w:rPr>
                <w:rFonts w:ascii="Verdana" w:hAnsi="Verdana" w:eastAsia="Verdana" w:cs="Verdana"/>
                <w:color w:val="000000" w:themeColor="text1"/>
                <w:sz w:val="18"/>
                <w:szCs w:val="18"/>
              </w:rPr>
              <w:t xml:space="preserve">betreffende het standpunt dat namens de Europese Unie moet worden ingenomen in het Gemengd Comité voor de CETA dat is ingesteld in het kader van de Brede Economische en Handelsovereenkomst (CETA) tussen Canada, enerzijds, en de Europese Unie en haar lidstaten, anderzijds, met betrekking tot de vaststelling van een besluit over de opneming van werkzame farmaceutische bestanddelen in de lijst van geneesmiddelen in punt 2 van bijlage 1 bij het Protocol betreffende de wederzijdse erkenning van het programma met betrekking tot de naleving en de handhaving van goede fabricagepraktijken voor farmaceutische producten </w:t>
            </w:r>
            <w:hyperlink r:id="rId9">
              <w:r w:rsidRPr="504484CA">
                <w:rPr>
                  <w:rStyle w:val="Hyperlink"/>
                  <w:rFonts w:ascii="Verdana" w:hAnsi="Verdana" w:eastAsia="Verdana" w:cs="Verdana"/>
                  <w:sz w:val="18"/>
                  <w:szCs w:val="18"/>
                </w:rPr>
                <w:t>COM(2026)130</w:t>
              </w:r>
            </w:hyperlink>
          </w:p>
          <w:p w:rsidR="504484CA" w:rsidP="504484CA" w:rsidRDefault="504484CA" w14:paraId="2B5A1079" w14:textId="716C0027">
            <w:pPr>
              <w:spacing w:after="0" w:line="240" w:lineRule="auto"/>
              <w:rPr>
                <w:rFonts w:ascii="Verdana" w:hAnsi="Verdana" w:eastAsia="Verdana" w:cs="Verdana"/>
                <w:sz w:val="18"/>
                <w:szCs w:val="18"/>
              </w:rPr>
            </w:pPr>
          </w:p>
        </w:tc>
      </w:tr>
      <w:tr w:rsidR="504484CA" w:rsidTr="504484CA" w14:paraId="79644ABE" w14:textId="77777777">
        <w:trPr>
          <w:trHeight w:val="285"/>
        </w:trPr>
        <w:tc>
          <w:tcPr>
            <w:tcW w:w="720" w:type="dxa"/>
            <w:vMerge/>
            <w:tcBorders>
              <w:left w:val="single" w:color="D9D9D9" w:themeColor="background1" w:themeShade="D9" w:sz="0" w:space="0"/>
            </w:tcBorders>
            <w:vAlign w:val="center"/>
          </w:tcPr>
          <w:p w:rsidR="00DC0768" w:rsidRDefault="00DC0768" w14:paraId="0218AF62" w14:textId="77777777"/>
        </w:tc>
        <w:tc>
          <w:tcPr>
            <w:tcW w:w="1425" w:type="dxa"/>
            <w:tcMar>
              <w:left w:w="105" w:type="dxa"/>
              <w:right w:w="105" w:type="dxa"/>
            </w:tcMar>
          </w:tcPr>
          <w:p w:rsidR="504484CA" w:rsidP="504484CA" w:rsidRDefault="504484CA" w14:paraId="77FEA1F9" w14:textId="1C4123CC">
            <w:pPr>
              <w:spacing w:after="240" w:line="240" w:lineRule="auto"/>
              <w:rPr>
                <w:rFonts w:ascii="Verdana" w:hAnsi="Verdana" w:eastAsia="Verdana" w:cs="Verdana"/>
                <w:sz w:val="18"/>
                <w:szCs w:val="18"/>
              </w:rPr>
            </w:pPr>
            <w:r w:rsidRPr="504484CA">
              <w:rPr>
                <w:rFonts w:ascii="Verdana" w:hAnsi="Verdana" w:eastAsia="Verdana" w:cs="Verdana"/>
                <w:sz w:val="18"/>
                <w:szCs w:val="18"/>
              </w:rPr>
              <w:t>Voorstel</w:t>
            </w:r>
          </w:p>
        </w:tc>
        <w:tc>
          <w:tcPr>
            <w:tcW w:w="6675" w:type="dxa"/>
            <w:tcBorders>
              <w:top w:val="nil"/>
              <w:bottom w:val="nil"/>
              <w:right w:val="single" w:color="D9D9D9" w:themeColor="background1" w:themeShade="D9" w:sz="6" w:space="0"/>
            </w:tcBorders>
            <w:tcMar>
              <w:left w:w="105" w:type="dxa"/>
              <w:right w:w="105" w:type="dxa"/>
            </w:tcMar>
          </w:tcPr>
          <w:p w:rsidR="504484CA" w:rsidP="504484CA" w:rsidRDefault="504484CA" w14:paraId="1C0CF933" w14:textId="1E46E14F">
            <w:pPr>
              <w:spacing w:after="240" w:line="240" w:lineRule="auto"/>
              <w:rPr>
                <w:rFonts w:ascii="Verdana" w:hAnsi="Verdana" w:eastAsia="Verdana" w:cs="Verdana"/>
                <w:sz w:val="18"/>
                <w:szCs w:val="18"/>
              </w:rPr>
            </w:pPr>
            <w:r w:rsidRPr="504484CA">
              <w:rPr>
                <w:rFonts w:ascii="Verdana" w:hAnsi="Verdana" w:eastAsia="Verdana" w:cs="Verdana"/>
                <w:sz w:val="18"/>
                <w:szCs w:val="18"/>
              </w:rPr>
              <w:t>Ter informatie</w:t>
            </w:r>
            <w:r w:rsidRPr="504484CA" w:rsidR="788D6026">
              <w:rPr>
                <w:rFonts w:ascii="Verdana" w:hAnsi="Verdana" w:eastAsia="Verdana" w:cs="Verdana"/>
                <w:sz w:val="18"/>
                <w:szCs w:val="18"/>
              </w:rPr>
              <w:t>.</w:t>
            </w:r>
            <w:r w:rsidRPr="504484CA">
              <w:rPr>
                <w:rFonts w:ascii="Verdana" w:hAnsi="Verdana" w:eastAsia="Verdana" w:cs="Verdana"/>
                <w:sz w:val="18"/>
                <w:szCs w:val="18"/>
              </w:rPr>
              <w:t xml:space="preserve"> </w:t>
            </w:r>
          </w:p>
        </w:tc>
      </w:tr>
      <w:tr w:rsidR="504484CA" w:rsidTr="504484CA" w14:paraId="16EC7464" w14:textId="77777777">
        <w:trPr>
          <w:trHeight w:val="1575"/>
        </w:trPr>
        <w:tc>
          <w:tcPr>
            <w:tcW w:w="720" w:type="dxa"/>
            <w:vMerge/>
            <w:tcBorders>
              <w:top w:val="single" w:color="D9D9D9" w:themeColor="background1" w:themeShade="D9" w:sz="0" w:space="0"/>
              <w:left w:val="single" w:color="D9D9D9" w:themeColor="background1" w:themeShade="D9" w:sz="0" w:space="0"/>
              <w:bottom w:val="single" w:color="D9D9D9" w:themeColor="background1" w:themeShade="D9" w:sz="0" w:space="0"/>
            </w:tcBorders>
            <w:vAlign w:val="center"/>
          </w:tcPr>
          <w:p w:rsidR="00DC0768" w:rsidRDefault="00DC0768" w14:paraId="5D79D8FC" w14:textId="77777777"/>
        </w:tc>
        <w:tc>
          <w:tcPr>
            <w:tcW w:w="1425" w:type="dxa"/>
            <w:tcBorders>
              <w:left w:val="nil"/>
              <w:bottom w:val="single" w:color="D9D9D9" w:themeColor="background1" w:themeShade="D9" w:sz="6" w:space="0"/>
              <w:right w:val="nil"/>
            </w:tcBorders>
            <w:tcMar>
              <w:left w:w="105" w:type="dxa"/>
              <w:right w:w="105" w:type="dxa"/>
            </w:tcMar>
          </w:tcPr>
          <w:p w:rsidR="504484CA" w:rsidP="504484CA" w:rsidRDefault="504484CA" w14:paraId="373CBA2C" w14:textId="3CE6F8F7">
            <w:pPr>
              <w:spacing w:after="240" w:line="240" w:lineRule="auto"/>
              <w:rPr>
                <w:rFonts w:ascii="Verdana" w:hAnsi="Verdana" w:eastAsia="Verdana" w:cs="Verdana"/>
                <w:sz w:val="18"/>
                <w:szCs w:val="18"/>
              </w:rPr>
            </w:pPr>
            <w:r w:rsidRPr="504484CA">
              <w:rPr>
                <w:rFonts w:ascii="Verdana" w:hAnsi="Verdana" w:eastAsia="Verdana" w:cs="Verdana"/>
                <w:sz w:val="18"/>
                <w:szCs w:val="18"/>
              </w:rPr>
              <w:t>Noot</w:t>
            </w:r>
          </w:p>
        </w:tc>
        <w:tc>
          <w:tcPr>
            <w:tcW w:w="6675" w:type="dxa"/>
            <w:tcBorders>
              <w:top w:val="nil"/>
              <w:left w:val="nil"/>
              <w:bottom w:val="single" w:color="D9D9D9" w:themeColor="background1" w:themeShade="D9" w:sz="6" w:space="0"/>
              <w:right w:val="single" w:color="D9D9D9" w:themeColor="background1" w:themeShade="D9" w:sz="6" w:space="0"/>
            </w:tcBorders>
            <w:tcMar>
              <w:left w:w="105" w:type="dxa"/>
              <w:right w:w="105" w:type="dxa"/>
            </w:tcMar>
          </w:tcPr>
          <w:p w:rsidR="4CC44D6D" w:rsidP="504484CA" w:rsidRDefault="4CC44D6D" w14:paraId="261C5A02" w14:textId="5E7DF42F">
            <w:pPr>
              <w:shd w:val="clear" w:color="auto" w:fill="FFFFFF" w:themeFill="background1"/>
              <w:spacing w:after="0" w:line="240" w:lineRule="auto"/>
              <w:rPr>
                <w:rFonts w:ascii="Verdana" w:hAnsi="Verdana" w:eastAsia="Verdana" w:cs="Verdana"/>
                <w:sz w:val="18"/>
                <w:szCs w:val="18"/>
              </w:rPr>
            </w:pPr>
            <w:r w:rsidRPr="504484CA">
              <w:rPr>
                <w:rFonts w:ascii="Verdana" w:hAnsi="Verdana" w:eastAsia="Verdana" w:cs="Verdana"/>
                <w:color w:val="333333"/>
                <w:sz w:val="18"/>
                <w:szCs w:val="18"/>
              </w:rPr>
              <w:t xml:space="preserve">Het doel van dit voorstel is </w:t>
            </w:r>
            <w:r w:rsidRPr="504484CA" w:rsidR="65D6B043">
              <w:rPr>
                <w:rFonts w:ascii="Verdana" w:hAnsi="Verdana" w:eastAsia="Verdana" w:cs="Verdana"/>
                <w:color w:val="333333"/>
                <w:sz w:val="18"/>
                <w:szCs w:val="18"/>
              </w:rPr>
              <w:t>het operationele toepassingsgebied van het GMP-protocol uit te breiden met werkzame farmaceutische bestanddelen. Dit zou de wederzijdse erkenning van inspecties en de aanvaarding van officiële documenten mogelijk maken, de kosten als gevolg van dubbele inspecties verminderen en de EU- en Canadese autoriteiten beter in staat stellen om zich te concentreren op inspecties van fabrikanten met een hoger risico in andere landen</w:t>
            </w:r>
            <w:r w:rsidRPr="504484CA" w:rsidR="65D6B043">
              <w:rPr>
                <w:rFonts w:ascii="Times New Roman" w:hAnsi="Times New Roman" w:eastAsia="Times New Roman" w:cs="Times New Roman"/>
                <w:color w:val="333333"/>
                <w:sz w:val="18"/>
                <w:szCs w:val="18"/>
              </w:rPr>
              <w:t>.</w:t>
            </w:r>
          </w:p>
        </w:tc>
      </w:tr>
    </w:tbl>
    <w:p w:rsidR="00DC0768" w:rsidP="504484CA" w:rsidRDefault="00DC0768" w14:paraId="22E903F9" w14:textId="16A8752B">
      <w:pPr>
        <w:spacing w:after="0" w:line="240" w:lineRule="auto"/>
        <w:rPr>
          <w:rFonts w:ascii="Verdana" w:hAnsi="Verdana" w:eastAsia="Verdana" w:cs="Verdana"/>
          <w:color w:val="000000" w:themeColor="text1"/>
          <w:sz w:val="18"/>
          <w:szCs w:val="18"/>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20"/>
        <w:gridCol w:w="1440"/>
        <w:gridCol w:w="6660"/>
      </w:tblGrid>
      <w:tr w:rsidR="504484CA" w:rsidTr="504484CA" w14:paraId="53EDD8E2" w14:textId="77777777">
        <w:trPr>
          <w:trHeight w:val="585"/>
        </w:trPr>
        <w:tc>
          <w:tcPr>
            <w:tcW w:w="720" w:type="dxa"/>
            <w:vMerge w:val="restart"/>
            <w:tcBorders>
              <w:top w:val="single" w:color="D9D9D9" w:themeColor="background1" w:themeShade="D9" w:sz="6" w:space="0"/>
              <w:left w:val="single" w:color="D9D9D9" w:themeColor="background1" w:themeShade="D9" w:sz="6" w:space="0"/>
              <w:bottom w:val="single" w:color="D9D9D9" w:themeColor="background1" w:themeShade="D9" w:sz="6" w:space="0"/>
              <w:right w:val="nil"/>
            </w:tcBorders>
            <w:shd w:val="clear" w:color="auto" w:fill="F2F2F2" w:themeFill="background1" w:themeFillShade="F2"/>
            <w:tcMar>
              <w:left w:w="105" w:type="dxa"/>
              <w:right w:w="105" w:type="dxa"/>
            </w:tcMar>
          </w:tcPr>
          <w:p w:rsidR="504484CA" w:rsidP="504484CA" w:rsidRDefault="504484CA" w14:paraId="63C8A959" w14:textId="357B1213">
            <w:pPr>
              <w:pStyle w:val="Lijstalinea"/>
              <w:numPr>
                <w:ilvl w:val="0"/>
                <w:numId w:val="2"/>
              </w:numPr>
              <w:spacing w:after="240" w:line="240" w:lineRule="auto"/>
              <w:ind w:left="312"/>
              <w:rPr>
                <w:rFonts w:ascii="Verdana" w:hAnsi="Verdana" w:eastAsia="Verdana" w:cs="Verdana"/>
                <w:sz w:val="18"/>
                <w:szCs w:val="18"/>
              </w:rPr>
            </w:pPr>
          </w:p>
        </w:tc>
        <w:tc>
          <w:tcPr>
            <w:tcW w:w="1440" w:type="dxa"/>
            <w:tcBorders>
              <w:top w:val="single" w:color="D9D9D9" w:themeColor="background1" w:themeShade="D9" w:sz="6" w:space="0"/>
              <w:left w:val="nil"/>
              <w:bottom w:val="nil"/>
              <w:right w:val="nil"/>
            </w:tcBorders>
            <w:tcMar>
              <w:left w:w="105" w:type="dxa"/>
              <w:right w:w="105" w:type="dxa"/>
            </w:tcMar>
          </w:tcPr>
          <w:p w:rsidR="504484CA" w:rsidP="504484CA" w:rsidRDefault="504484CA" w14:paraId="04C00165" w14:textId="272663B7">
            <w:pPr>
              <w:spacing w:after="240" w:line="240" w:lineRule="auto"/>
              <w:rPr>
                <w:rFonts w:ascii="Verdana" w:hAnsi="Verdana" w:eastAsia="Verdana" w:cs="Verdana"/>
                <w:sz w:val="18"/>
                <w:szCs w:val="18"/>
              </w:rPr>
            </w:pPr>
            <w:r w:rsidRPr="504484CA">
              <w:rPr>
                <w:rFonts w:ascii="Verdana" w:hAnsi="Verdana" w:eastAsia="Verdana" w:cs="Verdana"/>
                <w:sz w:val="18"/>
                <w:szCs w:val="18"/>
              </w:rPr>
              <w:t>Titel</w:t>
            </w:r>
          </w:p>
        </w:tc>
        <w:tc>
          <w:tcPr>
            <w:tcW w:w="6660" w:type="dxa"/>
            <w:tcBorders>
              <w:top w:val="single" w:color="D9D9D9" w:themeColor="background1" w:themeShade="D9" w:sz="6" w:space="0"/>
              <w:left w:val="nil"/>
              <w:bottom w:val="nil"/>
              <w:right w:val="single" w:color="D9D9D9" w:themeColor="background1" w:themeShade="D9" w:sz="6" w:space="0"/>
            </w:tcBorders>
            <w:tcMar>
              <w:left w:w="105" w:type="dxa"/>
              <w:right w:w="105" w:type="dxa"/>
            </w:tcMar>
          </w:tcPr>
          <w:p w:rsidR="1823BE86" w:rsidP="504484CA" w:rsidRDefault="1823BE86" w14:paraId="19AA113D" w14:textId="6A8461EB">
            <w:pPr>
              <w:spacing w:after="0" w:line="240" w:lineRule="auto"/>
              <w:rPr>
                <w:rFonts w:ascii="Verdana" w:hAnsi="Verdana" w:eastAsia="Verdana" w:cs="Verdana"/>
                <w:sz w:val="18"/>
                <w:szCs w:val="18"/>
              </w:rPr>
            </w:pPr>
            <w:r w:rsidRPr="504484CA">
              <w:rPr>
                <w:rFonts w:ascii="Verdana" w:hAnsi="Verdana" w:eastAsia="Verdana" w:cs="Verdana"/>
                <w:color w:val="000000" w:themeColor="text1"/>
                <w:sz w:val="18"/>
                <w:szCs w:val="18"/>
              </w:rPr>
              <w:t>Aanbeveling voor een BESLUIT VAN DE RAAD</w:t>
            </w:r>
          </w:p>
          <w:p w:rsidR="1823BE86" w:rsidP="504484CA" w:rsidRDefault="1823BE86" w14:paraId="7611A7AA" w14:textId="6AFD34F5">
            <w:pPr>
              <w:spacing w:after="0" w:line="240" w:lineRule="auto"/>
              <w:rPr>
                <w:rFonts w:ascii="Verdana" w:hAnsi="Verdana" w:eastAsia="Verdana" w:cs="Verdana"/>
                <w:sz w:val="18"/>
                <w:szCs w:val="18"/>
              </w:rPr>
            </w:pPr>
            <w:r w:rsidRPr="504484CA">
              <w:rPr>
                <w:rFonts w:ascii="Verdana" w:hAnsi="Verdana" w:eastAsia="Verdana" w:cs="Verdana"/>
                <w:color w:val="000000" w:themeColor="text1"/>
                <w:sz w:val="18"/>
                <w:szCs w:val="18"/>
              </w:rPr>
              <w:t xml:space="preserve">houdende machtiging tot het openen van onderhandelingen met de Republiek Korea over een overeenkomst inzake wederzijdse erkenning van conformiteitsbeoordelingen, certificaten en markeringen </w:t>
            </w:r>
            <w:hyperlink r:id="rId10">
              <w:r w:rsidRPr="504484CA">
                <w:rPr>
                  <w:rStyle w:val="Hyperlink"/>
                  <w:rFonts w:ascii="Verdana" w:hAnsi="Verdana" w:eastAsia="Verdana" w:cs="Verdana"/>
                  <w:sz w:val="18"/>
                  <w:szCs w:val="18"/>
                </w:rPr>
                <w:t>COM(2026)141</w:t>
              </w:r>
            </w:hyperlink>
          </w:p>
          <w:p w:rsidR="504484CA" w:rsidP="504484CA" w:rsidRDefault="504484CA" w14:paraId="2570BAE2" w14:textId="1E222CFA">
            <w:pPr>
              <w:spacing w:after="0" w:line="240" w:lineRule="auto"/>
              <w:rPr>
                <w:rFonts w:ascii="Verdana" w:hAnsi="Verdana" w:eastAsia="Verdana" w:cs="Verdana"/>
                <w:color w:val="467886"/>
                <w:sz w:val="18"/>
                <w:szCs w:val="18"/>
                <w:u w:val="single"/>
              </w:rPr>
            </w:pPr>
          </w:p>
        </w:tc>
      </w:tr>
      <w:tr w:rsidR="504484CA" w:rsidTr="504484CA" w14:paraId="0A2FCE9D" w14:textId="77777777">
        <w:trPr>
          <w:trHeight w:val="285"/>
        </w:trPr>
        <w:tc>
          <w:tcPr>
            <w:tcW w:w="720" w:type="dxa"/>
            <w:vMerge/>
            <w:tcBorders>
              <w:left w:val="single" w:color="D9D9D9" w:themeColor="background1" w:themeShade="D9" w:sz="0" w:space="0"/>
            </w:tcBorders>
            <w:vAlign w:val="center"/>
          </w:tcPr>
          <w:p w:rsidR="00DC0768" w:rsidRDefault="00DC0768" w14:paraId="419F1653" w14:textId="77777777"/>
        </w:tc>
        <w:tc>
          <w:tcPr>
            <w:tcW w:w="1440" w:type="dxa"/>
            <w:tcMar>
              <w:left w:w="105" w:type="dxa"/>
              <w:right w:w="105" w:type="dxa"/>
            </w:tcMar>
          </w:tcPr>
          <w:p w:rsidR="504484CA" w:rsidP="504484CA" w:rsidRDefault="504484CA" w14:paraId="574AE9CA" w14:textId="1C4123CC">
            <w:pPr>
              <w:spacing w:after="240" w:line="240" w:lineRule="auto"/>
              <w:rPr>
                <w:rFonts w:ascii="Verdana" w:hAnsi="Verdana" w:eastAsia="Verdana" w:cs="Verdana"/>
                <w:sz w:val="18"/>
                <w:szCs w:val="18"/>
              </w:rPr>
            </w:pPr>
            <w:r w:rsidRPr="504484CA">
              <w:rPr>
                <w:rFonts w:ascii="Verdana" w:hAnsi="Verdana" w:eastAsia="Verdana" w:cs="Verdana"/>
                <w:sz w:val="18"/>
                <w:szCs w:val="18"/>
              </w:rPr>
              <w:t>Voorstel</w:t>
            </w:r>
          </w:p>
        </w:tc>
        <w:tc>
          <w:tcPr>
            <w:tcW w:w="6660" w:type="dxa"/>
            <w:tcBorders>
              <w:top w:val="nil"/>
              <w:bottom w:val="nil"/>
              <w:right w:val="single" w:color="D9D9D9" w:themeColor="background1" w:themeShade="D9" w:sz="6" w:space="0"/>
            </w:tcBorders>
            <w:tcMar>
              <w:left w:w="105" w:type="dxa"/>
              <w:right w:w="105" w:type="dxa"/>
            </w:tcMar>
          </w:tcPr>
          <w:p w:rsidR="4F656CCB" w:rsidP="504484CA" w:rsidRDefault="4F656CCB" w14:paraId="0A0ED791" w14:textId="36A9E031">
            <w:pPr>
              <w:spacing w:after="240" w:line="240" w:lineRule="auto"/>
              <w:rPr>
                <w:rFonts w:ascii="Verdana" w:hAnsi="Verdana" w:eastAsia="Verdana" w:cs="Verdana"/>
                <w:sz w:val="18"/>
                <w:szCs w:val="18"/>
              </w:rPr>
            </w:pPr>
            <w:r w:rsidRPr="504484CA">
              <w:rPr>
                <w:rFonts w:ascii="Verdana" w:hAnsi="Verdana" w:eastAsia="Verdana" w:cs="Verdana"/>
                <w:sz w:val="18"/>
                <w:szCs w:val="18"/>
              </w:rPr>
              <w:t>Ter informatie</w:t>
            </w:r>
            <w:r w:rsidRPr="504484CA" w:rsidR="3AEE3C4E">
              <w:rPr>
                <w:rFonts w:ascii="Verdana" w:hAnsi="Verdana" w:eastAsia="Verdana" w:cs="Verdana"/>
                <w:sz w:val="18"/>
                <w:szCs w:val="18"/>
              </w:rPr>
              <w:t>.</w:t>
            </w:r>
            <w:r w:rsidRPr="504484CA">
              <w:rPr>
                <w:rFonts w:ascii="Verdana" w:hAnsi="Verdana" w:eastAsia="Verdana" w:cs="Verdana"/>
                <w:sz w:val="18"/>
                <w:szCs w:val="18"/>
              </w:rPr>
              <w:t xml:space="preserve"> </w:t>
            </w:r>
          </w:p>
        </w:tc>
      </w:tr>
      <w:tr w:rsidR="504484CA" w:rsidTr="504484CA" w14:paraId="44DAE91A" w14:textId="77777777">
        <w:trPr>
          <w:trHeight w:val="1770"/>
        </w:trPr>
        <w:tc>
          <w:tcPr>
            <w:tcW w:w="720" w:type="dxa"/>
            <w:vMerge/>
            <w:tcBorders>
              <w:top w:val="single" w:color="D9D9D9" w:themeColor="background1" w:themeShade="D9" w:sz="0" w:space="0"/>
              <w:left w:val="single" w:color="D9D9D9" w:themeColor="background1" w:themeShade="D9" w:sz="0" w:space="0"/>
              <w:bottom w:val="single" w:color="D9D9D9" w:themeColor="background1" w:themeShade="D9" w:sz="0" w:space="0"/>
            </w:tcBorders>
            <w:vAlign w:val="center"/>
          </w:tcPr>
          <w:p w:rsidR="00DC0768" w:rsidRDefault="00DC0768" w14:paraId="180A4C60" w14:textId="77777777"/>
        </w:tc>
        <w:tc>
          <w:tcPr>
            <w:tcW w:w="1440" w:type="dxa"/>
            <w:tcBorders>
              <w:left w:val="nil"/>
              <w:bottom w:val="single" w:color="D9D9D9" w:themeColor="background1" w:themeShade="D9" w:sz="6" w:space="0"/>
              <w:right w:val="nil"/>
            </w:tcBorders>
            <w:tcMar>
              <w:left w:w="105" w:type="dxa"/>
              <w:right w:w="105" w:type="dxa"/>
            </w:tcMar>
          </w:tcPr>
          <w:p w:rsidR="504484CA" w:rsidP="504484CA" w:rsidRDefault="504484CA" w14:paraId="56F5E921" w14:textId="3CE6F8F7">
            <w:pPr>
              <w:spacing w:after="240" w:line="240" w:lineRule="auto"/>
              <w:rPr>
                <w:rFonts w:ascii="Verdana" w:hAnsi="Verdana" w:eastAsia="Verdana" w:cs="Verdana"/>
                <w:sz w:val="18"/>
                <w:szCs w:val="18"/>
              </w:rPr>
            </w:pPr>
            <w:r w:rsidRPr="504484CA">
              <w:rPr>
                <w:rFonts w:ascii="Verdana" w:hAnsi="Verdana" w:eastAsia="Verdana" w:cs="Verdana"/>
                <w:sz w:val="18"/>
                <w:szCs w:val="18"/>
              </w:rPr>
              <w:t>Noot</w:t>
            </w:r>
          </w:p>
        </w:tc>
        <w:tc>
          <w:tcPr>
            <w:tcW w:w="6660" w:type="dxa"/>
            <w:tcBorders>
              <w:top w:val="nil"/>
              <w:left w:val="nil"/>
              <w:bottom w:val="single" w:color="D9D9D9" w:themeColor="background1" w:themeShade="D9" w:sz="6" w:space="0"/>
              <w:right w:val="single" w:color="D9D9D9" w:themeColor="background1" w:themeShade="D9" w:sz="6" w:space="0"/>
            </w:tcBorders>
            <w:tcMar>
              <w:left w:w="105" w:type="dxa"/>
              <w:right w:w="105" w:type="dxa"/>
            </w:tcMar>
          </w:tcPr>
          <w:p w:rsidR="187A6623" w:rsidP="504484CA" w:rsidRDefault="187A6623" w14:paraId="786D4296" w14:textId="002CDC51">
            <w:pPr>
              <w:shd w:val="clear" w:color="auto" w:fill="FFFFFF" w:themeFill="background1"/>
              <w:spacing w:after="0" w:line="240" w:lineRule="auto"/>
              <w:rPr>
                <w:rFonts w:eastAsiaTheme="minorEastAsia"/>
                <w:sz w:val="18"/>
                <w:szCs w:val="18"/>
              </w:rPr>
            </w:pPr>
            <w:r w:rsidRPr="504484CA">
              <w:rPr>
                <w:rFonts w:eastAsiaTheme="minorEastAsia"/>
                <w:color w:val="333333"/>
                <w:sz w:val="18"/>
                <w:szCs w:val="18"/>
              </w:rPr>
              <w:t>Met deze aanbeveling verzoekt de Europese Commissie de Raad om machtiging te verlenen tot het openen van onderhandelingen over een overeenkomst over wederzijdse erkenning (MRA) van conformiteitsbeoordelingen, certificaten en markeringen tussen de EU en de Republiek Korea</w:t>
            </w:r>
            <w:r w:rsidRPr="504484CA" w:rsidR="62DD85ED">
              <w:rPr>
                <w:rFonts w:eastAsiaTheme="minorEastAsia"/>
                <w:color w:val="333333"/>
                <w:sz w:val="18"/>
                <w:szCs w:val="18"/>
              </w:rPr>
              <w:t>,</w:t>
            </w:r>
            <w:r w:rsidRPr="504484CA">
              <w:rPr>
                <w:rFonts w:eastAsiaTheme="minorEastAsia"/>
                <w:color w:val="333333"/>
                <w:sz w:val="18"/>
                <w:szCs w:val="18"/>
              </w:rPr>
              <w:t xml:space="preserve"> de Commissie aan te wijzen als onderhandelaar van de EU</w:t>
            </w:r>
            <w:r w:rsidRPr="504484CA" w:rsidR="7D2F415C">
              <w:rPr>
                <w:rFonts w:eastAsiaTheme="minorEastAsia"/>
                <w:color w:val="333333"/>
                <w:sz w:val="18"/>
                <w:szCs w:val="18"/>
              </w:rPr>
              <w:t>,</w:t>
            </w:r>
            <w:r w:rsidRPr="504484CA">
              <w:rPr>
                <w:rFonts w:eastAsiaTheme="minorEastAsia"/>
                <w:color w:val="333333"/>
                <w:sz w:val="18"/>
                <w:szCs w:val="18"/>
              </w:rPr>
              <w:t xml:space="preserve"> richtsnoeren aan de onderhandelaar te verstrekken en een speciaal comité aan te wijzen in overleg waarmee de onderhandelingen worden gevoerd.</w:t>
            </w:r>
          </w:p>
        </w:tc>
      </w:tr>
    </w:tbl>
    <w:p w:rsidR="00DC0768" w:rsidP="504484CA" w:rsidRDefault="00DC0768" w14:paraId="7433A815" w14:textId="4F107D05">
      <w:pPr>
        <w:spacing w:after="0" w:line="240" w:lineRule="auto"/>
        <w:rPr>
          <w:rFonts w:ascii="Verdana" w:hAnsi="Verdana" w:eastAsia="Verdana" w:cs="Verdana"/>
          <w:color w:val="000000" w:themeColor="text1"/>
          <w:sz w:val="18"/>
          <w:szCs w:val="18"/>
        </w:rPr>
      </w:pPr>
    </w:p>
    <w:p w:rsidR="00DC0768" w:rsidP="504484CA" w:rsidRDefault="00DC0768" w14:paraId="6FDB4AF4" w14:textId="770D589F">
      <w:pPr>
        <w:spacing w:after="0" w:line="240" w:lineRule="auto"/>
        <w:rPr>
          <w:rFonts w:ascii="Verdana" w:hAnsi="Verdana" w:eastAsia="Verdana" w:cs="Verdana"/>
          <w:color w:val="000000" w:themeColor="text1"/>
          <w:sz w:val="18"/>
          <w:szCs w:val="18"/>
        </w:rPr>
      </w:pPr>
    </w:p>
    <w:p w:rsidR="00DC0768" w:rsidRDefault="00DC0768" w14:paraId="7B5CAEB5" w14:textId="15168960"/>
    <w:sectPr w:rsidR="00DC0768">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3DB5"/>
    <w:multiLevelType w:val="hybridMultilevel"/>
    <w:tmpl w:val="C3C2A556"/>
    <w:lvl w:ilvl="0" w:tplc="7A383F52">
      <w:start w:val="1"/>
      <w:numFmt w:val="upperRoman"/>
      <w:lvlText w:val="%1."/>
      <w:lvlJc w:val="right"/>
      <w:pPr>
        <w:ind w:left="720" w:hanging="360"/>
      </w:pPr>
    </w:lvl>
    <w:lvl w:ilvl="1" w:tplc="A5AC4DA6">
      <w:start w:val="1"/>
      <w:numFmt w:val="lowerLetter"/>
      <w:lvlText w:val="%2."/>
      <w:lvlJc w:val="left"/>
      <w:pPr>
        <w:ind w:left="1440" w:hanging="360"/>
      </w:pPr>
    </w:lvl>
    <w:lvl w:ilvl="2" w:tplc="4A6449F0">
      <w:start w:val="1"/>
      <w:numFmt w:val="lowerRoman"/>
      <w:lvlText w:val="%3."/>
      <w:lvlJc w:val="right"/>
      <w:pPr>
        <w:ind w:left="2160" w:hanging="180"/>
      </w:pPr>
    </w:lvl>
    <w:lvl w:ilvl="3" w:tplc="00808BD6">
      <w:start w:val="1"/>
      <w:numFmt w:val="decimal"/>
      <w:lvlText w:val="%4."/>
      <w:lvlJc w:val="left"/>
      <w:pPr>
        <w:ind w:left="2880" w:hanging="360"/>
      </w:pPr>
    </w:lvl>
    <w:lvl w:ilvl="4" w:tplc="337A4FE2">
      <w:start w:val="1"/>
      <w:numFmt w:val="lowerLetter"/>
      <w:lvlText w:val="%5."/>
      <w:lvlJc w:val="left"/>
      <w:pPr>
        <w:ind w:left="3600" w:hanging="360"/>
      </w:pPr>
    </w:lvl>
    <w:lvl w:ilvl="5" w:tplc="E634D82E">
      <w:start w:val="1"/>
      <w:numFmt w:val="lowerRoman"/>
      <w:lvlText w:val="%6."/>
      <w:lvlJc w:val="right"/>
      <w:pPr>
        <w:ind w:left="4320" w:hanging="180"/>
      </w:pPr>
    </w:lvl>
    <w:lvl w:ilvl="6" w:tplc="F9C22AC2">
      <w:start w:val="1"/>
      <w:numFmt w:val="decimal"/>
      <w:lvlText w:val="%7."/>
      <w:lvlJc w:val="left"/>
      <w:pPr>
        <w:ind w:left="5040" w:hanging="360"/>
      </w:pPr>
    </w:lvl>
    <w:lvl w:ilvl="7" w:tplc="AE627D5E">
      <w:start w:val="1"/>
      <w:numFmt w:val="lowerLetter"/>
      <w:lvlText w:val="%8."/>
      <w:lvlJc w:val="left"/>
      <w:pPr>
        <w:ind w:left="5760" w:hanging="360"/>
      </w:pPr>
    </w:lvl>
    <w:lvl w:ilvl="8" w:tplc="FC88A736">
      <w:start w:val="1"/>
      <w:numFmt w:val="lowerRoman"/>
      <w:lvlText w:val="%9."/>
      <w:lvlJc w:val="right"/>
      <w:pPr>
        <w:ind w:left="6480" w:hanging="180"/>
      </w:pPr>
    </w:lvl>
  </w:abstractNum>
  <w:abstractNum w:abstractNumId="1" w15:restartNumberingAfterBreak="0">
    <w:nsid w:val="6D24195E"/>
    <w:multiLevelType w:val="hybridMultilevel"/>
    <w:tmpl w:val="ADB6B702"/>
    <w:lvl w:ilvl="0" w:tplc="4DD6996A">
      <w:start w:val="1"/>
      <w:numFmt w:val="decimal"/>
      <w:lvlText w:val="%1."/>
      <w:lvlJc w:val="left"/>
      <w:pPr>
        <w:ind w:left="501" w:hanging="360"/>
      </w:pPr>
    </w:lvl>
    <w:lvl w:ilvl="1" w:tplc="1D06E838">
      <w:start w:val="1"/>
      <w:numFmt w:val="lowerLetter"/>
      <w:lvlText w:val="%2."/>
      <w:lvlJc w:val="left"/>
      <w:pPr>
        <w:ind w:left="1440" w:hanging="360"/>
      </w:pPr>
    </w:lvl>
    <w:lvl w:ilvl="2" w:tplc="3D925BC2">
      <w:start w:val="1"/>
      <w:numFmt w:val="lowerRoman"/>
      <w:lvlText w:val="%3."/>
      <w:lvlJc w:val="right"/>
      <w:pPr>
        <w:ind w:left="2160" w:hanging="180"/>
      </w:pPr>
    </w:lvl>
    <w:lvl w:ilvl="3" w:tplc="B620605C">
      <w:start w:val="1"/>
      <w:numFmt w:val="decimal"/>
      <w:lvlText w:val="%4."/>
      <w:lvlJc w:val="left"/>
      <w:pPr>
        <w:ind w:left="2880" w:hanging="360"/>
      </w:pPr>
    </w:lvl>
    <w:lvl w:ilvl="4" w:tplc="08D67E6A">
      <w:start w:val="1"/>
      <w:numFmt w:val="lowerLetter"/>
      <w:lvlText w:val="%5."/>
      <w:lvlJc w:val="left"/>
      <w:pPr>
        <w:ind w:left="3600" w:hanging="360"/>
      </w:pPr>
    </w:lvl>
    <w:lvl w:ilvl="5" w:tplc="2432121C">
      <w:start w:val="1"/>
      <w:numFmt w:val="lowerRoman"/>
      <w:lvlText w:val="%6."/>
      <w:lvlJc w:val="right"/>
      <w:pPr>
        <w:ind w:left="4320" w:hanging="180"/>
      </w:pPr>
    </w:lvl>
    <w:lvl w:ilvl="6" w:tplc="0FEAFA6A">
      <w:start w:val="1"/>
      <w:numFmt w:val="decimal"/>
      <w:lvlText w:val="%7."/>
      <w:lvlJc w:val="left"/>
      <w:pPr>
        <w:ind w:left="5040" w:hanging="360"/>
      </w:pPr>
    </w:lvl>
    <w:lvl w:ilvl="7" w:tplc="53540DAE">
      <w:start w:val="1"/>
      <w:numFmt w:val="lowerLetter"/>
      <w:lvlText w:val="%8."/>
      <w:lvlJc w:val="left"/>
      <w:pPr>
        <w:ind w:left="5760" w:hanging="360"/>
      </w:pPr>
    </w:lvl>
    <w:lvl w:ilvl="8" w:tplc="0E9CF306">
      <w:start w:val="1"/>
      <w:numFmt w:val="lowerRoman"/>
      <w:lvlText w:val="%9."/>
      <w:lvlJc w:val="right"/>
      <w:pPr>
        <w:ind w:left="6480" w:hanging="180"/>
      </w:pPr>
    </w:lvl>
  </w:abstractNum>
  <w:abstractNum w:abstractNumId="2" w15:restartNumberingAfterBreak="0">
    <w:nsid w:val="7EA99B5F"/>
    <w:multiLevelType w:val="hybridMultilevel"/>
    <w:tmpl w:val="BD726FDE"/>
    <w:lvl w:ilvl="0" w:tplc="2AE4DE92">
      <w:start w:val="1"/>
      <w:numFmt w:val="bullet"/>
      <w:lvlText w:val="-"/>
      <w:lvlJc w:val="left"/>
      <w:pPr>
        <w:ind w:left="720" w:hanging="360"/>
      </w:pPr>
      <w:rPr>
        <w:rFonts w:ascii="Aptos" w:hAnsi="Aptos" w:hint="default"/>
      </w:rPr>
    </w:lvl>
    <w:lvl w:ilvl="1" w:tplc="365A6E8E">
      <w:start w:val="1"/>
      <w:numFmt w:val="bullet"/>
      <w:lvlText w:val="o"/>
      <w:lvlJc w:val="left"/>
      <w:pPr>
        <w:ind w:left="1440" w:hanging="360"/>
      </w:pPr>
      <w:rPr>
        <w:rFonts w:ascii="Courier New" w:hAnsi="Courier New" w:hint="default"/>
      </w:rPr>
    </w:lvl>
    <w:lvl w:ilvl="2" w:tplc="9A203B3A">
      <w:start w:val="1"/>
      <w:numFmt w:val="bullet"/>
      <w:lvlText w:val=""/>
      <w:lvlJc w:val="left"/>
      <w:pPr>
        <w:ind w:left="2160" w:hanging="360"/>
      </w:pPr>
      <w:rPr>
        <w:rFonts w:ascii="Wingdings" w:hAnsi="Wingdings" w:hint="default"/>
      </w:rPr>
    </w:lvl>
    <w:lvl w:ilvl="3" w:tplc="68005686">
      <w:start w:val="1"/>
      <w:numFmt w:val="bullet"/>
      <w:lvlText w:val=""/>
      <w:lvlJc w:val="left"/>
      <w:pPr>
        <w:ind w:left="2880" w:hanging="360"/>
      </w:pPr>
      <w:rPr>
        <w:rFonts w:ascii="Symbol" w:hAnsi="Symbol" w:hint="default"/>
      </w:rPr>
    </w:lvl>
    <w:lvl w:ilvl="4" w:tplc="C46ABC54">
      <w:start w:val="1"/>
      <w:numFmt w:val="bullet"/>
      <w:lvlText w:val="o"/>
      <w:lvlJc w:val="left"/>
      <w:pPr>
        <w:ind w:left="3600" w:hanging="360"/>
      </w:pPr>
      <w:rPr>
        <w:rFonts w:ascii="Courier New" w:hAnsi="Courier New" w:hint="default"/>
      </w:rPr>
    </w:lvl>
    <w:lvl w:ilvl="5" w:tplc="74DC7C94">
      <w:start w:val="1"/>
      <w:numFmt w:val="bullet"/>
      <w:lvlText w:val=""/>
      <w:lvlJc w:val="left"/>
      <w:pPr>
        <w:ind w:left="4320" w:hanging="360"/>
      </w:pPr>
      <w:rPr>
        <w:rFonts w:ascii="Wingdings" w:hAnsi="Wingdings" w:hint="default"/>
      </w:rPr>
    </w:lvl>
    <w:lvl w:ilvl="6" w:tplc="CC36DFC6">
      <w:start w:val="1"/>
      <w:numFmt w:val="bullet"/>
      <w:lvlText w:val=""/>
      <w:lvlJc w:val="left"/>
      <w:pPr>
        <w:ind w:left="5040" w:hanging="360"/>
      </w:pPr>
      <w:rPr>
        <w:rFonts w:ascii="Symbol" w:hAnsi="Symbol" w:hint="default"/>
      </w:rPr>
    </w:lvl>
    <w:lvl w:ilvl="7" w:tplc="7074A528">
      <w:start w:val="1"/>
      <w:numFmt w:val="bullet"/>
      <w:lvlText w:val="o"/>
      <w:lvlJc w:val="left"/>
      <w:pPr>
        <w:ind w:left="5760" w:hanging="360"/>
      </w:pPr>
      <w:rPr>
        <w:rFonts w:ascii="Courier New" w:hAnsi="Courier New" w:hint="default"/>
      </w:rPr>
    </w:lvl>
    <w:lvl w:ilvl="8" w:tplc="883AA60E">
      <w:start w:val="1"/>
      <w:numFmt w:val="bullet"/>
      <w:lvlText w:val=""/>
      <w:lvlJc w:val="left"/>
      <w:pPr>
        <w:ind w:left="6480" w:hanging="360"/>
      </w:pPr>
      <w:rPr>
        <w:rFonts w:ascii="Wingdings" w:hAnsi="Wingdings" w:hint="default"/>
      </w:rPr>
    </w:lvl>
  </w:abstractNum>
  <w:num w:numId="1" w16cid:durableId="200482052">
    <w:abstractNumId w:val="2"/>
  </w:num>
  <w:num w:numId="2" w16cid:durableId="823861043">
    <w:abstractNumId w:val="1"/>
  </w:num>
  <w:num w:numId="3" w16cid:durableId="161902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89FCA1"/>
    <w:rsid w:val="006D585C"/>
    <w:rsid w:val="00742993"/>
    <w:rsid w:val="00DC0768"/>
    <w:rsid w:val="00E70AEC"/>
    <w:rsid w:val="03C8F1D0"/>
    <w:rsid w:val="04DAA82D"/>
    <w:rsid w:val="05D79A01"/>
    <w:rsid w:val="11494CCD"/>
    <w:rsid w:val="12D75F2D"/>
    <w:rsid w:val="1823BE86"/>
    <w:rsid w:val="187A6623"/>
    <w:rsid w:val="18E5A747"/>
    <w:rsid w:val="1A0B765D"/>
    <w:rsid w:val="1C40761B"/>
    <w:rsid w:val="26C6CA8F"/>
    <w:rsid w:val="2C161365"/>
    <w:rsid w:val="3AEE3C4E"/>
    <w:rsid w:val="3D4ECEE2"/>
    <w:rsid w:val="3EDA1C46"/>
    <w:rsid w:val="40F4352A"/>
    <w:rsid w:val="483BF8E7"/>
    <w:rsid w:val="494E1C8D"/>
    <w:rsid w:val="4A59F215"/>
    <w:rsid w:val="4CC44D6D"/>
    <w:rsid w:val="4D835428"/>
    <w:rsid w:val="4F656CCB"/>
    <w:rsid w:val="504484CA"/>
    <w:rsid w:val="554207B1"/>
    <w:rsid w:val="5CFA37B3"/>
    <w:rsid w:val="5F3A8F0D"/>
    <w:rsid w:val="62DD85ED"/>
    <w:rsid w:val="644DF4F6"/>
    <w:rsid w:val="658AEE13"/>
    <w:rsid w:val="65D6B043"/>
    <w:rsid w:val="6A4A8C4F"/>
    <w:rsid w:val="6F89FCA1"/>
    <w:rsid w:val="718D6B55"/>
    <w:rsid w:val="75A856CD"/>
    <w:rsid w:val="788D6026"/>
    <w:rsid w:val="78CF1F9C"/>
    <w:rsid w:val="7D2F415C"/>
    <w:rsid w:val="7EAC6F81"/>
    <w:rsid w:val="7EC787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2829"/>
  <w15:chartTrackingRefBased/>
  <w15:docId w15:val="{C1F4F3EB-FC4B-4E89-A67E-A81CCA17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504484CA"/>
    <w:pPr>
      <w:ind w:left="720"/>
      <w:contextualSpacing/>
    </w:pPr>
  </w:style>
  <w:style w:type="character" w:styleId="Hyperlink">
    <w:name w:val="Hyperlink"/>
    <w:basedOn w:val="Standaardalinea-lettertype"/>
    <w:uiPriority w:val="99"/>
    <w:unhideWhenUsed/>
    <w:rsid w:val="504484CA"/>
    <w:rPr>
      <w:color w:val="467886"/>
      <w:u w:val="single"/>
    </w:rPr>
  </w:style>
  <w:style w:type="paragraph" w:customStyle="1" w:styleId="PlatteTekst">
    <w:name w:val="Platte_Tekst"/>
    <w:basedOn w:val="Standaard"/>
    <w:uiPriority w:val="99"/>
    <w:rsid w:val="504484CA"/>
    <w:pPr>
      <w:spacing w:after="0" w:line="284" w:lineRule="exact"/>
    </w:pPr>
    <w:rPr>
      <w:rFonts w:eastAsiaTheme="minorEastAsia"/>
      <w:sz w:val="18"/>
      <w:szCs w:val="18"/>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eur06.safelinks.protection.outlook.com/?url=https%3A%2F%2Feur-lex.europa.eu%2Flegal-content%2FNL%2FTXT%2F%3Furi%3DCELEX%253A52026PC0141%26qid%3D1775548729275&amp;data=05%7C02%7Ca.hartman%40tweedekamer.nl%7C704aa7ad8d4145eb23bb08de959083fc%7C238cb5073f714afeaaab8382731a4345%7C0%7C0%7C639112645080334724%7CUnknown%7CTWFpbGZsb3d8eyJFbXB0eU1hcGkiOnRydWUsIlYiOiIwLjAuMDAwMCIsIlAiOiJXaW4zMiIsIkFOIjoiTWFpbCIsIldUIjoyfQ%3D%3D%7C0%7C%7C%7C&amp;sdata=27hjGbWrdS5glRwPljAhU5LVpC9vwTdfecFNvNYTWNc%3D&amp;reserved=0" TargetMode="External" Id="rId10" /><Relationship Type="http://schemas.openxmlformats.org/officeDocument/2006/relationships/hyperlink" Target="https://eur06.safelinks.protection.outlook.com/?url=https%3A%2F%2Feur-lex.europa.eu%2Flegal-content%2FNL%2FTXT%2F%3Furi%3DCELEX%253A52026PC0130%26qid%3D1776235746072&amp;data=05%7C02%7Ca.hartman%40tweedekamer.nl%7Caef13d71597244a2435408de9b7dab56%7C238cb5073f714afeaaab8382731a4345%7C0%7C0%7C639119161223880873%7CUnknown%7CTWFpbGZsb3d8eyJFbXB0eU1hcGkiOnRydWUsIlYiOiIwLjAuMDAwMCIsIlAiOiJXaW4zMiIsIkFOIjoiTWFpbCIsIldUIjoyfQ%3D%3D%7C0%7C%7C%7C&amp;sdata=dyJm4OPIdXZvi8xXd2QYa400dB2GOJ9teec91HQBiFY%3D&amp;reserved=0"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530</ap:Words>
  <ap:Characters>2917</ap:Characters>
  <ap:DocSecurity>0</ap:DocSecurity>
  <ap:Lines>24</ap:Lines>
  <ap:Paragraphs>6</ap:Paragraphs>
  <ap:ScaleCrop>false</ap:ScaleCrop>
  <ap:LinksUpToDate>false</ap:LinksUpToDate>
  <ap:CharactersWithSpaces>3441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2026-04-16T11:57:00.0000000Z</dcterms:created>
  <dcterms:modified xsi:type="dcterms:W3CDTF">2026-04-16T11:57:00.0000000Z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0x0101008746B69D239AEA48A90445C3DE807A80</vt:lpwstr>
  </property>
  <property fmtid="{D5CDD505-2E9C-101B-9397-08002B2CF9AE}" pid="3" name="_dlc_DocIdItemGuid">
    <vt:lpwstr>981a2f9b-f838-4017-a5a2-0e0cd66eed2e</vt:lpwstr>
  </property>
  <property fmtid="{D5CDD505-2E9C-101B-9397-08002B2CF9AE}" pid="4" name="i8059d02f088452aaeb98febffd942f6">
    <vt:lpwstr/>
  </property>
  <property fmtid="{D5CDD505-2E9C-101B-9397-08002B2CF9AE}" pid="5" name="k570b61d1c8344118cf7041903a91b3a">
    <vt:lpwstr>47. Het structureren, ordenen, analyseren, duiden, overbrengen en presenteren van informatie ten behoeve van parlementaire processen en parlementair onderzoek|c64fbbe8-7c78-42c3-a920-8bb219caf38b</vt:lpwstr>
  </property>
  <property fmtid="{D5CDD505-2E9C-101B-9397-08002B2CF9AE}" pid="6" name="Dossierstatus">
    <vt:lpwstr>Concept</vt:lpwstr>
  </property>
  <property fmtid="{D5CDD505-2E9C-101B-9397-08002B2CF9AE}" pid="7" name="Process">
    <vt:lpwstr>CIE BHO EU zaken adviseren en ondersteunen</vt:lpwstr>
  </property>
  <property fmtid="{D5CDD505-2E9C-101B-9397-08002B2CF9AE}" pid="8"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9" name="Processnummer">
    <vt:lpwstr>P0224</vt:lpwstr>
  </property>
  <property fmtid="{D5CDD505-2E9C-101B-9397-08002B2CF9AE}" pid="10" name="Beperking">
    <vt:lpwstr/>
  </property>
  <property fmtid="{D5CDD505-2E9C-101B-9397-08002B2CF9AE}" pid="11" name="TaxCatchAll">
    <vt:lpwstr>1;#47. Het structureren, ordenen, analyseren, duiden, overbrengen en presenteren van informatie ten behoeve van parlementaire processen en parlementair onderzoek|c64fbbe8-7c78-42c3-a920-8bb219caf38b</vt:lpwstr>
  </property>
</Properties>
</file>