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144A" w:rsidR="00025744" w:rsidP="00257283" w:rsidRDefault="00427562" w14:paraId="223FD881" w14:textId="77777777">
      <w:pPr>
        <w:spacing w:line="360" w:lineRule="auto"/>
        <w:rPr>
          <w:rFonts w:asciiTheme="minorHAnsi" w:hAnsiTheme="minorHAnsi"/>
          <w:sz w:val="28"/>
          <w:szCs w:val="28"/>
          <w:lang w:val="nl-NL"/>
        </w:rPr>
      </w:pPr>
      <w:r w:rsidRPr="00D6144A">
        <w:rPr>
          <w:rFonts w:asciiTheme="minorHAnsi" w:hAnsiTheme="minorHAnsi"/>
          <w:b/>
          <w:sz w:val="28"/>
          <w:szCs w:val="28"/>
          <w:lang w:val="nl-NL"/>
        </w:rPr>
        <w:t>Verslag Financieel Stabiliteitscomité – 20 maart 2026</w:t>
      </w:r>
    </w:p>
    <w:p w:rsidRPr="00D6144A" w:rsidR="00025744" w:rsidP="00257283" w:rsidRDefault="00427562" w14:paraId="06617E9F" w14:textId="77B635C9">
      <w:pPr>
        <w:spacing w:line="360" w:lineRule="auto"/>
        <w:rPr>
          <w:rFonts w:asciiTheme="minorHAnsi" w:hAnsiTheme="minorHAnsi"/>
          <w:sz w:val="21"/>
          <w:szCs w:val="21"/>
          <w:lang w:val="nl-NL"/>
        </w:rPr>
      </w:pPr>
      <w:r w:rsidRPr="00D6144A">
        <w:rPr>
          <w:rFonts w:asciiTheme="minorHAnsi" w:hAnsiTheme="minorHAnsi"/>
          <w:sz w:val="21"/>
          <w:szCs w:val="21"/>
          <w:lang w:val="nl-NL"/>
        </w:rPr>
        <w:t>In het Financieel Stabiliteitscomité (FSC) spreken vertegenwoordigers van de Autoriteit Financiële Markten (AFM), De Nederlandsche Bank (DNB) en het ministerie van Financiën (FIN) over ontwikkelingen op het gebied van de stabiliteit van het Nederlandse financiële stelsel. Het Centraal Planbureau (CPB) neemt als externe deskundige deel aan de vergaderingen. Bij de bespreking over de monitor hypothecaire leennormen</w:t>
      </w:r>
      <w:r w:rsidR="00BA3046">
        <w:rPr>
          <w:rFonts w:asciiTheme="minorHAnsi" w:hAnsiTheme="minorHAnsi"/>
          <w:sz w:val="21"/>
          <w:szCs w:val="21"/>
          <w:lang w:val="nl-NL"/>
        </w:rPr>
        <w:t>, de toegankelijkheidsmonitor koopwoningmarkt</w:t>
      </w:r>
      <w:r w:rsidRPr="00D6144A">
        <w:rPr>
          <w:rFonts w:asciiTheme="minorHAnsi" w:hAnsiTheme="minorHAnsi"/>
          <w:sz w:val="21"/>
          <w:szCs w:val="21"/>
          <w:lang w:val="nl-NL"/>
        </w:rPr>
        <w:t xml:space="preserve"> en het perspectief op de woningmarkt was </w:t>
      </w:r>
      <w:r w:rsidRPr="00D6144A" w:rsidR="008E61AB">
        <w:rPr>
          <w:rFonts w:asciiTheme="minorHAnsi" w:hAnsiTheme="minorHAnsi"/>
          <w:sz w:val="21"/>
          <w:szCs w:val="21"/>
          <w:lang w:val="nl-NL"/>
        </w:rPr>
        <w:t>ook</w:t>
      </w:r>
      <w:r w:rsidRPr="00D6144A">
        <w:rPr>
          <w:rFonts w:asciiTheme="minorHAnsi" w:hAnsiTheme="minorHAnsi"/>
          <w:sz w:val="21"/>
          <w:szCs w:val="21"/>
          <w:lang w:val="nl-NL"/>
        </w:rPr>
        <w:t xml:space="preserve"> een vertegenwoordiger van het ministerie van </w:t>
      </w:r>
      <w:r w:rsidRPr="006C5DAB" w:rsidR="006C5DAB">
        <w:rPr>
          <w:rFonts w:asciiTheme="minorHAnsi" w:hAnsiTheme="minorHAnsi"/>
          <w:sz w:val="21"/>
          <w:szCs w:val="21"/>
          <w:lang w:val="nl-NL"/>
        </w:rPr>
        <w:t>Volkshuisvesting en Ruimtelijke Ordening (VRO)</w:t>
      </w:r>
      <w:r w:rsidRPr="00D6144A">
        <w:rPr>
          <w:rFonts w:asciiTheme="minorHAnsi" w:hAnsiTheme="minorHAnsi"/>
          <w:sz w:val="21"/>
          <w:szCs w:val="21"/>
          <w:lang w:val="nl-NL"/>
        </w:rPr>
        <w:t xml:space="preserve"> aanwezig. De president van DNB is voorzitter van het FSC.</w:t>
      </w:r>
    </w:p>
    <w:p w:rsidRPr="00D6144A" w:rsidR="00025744" w:rsidP="00257283" w:rsidRDefault="00427562" w14:paraId="65433E40" w14:textId="1AEA7923">
      <w:pPr>
        <w:spacing w:line="360" w:lineRule="auto"/>
        <w:rPr>
          <w:rFonts w:asciiTheme="minorHAnsi" w:hAnsiTheme="minorHAnsi"/>
          <w:sz w:val="21"/>
          <w:szCs w:val="21"/>
          <w:lang w:val="nl-NL"/>
        </w:rPr>
      </w:pPr>
      <w:r w:rsidRPr="00D6144A">
        <w:rPr>
          <w:rFonts w:asciiTheme="minorHAnsi" w:hAnsiTheme="minorHAnsi"/>
          <w:sz w:val="21"/>
          <w:szCs w:val="21"/>
          <w:lang w:val="nl-NL"/>
        </w:rPr>
        <w:t xml:space="preserve">Tijdens de vergadering zijn </w:t>
      </w:r>
      <w:r w:rsidRPr="00D6144A" w:rsidR="005B4F10">
        <w:rPr>
          <w:rFonts w:asciiTheme="minorHAnsi" w:hAnsiTheme="minorHAnsi"/>
          <w:sz w:val="21"/>
          <w:szCs w:val="21"/>
          <w:lang w:val="nl-NL"/>
        </w:rPr>
        <w:t>drie</w:t>
      </w:r>
      <w:r w:rsidRPr="00D6144A">
        <w:rPr>
          <w:rFonts w:asciiTheme="minorHAnsi" w:hAnsiTheme="minorHAnsi"/>
          <w:sz w:val="21"/>
          <w:szCs w:val="21"/>
          <w:lang w:val="nl-NL"/>
        </w:rPr>
        <w:t xml:space="preserve"> hoofdonderwerpen besproken: (1) actuele ontwikkelingen en risico’s voor de financiële stabiliteit</w:t>
      </w:r>
      <w:r w:rsidRPr="00D6144A" w:rsidR="005B4F10">
        <w:rPr>
          <w:rFonts w:asciiTheme="minorHAnsi" w:hAnsiTheme="minorHAnsi"/>
          <w:sz w:val="21"/>
          <w:szCs w:val="21"/>
          <w:lang w:val="nl-NL"/>
        </w:rPr>
        <w:t xml:space="preserve">, (2) </w:t>
      </w:r>
      <w:r w:rsidRPr="00D6144A" w:rsidR="007E4C9F">
        <w:rPr>
          <w:rFonts w:asciiTheme="minorHAnsi" w:hAnsiTheme="minorHAnsi"/>
          <w:sz w:val="21"/>
          <w:szCs w:val="21"/>
          <w:lang w:val="nl-NL"/>
        </w:rPr>
        <w:t>regelgeving van de financiële sector</w:t>
      </w:r>
      <w:r w:rsidRPr="00D6144A">
        <w:rPr>
          <w:rFonts w:asciiTheme="minorHAnsi" w:hAnsiTheme="minorHAnsi"/>
          <w:sz w:val="21"/>
          <w:szCs w:val="21"/>
          <w:lang w:val="nl-NL"/>
        </w:rPr>
        <w:t xml:space="preserve"> en (</w:t>
      </w:r>
      <w:r w:rsidRPr="00D6144A" w:rsidR="005B4F10">
        <w:rPr>
          <w:rFonts w:asciiTheme="minorHAnsi" w:hAnsiTheme="minorHAnsi"/>
          <w:sz w:val="21"/>
          <w:szCs w:val="21"/>
          <w:lang w:val="nl-NL"/>
        </w:rPr>
        <w:t>3</w:t>
      </w:r>
      <w:r w:rsidRPr="00D6144A">
        <w:rPr>
          <w:rFonts w:asciiTheme="minorHAnsi" w:hAnsiTheme="minorHAnsi"/>
          <w:sz w:val="21"/>
          <w:szCs w:val="21"/>
          <w:lang w:val="nl-NL"/>
        </w:rPr>
        <w:t>) de monitor hypothecaire leennormen</w:t>
      </w:r>
      <w:r w:rsidR="00BA3046">
        <w:rPr>
          <w:rFonts w:asciiTheme="minorHAnsi" w:hAnsiTheme="minorHAnsi"/>
          <w:sz w:val="21"/>
          <w:szCs w:val="21"/>
          <w:lang w:val="nl-NL"/>
        </w:rPr>
        <w:t>, de toegankelijkheidsmonitor koopwoningmarkt</w:t>
      </w:r>
      <w:r w:rsidRPr="00D6144A">
        <w:rPr>
          <w:rFonts w:asciiTheme="minorHAnsi" w:hAnsiTheme="minorHAnsi"/>
          <w:sz w:val="21"/>
          <w:szCs w:val="21"/>
          <w:lang w:val="nl-NL"/>
        </w:rPr>
        <w:t xml:space="preserve"> en het perspectief op de woningmarkt.</w:t>
      </w:r>
    </w:p>
    <w:p w:rsidRPr="00D6144A" w:rsidR="00025744" w:rsidP="00257283" w:rsidRDefault="00427562" w14:paraId="5FB808B2" w14:textId="77777777">
      <w:pPr>
        <w:spacing w:line="360" w:lineRule="auto"/>
        <w:rPr>
          <w:rFonts w:asciiTheme="minorHAnsi" w:hAnsiTheme="minorHAnsi"/>
          <w:sz w:val="21"/>
          <w:szCs w:val="21"/>
          <w:lang w:val="nl-NL"/>
        </w:rPr>
      </w:pPr>
      <w:r w:rsidRPr="00D6144A">
        <w:rPr>
          <w:rFonts w:asciiTheme="minorHAnsi" w:hAnsiTheme="minorHAnsi"/>
          <w:b/>
          <w:sz w:val="21"/>
          <w:szCs w:val="21"/>
          <w:u w:val="single"/>
          <w:lang w:val="nl-NL"/>
        </w:rPr>
        <w:t>1. Actuele ontwikkelingen en risico’s voor de financiële stabiliteit</w:t>
      </w:r>
    </w:p>
    <w:p w:rsidRPr="00D6144A" w:rsidR="00025744" w:rsidP="00257283" w:rsidRDefault="00427562" w14:paraId="323280A3" w14:textId="6238C020">
      <w:pPr>
        <w:spacing w:line="360" w:lineRule="auto"/>
        <w:rPr>
          <w:rFonts w:asciiTheme="minorHAnsi" w:hAnsiTheme="minorHAnsi"/>
          <w:sz w:val="21"/>
          <w:szCs w:val="21"/>
          <w:lang w:val="nl-NL"/>
        </w:rPr>
      </w:pPr>
      <w:r w:rsidRPr="00D6144A">
        <w:rPr>
          <w:rFonts w:asciiTheme="minorHAnsi" w:hAnsiTheme="minorHAnsi"/>
          <w:sz w:val="21"/>
          <w:szCs w:val="21"/>
          <w:lang w:val="nl-NL"/>
        </w:rPr>
        <w:t xml:space="preserve">Het FSC constateert dat de Nederlandse economie en financiële sector zich in een periode van verhoogde geopolitieke </w:t>
      </w:r>
      <w:r w:rsidR="00945112">
        <w:rPr>
          <w:rFonts w:asciiTheme="minorHAnsi" w:hAnsiTheme="minorHAnsi"/>
          <w:sz w:val="21"/>
          <w:szCs w:val="21"/>
          <w:lang w:val="nl-NL"/>
        </w:rPr>
        <w:t xml:space="preserve">spanningen </w:t>
      </w:r>
      <w:r w:rsidRPr="00D6144A">
        <w:rPr>
          <w:rFonts w:asciiTheme="minorHAnsi" w:hAnsiTheme="minorHAnsi"/>
          <w:sz w:val="21"/>
          <w:szCs w:val="21"/>
          <w:lang w:val="nl-NL"/>
        </w:rPr>
        <w:t xml:space="preserve">en macro‑economische onzekerheid </w:t>
      </w:r>
      <w:r w:rsidRPr="00D6144A" w:rsidR="000B27F8">
        <w:rPr>
          <w:rFonts w:asciiTheme="minorHAnsi" w:hAnsiTheme="minorHAnsi"/>
          <w:sz w:val="21"/>
          <w:szCs w:val="21"/>
          <w:lang w:val="nl-NL"/>
        </w:rPr>
        <w:t>vooralsnog</w:t>
      </w:r>
      <w:r w:rsidRPr="00D6144A">
        <w:rPr>
          <w:rFonts w:asciiTheme="minorHAnsi" w:hAnsiTheme="minorHAnsi"/>
          <w:sz w:val="21"/>
          <w:szCs w:val="21"/>
          <w:lang w:val="nl-NL"/>
        </w:rPr>
        <w:t xml:space="preserve"> veerkrachtig tonen. Tegelijkertijd neemt de onzekerheid over het internationale economische beeld toe, onder meer door </w:t>
      </w:r>
      <w:r w:rsidR="00CC5E77">
        <w:rPr>
          <w:rFonts w:asciiTheme="minorHAnsi" w:hAnsiTheme="minorHAnsi"/>
          <w:sz w:val="21"/>
          <w:szCs w:val="21"/>
          <w:lang w:val="nl-NL"/>
        </w:rPr>
        <w:t xml:space="preserve">sterk gestegen </w:t>
      </w:r>
      <w:r w:rsidRPr="00D6144A" w:rsidR="009E5ACB">
        <w:rPr>
          <w:rFonts w:asciiTheme="minorHAnsi" w:hAnsiTheme="minorHAnsi"/>
          <w:sz w:val="21"/>
          <w:szCs w:val="21"/>
          <w:lang w:val="nl-NL"/>
        </w:rPr>
        <w:t>energieprijzen</w:t>
      </w:r>
      <w:r w:rsidR="00A82295">
        <w:rPr>
          <w:rFonts w:asciiTheme="minorHAnsi" w:hAnsiTheme="minorHAnsi"/>
          <w:sz w:val="21"/>
          <w:szCs w:val="21"/>
          <w:lang w:val="nl-NL"/>
        </w:rPr>
        <w:t>,</w:t>
      </w:r>
      <w:r w:rsidRPr="00D6144A">
        <w:rPr>
          <w:rFonts w:asciiTheme="minorHAnsi" w:hAnsiTheme="minorHAnsi"/>
          <w:sz w:val="21"/>
          <w:szCs w:val="21"/>
          <w:lang w:val="nl-NL"/>
        </w:rPr>
        <w:t xml:space="preserve"> verstoringen in mondiale waardeketens</w:t>
      </w:r>
      <w:r w:rsidR="00A82295">
        <w:rPr>
          <w:rFonts w:asciiTheme="minorHAnsi" w:hAnsiTheme="minorHAnsi"/>
          <w:sz w:val="21"/>
          <w:szCs w:val="21"/>
          <w:lang w:val="nl-NL"/>
        </w:rPr>
        <w:t xml:space="preserve"> en verkrapping van financiële condities</w:t>
      </w:r>
      <w:r w:rsidRPr="00D6144A">
        <w:rPr>
          <w:rFonts w:asciiTheme="minorHAnsi" w:hAnsiTheme="minorHAnsi"/>
          <w:sz w:val="21"/>
          <w:szCs w:val="21"/>
          <w:lang w:val="nl-NL"/>
        </w:rPr>
        <w:t>.</w:t>
      </w:r>
    </w:p>
    <w:p w:rsidRPr="00D6144A" w:rsidR="004572DF" w:rsidP="00257283" w:rsidRDefault="00E24C7C" w14:paraId="2BA47672" w14:textId="1C2853E4">
      <w:pPr>
        <w:spacing w:line="360" w:lineRule="auto"/>
        <w:rPr>
          <w:rFonts w:asciiTheme="minorHAnsi" w:hAnsiTheme="minorHAnsi"/>
          <w:sz w:val="21"/>
          <w:szCs w:val="21"/>
          <w:lang w:val="nl-NL"/>
        </w:rPr>
      </w:pPr>
      <w:r>
        <w:rPr>
          <w:rFonts w:asciiTheme="minorHAnsi" w:hAnsiTheme="minorHAnsi"/>
          <w:sz w:val="21"/>
          <w:szCs w:val="21"/>
          <w:lang w:val="nl-NL"/>
        </w:rPr>
        <w:t>H</w:t>
      </w:r>
      <w:r w:rsidRPr="00D6144A" w:rsidR="00427562">
        <w:rPr>
          <w:rFonts w:asciiTheme="minorHAnsi" w:hAnsiTheme="minorHAnsi"/>
          <w:sz w:val="21"/>
          <w:szCs w:val="21"/>
          <w:lang w:val="nl-NL"/>
        </w:rPr>
        <w:t>et conflict in het Midden‑Oosten vormt een belangrijke bron van neerwaartse risico’s voor de economische groei en opwaartse risico’s voor de inflatie. Het FSC duidt deze ontwikkeling nadrukkelijk als een aanbodschok, met mogelijk langdurige effecten</w:t>
      </w:r>
      <w:r w:rsidRPr="00D6144A" w:rsidR="002E6103">
        <w:rPr>
          <w:rFonts w:asciiTheme="minorHAnsi" w:hAnsiTheme="minorHAnsi"/>
          <w:sz w:val="21"/>
          <w:szCs w:val="21"/>
          <w:lang w:val="nl-NL"/>
        </w:rPr>
        <w:t xml:space="preserve"> wereldwijd</w:t>
      </w:r>
      <w:r w:rsidRPr="00D6144A" w:rsidR="00427562">
        <w:rPr>
          <w:rFonts w:asciiTheme="minorHAnsi" w:hAnsiTheme="minorHAnsi"/>
          <w:sz w:val="21"/>
          <w:szCs w:val="21"/>
          <w:lang w:val="nl-NL"/>
        </w:rPr>
        <w:t xml:space="preserve">. Hogere </w:t>
      </w:r>
      <w:r w:rsidR="00607EED">
        <w:rPr>
          <w:rFonts w:asciiTheme="minorHAnsi" w:hAnsiTheme="minorHAnsi"/>
          <w:sz w:val="21"/>
          <w:szCs w:val="21"/>
          <w:lang w:val="nl-NL"/>
        </w:rPr>
        <w:t>e</w:t>
      </w:r>
      <w:r w:rsidR="00F33494">
        <w:rPr>
          <w:rFonts w:asciiTheme="minorHAnsi" w:hAnsiTheme="minorHAnsi"/>
          <w:sz w:val="21"/>
          <w:szCs w:val="21"/>
          <w:lang w:val="nl-NL"/>
        </w:rPr>
        <w:t xml:space="preserve">n volatiele </w:t>
      </w:r>
      <w:r w:rsidRPr="00D6144A" w:rsidR="00427562">
        <w:rPr>
          <w:rFonts w:asciiTheme="minorHAnsi" w:hAnsiTheme="minorHAnsi"/>
          <w:sz w:val="21"/>
          <w:szCs w:val="21"/>
          <w:lang w:val="nl-NL"/>
        </w:rPr>
        <w:t xml:space="preserve">energieprijzen </w:t>
      </w:r>
      <w:r w:rsidR="00607EED">
        <w:rPr>
          <w:rFonts w:asciiTheme="minorHAnsi" w:hAnsiTheme="minorHAnsi"/>
          <w:sz w:val="21"/>
          <w:szCs w:val="21"/>
          <w:lang w:val="nl-NL"/>
        </w:rPr>
        <w:t xml:space="preserve">in combinatie met </w:t>
      </w:r>
      <w:r w:rsidRPr="00D6144A" w:rsidR="00427562">
        <w:rPr>
          <w:rFonts w:asciiTheme="minorHAnsi" w:hAnsiTheme="minorHAnsi"/>
          <w:sz w:val="21"/>
          <w:szCs w:val="21"/>
          <w:lang w:val="nl-NL"/>
        </w:rPr>
        <w:t>onzekerheid over de beschikbaarheid van grondstoffen</w:t>
      </w:r>
      <w:r w:rsidR="007C50EE">
        <w:rPr>
          <w:rFonts w:asciiTheme="minorHAnsi" w:hAnsiTheme="minorHAnsi"/>
          <w:sz w:val="21"/>
          <w:szCs w:val="21"/>
          <w:lang w:val="nl-NL"/>
        </w:rPr>
        <w:t xml:space="preserve"> en </w:t>
      </w:r>
      <w:r w:rsidR="003672E5">
        <w:rPr>
          <w:rFonts w:asciiTheme="minorHAnsi" w:hAnsiTheme="minorHAnsi"/>
          <w:sz w:val="21"/>
          <w:szCs w:val="21"/>
          <w:lang w:val="nl-NL"/>
        </w:rPr>
        <w:t>halffabricaten</w:t>
      </w:r>
      <w:r w:rsidR="00AE6315">
        <w:rPr>
          <w:rFonts w:asciiTheme="minorHAnsi" w:hAnsiTheme="minorHAnsi"/>
          <w:sz w:val="21"/>
          <w:szCs w:val="21"/>
          <w:lang w:val="nl-NL"/>
        </w:rPr>
        <w:t>,</w:t>
      </w:r>
      <w:r w:rsidR="003672E5">
        <w:rPr>
          <w:rFonts w:asciiTheme="minorHAnsi" w:hAnsiTheme="minorHAnsi"/>
          <w:sz w:val="21"/>
          <w:szCs w:val="21"/>
          <w:lang w:val="nl-NL"/>
        </w:rPr>
        <w:t xml:space="preserve"> zoals</w:t>
      </w:r>
      <w:r w:rsidRPr="00D6144A" w:rsidR="00427562">
        <w:rPr>
          <w:rFonts w:asciiTheme="minorHAnsi" w:hAnsiTheme="minorHAnsi"/>
          <w:sz w:val="21"/>
          <w:szCs w:val="21"/>
          <w:lang w:val="nl-NL"/>
        </w:rPr>
        <w:t xml:space="preserve"> </w:t>
      </w:r>
      <w:r w:rsidRPr="00AE6315" w:rsidR="00AE6315">
        <w:rPr>
          <w:rFonts w:asciiTheme="minorHAnsi" w:hAnsiTheme="minorHAnsi"/>
          <w:sz w:val="21"/>
          <w:szCs w:val="21"/>
          <w:lang w:val="nl-NL"/>
        </w:rPr>
        <w:t>kunstmest en helium</w:t>
      </w:r>
      <w:r w:rsidR="00AE6315">
        <w:rPr>
          <w:rFonts w:asciiTheme="minorHAnsi" w:hAnsiTheme="minorHAnsi"/>
          <w:sz w:val="21"/>
          <w:szCs w:val="21"/>
          <w:lang w:val="nl-NL"/>
        </w:rPr>
        <w:t xml:space="preserve">, </w:t>
      </w:r>
      <w:r w:rsidRPr="00D6144A" w:rsidR="00427562">
        <w:rPr>
          <w:rFonts w:asciiTheme="minorHAnsi" w:hAnsiTheme="minorHAnsi"/>
          <w:sz w:val="21"/>
          <w:szCs w:val="21"/>
          <w:lang w:val="nl-NL"/>
        </w:rPr>
        <w:t xml:space="preserve">kunnen </w:t>
      </w:r>
      <w:r w:rsidR="00607EED">
        <w:rPr>
          <w:rFonts w:asciiTheme="minorHAnsi" w:hAnsiTheme="minorHAnsi"/>
          <w:sz w:val="21"/>
          <w:szCs w:val="21"/>
          <w:lang w:val="nl-NL"/>
        </w:rPr>
        <w:t xml:space="preserve">tot hogere </w:t>
      </w:r>
      <w:r w:rsidR="00A63C07">
        <w:rPr>
          <w:rFonts w:asciiTheme="minorHAnsi" w:hAnsiTheme="minorHAnsi"/>
          <w:sz w:val="21"/>
          <w:szCs w:val="21"/>
          <w:lang w:val="nl-NL"/>
        </w:rPr>
        <w:t>kosten</w:t>
      </w:r>
      <w:r w:rsidR="001833D5">
        <w:rPr>
          <w:rFonts w:asciiTheme="minorHAnsi" w:hAnsiTheme="minorHAnsi"/>
          <w:sz w:val="21"/>
          <w:szCs w:val="21"/>
          <w:lang w:val="nl-NL"/>
        </w:rPr>
        <w:t xml:space="preserve"> en productieverstoringen</w:t>
      </w:r>
      <w:r w:rsidR="00A63C07">
        <w:rPr>
          <w:rFonts w:asciiTheme="minorHAnsi" w:hAnsiTheme="minorHAnsi"/>
          <w:sz w:val="21"/>
          <w:szCs w:val="21"/>
          <w:lang w:val="nl-NL"/>
        </w:rPr>
        <w:t xml:space="preserve"> </w:t>
      </w:r>
      <w:r w:rsidR="00607EED">
        <w:rPr>
          <w:rFonts w:asciiTheme="minorHAnsi" w:hAnsiTheme="minorHAnsi"/>
          <w:sz w:val="21"/>
          <w:szCs w:val="21"/>
          <w:lang w:val="nl-NL"/>
        </w:rPr>
        <w:t>leiden</w:t>
      </w:r>
      <w:r w:rsidR="001833D5">
        <w:rPr>
          <w:rFonts w:asciiTheme="minorHAnsi" w:hAnsiTheme="minorHAnsi"/>
          <w:sz w:val="21"/>
          <w:szCs w:val="21"/>
          <w:lang w:val="nl-NL"/>
        </w:rPr>
        <w:t>.</w:t>
      </w:r>
      <w:r w:rsidR="00607EED">
        <w:rPr>
          <w:rFonts w:asciiTheme="minorHAnsi" w:hAnsiTheme="minorHAnsi"/>
          <w:sz w:val="21"/>
          <w:szCs w:val="21"/>
          <w:lang w:val="nl-NL"/>
        </w:rPr>
        <w:t xml:space="preserve"> </w:t>
      </w:r>
      <w:r w:rsidR="003D7A45">
        <w:rPr>
          <w:rFonts w:asciiTheme="minorHAnsi" w:hAnsiTheme="minorHAnsi"/>
          <w:sz w:val="21"/>
          <w:szCs w:val="21"/>
          <w:lang w:val="nl-NL"/>
        </w:rPr>
        <w:t>H</w:t>
      </w:r>
      <w:r w:rsidR="00561F96">
        <w:rPr>
          <w:rFonts w:asciiTheme="minorHAnsi" w:hAnsiTheme="minorHAnsi"/>
          <w:sz w:val="21"/>
          <w:szCs w:val="21"/>
          <w:lang w:val="nl-NL"/>
        </w:rPr>
        <w:t>ierbij zullen h</w:t>
      </w:r>
      <w:r w:rsidR="003D7A45">
        <w:rPr>
          <w:rFonts w:asciiTheme="minorHAnsi" w:hAnsiTheme="minorHAnsi"/>
          <w:sz w:val="21"/>
          <w:szCs w:val="21"/>
          <w:lang w:val="nl-NL"/>
        </w:rPr>
        <w:t>ogere prijzen de</w:t>
      </w:r>
      <w:r w:rsidR="00A63C07">
        <w:rPr>
          <w:rFonts w:asciiTheme="minorHAnsi" w:hAnsiTheme="minorHAnsi"/>
          <w:sz w:val="21"/>
          <w:szCs w:val="21"/>
          <w:lang w:val="nl-NL"/>
        </w:rPr>
        <w:t xml:space="preserve"> </w:t>
      </w:r>
      <w:r w:rsidRPr="00D6144A" w:rsidR="00427562">
        <w:rPr>
          <w:rFonts w:asciiTheme="minorHAnsi" w:hAnsiTheme="minorHAnsi"/>
          <w:sz w:val="21"/>
          <w:szCs w:val="21"/>
          <w:lang w:val="nl-NL"/>
        </w:rPr>
        <w:t>koopkracht van huishoudens aantasten. De uiteindelijke macro‑economische en financiële impact is sterk afhankelijk van de duur, intensiteit en geografische reikwijdte van het conflict.</w:t>
      </w:r>
      <w:r w:rsidRPr="00D6144A" w:rsidR="005A6447">
        <w:rPr>
          <w:rFonts w:asciiTheme="minorHAnsi" w:hAnsiTheme="minorHAnsi"/>
          <w:sz w:val="21"/>
          <w:szCs w:val="21"/>
          <w:lang w:val="nl-NL"/>
        </w:rPr>
        <w:t xml:space="preserve"> Zo wijzen </w:t>
      </w:r>
      <w:r w:rsidR="00B41A27">
        <w:rPr>
          <w:rFonts w:asciiTheme="minorHAnsi" w:hAnsiTheme="minorHAnsi"/>
          <w:sz w:val="21"/>
          <w:szCs w:val="21"/>
          <w:lang w:val="nl-NL"/>
        </w:rPr>
        <w:t>de</w:t>
      </w:r>
      <w:r w:rsidRPr="00D6144A" w:rsidR="00B41A27">
        <w:rPr>
          <w:rFonts w:asciiTheme="minorHAnsi" w:hAnsiTheme="minorHAnsi"/>
          <w:sz w:val="21"/>
          <w:szCs w:val="21"/>
          <w:lang w:val="nl-NL"/>
        </w:rPr>
        <w:t xml:space="preserve"> </w:t>
      </w:r>
      <w:r w:rsidRPr="00D6144A" w:rsidR="004572DF">
        <w:rPr>
          <w:rFonts w:asciiTheme="minorHAnsi" w:hAnsiTheme="minorHAnsi"/>
          <w:sz w:val="21"/>
          <w:szCs w:val="21"/>
          <w:lang w:val="nl-NL"/>
        </w:rPr>
        <w:t>meest recente</w:t>
      </w:r>
      <w:r w:rsidR="00B41A27">
        <w:rPr>
          <w:rFonts w:asciiTheme="minorHAnsi" w:hAnsiTheme="minorHAnsi"/>
          <w:sz w:val="21"/>
          <w:szCs w:val="21"/>
          <w:lang w:val="nl-NL"/>
        </w:rPr>
        <w:t xml:space="preserve"> basisramingen </w:t>
      </w:r>
      <w:r w:rsidR="00435EE8">
        <w:rPr>
          <w:rFonts w:asciiTheme="minorHAnsi" w:hAnsiTheme="minorHAnsi"/>
          <w:sz w:val="21"/>
          <w:szCs w:val="21"/>
          <w:lang w:val="nl-NL"/>
        </w:rPr>
        <w:t>van</w:t>
      </w:r>
      <w:r w:rsidR="00B41A27">
        <w:rPr>
          <w:rFonts w:asciiTheme="minorHAnsi" w:hAnsiTheme="minorHAnsi"/>
          <w:sz w:val="21"/>
          <w:szCs w:val="21"/>
          <w:lang w:val="nl-NL"/>
        </w:rPr>
        <w:t xml:space="preserve"> het</w:t>
      </w:r>
      <w:r w:rsidRPr="00D6144A" w:rsidR="005A6447">
        <w:rPr>
          <w:rFonts w:asciiTheme="minorHAnsi" w:hAnsiTheme="minorHAnsi"/>
          <w:sz w:val="21"/>
          <w:szCs w:val="21"/>
          <w:lang w:val="nl-NL"/>
        </w:rPr>
        <w:t xml:space="preserve"> </w:t>
      </w:r>
      <w:r w:rsidR="00435EE8">
        <w:rPr>
          <w:rFonts w:asciiTheme="minorHAnsi" w:hAnsiTheme="minorHAnsi"/>
          <w:sz w:val="21"/>
          <w:szCs w:val="21"/>
          <w:lang w:val="nl-NL"/>
        </w:rPr>
        <w:t>CPB</w:t>
      </w:r>
      <w:r w:rsidR="00FC7D4E">
        <w:rPr>
          <w:rStyle w:val="Voetnootmarkering"/>
          <w:rFonts w:asciiTheme="minorHAnsi" w:hAnsiTheme="minorHAnsi"/>
          <w:sz w:val="21"/>
          <w:szCs w:val="21"/>
          <w:lang w:val="nl-NL"/>
        </w:rPr>
        <w:footnoteReference w:id="1"/>
      </w:r>
      <w:r w:rsidR="00686237">
        <w:rPr>
          <w:rFonts w:asciiTheme="minorHAnsi" w:hAnsiTheme="minorHAnsi"/>
          <w:sz w:val="21"/>
          <w:szCs w:val="21"/>
          <w:lang w:val="nl-NL"/>
        </w:rPr>
        <w:t xml:space="preserve"> </w:t>
      </w:r>
      <w:r w:rsidRPr="00D6144A" w:rsidR="005A6447">
        <w:rPr>
          <w:rFonts w:asciiTheme="minorHAnsi" w:hAnsiTheme="minorHAnsi"/>
          <w:sz w:val="21"/>
          <w:szCs w:val="21"/>
          <w:lang w:val="nl-NL"/>
        </w:rPr>
        <w:t>en</w:t>
      </w:r>
      <w:r w:rsidRPr="00D6144A" w:rsidR="004572DF">
        <w:rPr>
          <w:rFonts w:asciiTheme="minorHAnsi" w:hAnsiTheme="minorHAnsi"/>
          <w:sz w:val="21"/>
          <w:szCs w:val="21"/>
          <w:lang w:val="nl-NL"/>
        </w:rPr>
        <w:t xml:space="preserve"> </w:t>
      </w:r>
      <w:r w:rsidR="00686237">
        <w:rPr>
          <w:rFonts w:asciiTheme="minorHAnsi" w:hAnsiTheme="minorHAnsi"/>
          <w:sz w:val="21"/>
          <w:szCs w:val="21"/>
          <w:lang w:val="nl-NL"/>
        </w:rPr>
        <w:t xml:space="preserve">de </w:t>
      </w:r>
      <w:r w:rsidRPr="00D6144A" w:rsidR="004572DF">
        <w:rPr>
          <w:rFonts w:asciiTheme="minorHAnsi" w:hAnsiTheme="minorHAnsi"/>
          <w:sz w:val="21"/>
          <w:szCs w:val="21"/>
          <w:lang w:val="nl-NL"/>
        </w:rPr>
        <w:t>ECB</w:t>
      </w:r>
      <w:r w:rsidR="00B90DB7">
        <w:rPr>
          <w:rStyle w:val="Voetnootmarkering"/>
          <w:rFonts w:asciiTheme="minorHAnsi" w:hAnsiTheme="minorHAnsi"/>
          <w:sz w:val="21"/>
          <w:szCs w:val="21"/>
          <w:lang w:val="nl-NL"/>
        </w:rPr>
        <w:footnoteReference w:id="2"/>
      </w:r>
      <w:r w:rsidRPr="00D6144A" w:rsidR="004572DF">
        <w:rPr>
          <w:rFonts w:asciiTheme="minorHAnsi" w:hAnsiTheme="minorHAnsi"/>
          <w:sz w:val="21"/>
          <w:szCs w:val="21"/>
          <w:lang w:val="nl-NL"/>
        </w:rPr>
        <w:t xml:space="preserve"> op een relatief gunstig inflatiepad met geleidelijk </w:t>
      </w:r>
      <w:r w:rsidRPr="00D6144A" w:rsidR="004572DF">
        <w:rPr>
          <w:rFonts w:asciiTheme="minorHAnsi" w:hAnsiTheme="minorHAnsi"/>
          <w:sz w:val="21"/>
          <w:szCs w:val="21"/>
          <w:lang w:val="nl-NL"/>
        </w:rPr>
        <w:lastRenderedPageBreak/>
        <w:t>dalende energieprijzen</w:t>
      </w:r>
      <w:r w:rsidR="00435EE8">
        <w:rPr>
          <w:rFonts w:asciiTheme="minorHAnsi" w:hAnsiTheme="minorHAnsi"/>
          <w:sz w:val="21"/>
          <w:szCs w:val="21"/>
          <w:lang w:val="nl-NL"/>
        </w:rPr>
        <w:t>,</w:t>
      </w:r>
      <w:r w:rsidR="004847F8">
        <w:rPr>
          <w:rFonts w:asciiTheme="minorHAnsi" w:hAnsiTheme="minorHAnsi"/>
          <w:sz w:val="21"/>
          <w:szCs w:val="21"/>
          <w:lang w:val="nl-NL"/>
        </w:rPr>
        <w:t xml:space="preserve"> </w:t>
      </w:r>
      <w:r w:rsidR="00435EE8">
        <w:rPr>
          <w:rFonts w:asciiTheme="minorHAnsi" w:hAnsiTheme="minorHAnsi"/>
          <w:sz w:val="21"/>
          <w:szCs w:val="21"/>
          <w:lang w:val="nl-NL"/>
        </w:rPr>
        <w:t>A</w:t>
      </w:r>
      <w:r w:rsidRPr="00D6144A" w:rsidR="004572DF">
        <w:rPr>
          <w:rFonts w:asciiTheme="minorHAnsi" w:hAnsiTheme="minorHAnsi"/>
          <w:sz w:val="21"/>
          <w:szCs w:val="21"/>
          <w:lang w:val="nl-NL"/>
        </w:rPr>
        <w:t>lternatieve scenario</w:t>
      </w:r>
      <w:r w:rsidR="00160257">
        <w:rPr>
          <w:rFonts w:asciiTheme="minorHAnsi" w:hAnsiTheme="minorHAnsi"/>
          <w:sz w:val="21"/>
          <w:szCs w:val="21"/>
          <w:lang w:val="nl-NL"/>
        </w:rPr>
        <w:t>’</w:t>
      </w:r>
      <w:r w:rsidRPr="00D6144A" w:rsidR="004572DF">
        <w:rPr>
          <w:rFonts w:asciiTheme="minorHAnsi" w:hAnsiTheme="minorHAnsi"/>
          <w:sz w:val="21"/>
          <w:szCs w:val="21"/>
          <w:lang w:val="nl-NL"/>
        </w:rPr>
        <w:t>s</w:t>
      </w:r>
      <w:r w:rsidR="00160257">
        <w:rPr>
          <w:rFonts w:asciiTheme="minorHAnsi" w:hAnsiTheme="minorHAnsi"/>
          <w:sz w:val="21"/>
          <w:szCs w:val="21"/>
          <w:lang w:val="nl-NL"/>
        </w:rPr>
        <w:t xml:space="preserve"> laten </w:t>
      </w:r>
      <w:r w:rsidRPr="00D6144A" w:rsidR="004572DF">
        <w:rPr>
          <w:rFonts w:asciiTheme="minorHAnsi" w:hAnsiTheme="minorHAnsi"/>
          <w:sz w:val="21"/>
          <w:szCs w:val="21"/>
          <w:lang w:val="nl-NL"/>
        </w:rPr>
        <w:t xml:space="preserve">zien dat langdurig hogere energieprijzen kunnen leiden tot aanzienlijk hogere inflatie en lagere </w:t>
      </w:r>
      <w:r w:rsidR="000340E1">
        <w:rPr>
          <w:rFonts w:asciiTheme="minorHAnsi" w:hAnsiTheme="minorHAnsi"/>
          <w:sz w:val="21"/>
          <w:szCs w:val="21"/>
          <w:lang w:val="nl-NL"/>
        </w:rPr>
        <w:t xml:space="preserve">economische </w:t>
      </w:r>
      <w:r w:rsidRPr="00D6144A" w:rsidR="004572DF">
        <w:rPr>
          <w:rFonts w:asciiTheme="minorHAnsi" w:hAnsiTheme="minorHAnsi"/>
          <w:sz w:val="21"/>
          <w:szCs w:val="21"/>
          <w:lang w:val="nl-NL"/>
        </w:rPr>
        <w:t>groei.</w:t>
      </w:r>
      <w:r w:rsidR="00351AEB">
        <w:rPr>
          <w:rStyle w:val="Voetnootmarkering"/>
          <w:rFonts w:asciiTheme="minorHAnsi" w:hAnsiTheme="minorHAnsi"/>
          <w:sz w:val="21"/>
          <w:szCs w:val="21"/>
          <w:lang w:val="nl-NL"/>
        </w:rPr>
        <w:footnoteReference w:id="3"/>
      </w:r>
    </w:p>
    <w:p w:rsidRPr="00D6144A" w:rsidR="001C1CA2" w:rsidP="00257283" w:rsidRDefault="001C1CA2" w14:paraId="399FDCF7" w14:textId="7619FCFC">
      <w:pPr>
        <w:spacing w:line="360" w:lineRule="auto"/>
        <w:rPr>
          <w:rFonts w:asciiTheme="minorHAnsi" w:hAnsiTheme="minorHAnsi"/>
          <w:sz w:val="21"/>
          <w:szCs w:val="21"/>
          <w:lang w:val="nl-NL"/>
        </w:rPr>
      </w:pPr>
      <w:r w:rsidRPr="00D6144A">
        <w:rPr>
          <w:rFonts w:asciiTheme="minorHAnsi" w:hAnsiTheme="minorHAnsi"/>
          <w:sz w:val="21"/>
          <w:szCs w:val="21"/>
          <w:lang w:val="nl-NL"/>
        </w:rPr>
        <w:t xml:space="preserve">Ten aanzien van energieprijzen constateert het FSC dat de </w:t>
      </w:r>
      <w:r w:rsidRPr="00D6144A" w:rsidR="00534BD3">
        <w:rPr>
          <w:rFonts w:asciiTheme="minorHAnsi" w:hAnsiTheme="minorHAnsi"/>
          <w:sz w:val="21"/>
          <w:szCs w:val="21"/>
          <w:lang w:val="nl-NL"/>
        </w:rPr>
        <w:t>gas</w:t>
      </w:r>
      <w:r w:rsidRPr="00D6144A">
        <w:rPr>
          <w:rFonts w:asciiTheme="minorHAnsi" w:hAnsiTheme="minorHAnsi"/>
          <w:sz w:val="21"/>
          <w:szCs w:val="21"/>
          <w:lang w:val="nl-NL"/>
        </w:rPr>
        <w:t xml:space="preserve">prijzen </w:t>
      </w:r>
      <w:r w:rsidR="008C2CC2">
        <w:rPr>
          <w:rFonts w:asciiTheme="minorHAnsi" w:hAnsiTheme="minorHAnsi"/>
          <w:sz w:val="21"/>
          <w:szCs w:val="21"/>
          <w:lang w:val="nl-NL"/>
        </w:rPr>
        <w:t xml:space="preserve">weliswaar </w:t>
      </w:r>
      <w:r w:rsidRPr="00D6144A">
        <w:rPr>
          <w:rFonts w:asciiTheme="minorHAnsi" w:hAnsiTheme="minorHAnsi"/>
          <w:sz w:val="21"/>
          <w:szCs w:val="21"/>
          <w:lang w:val="nl-NL"/>
        </w:rPr>
        <w:t>zijn gestegen</w:t>
      </w:r>
      <w:r w:rsidR="008C2CC2">
        <w:rPr>
          <w:rFonts w:asciiTheme="minorHAnsi" w:hAnsiTheme="minorHAnsi"/>
          <w:sz w:val="21"/>
          <w:szCs w:val="21"/>
          <w:lang w:val="nl-NL"/>
        </w:rPr>
        <w:t>,</w:t>
      </w:r>
      <w:r w:rsidR="00AC3233">
        <w:rPr>
          <w:rFonts w:asciiTheme="minorHAnsi" w:hAnsiTheme="minorHAnsi"/>
          <w:sz w:val="21"/>
          <w:szCs w:val="21"/>
          <w:lang w:val="nl-NL"/>
        </w:rPr>
        <w:t xml:space="preserve"> maar nog ver </w:t>
      </w:r>
      <w:r w:rsidRPr="00D6144A">
        <w:rPr>
          <w:rFonts w:asciiTheme="minorHAnsi" w:hAnsiTheme="minorHAnsi"/>
          <w:sz w:val="21"/>
          <w:szCs w:val="21"/>
          <w:lang w:val="nl-NL"/>
        </w:rPr>
        <w:t xml:space="preserve">onder de piek </w:t>
      </w:r>
      <w:r w:rsidR="008C2CC2">
        <w:rPr>
          <w:rFonts w:asciiTheme="minorHAnsi" w:hAnsiTheme="minorHAnsi"/>
          <w:sz w:val="21"/>
          <w:szCs w:val="21"/>
          <w:lang w:val="nl-NL"/>
        </w:rPr>
        <w:t>uit</w:t>
      </w:r>
      <w:r w:rsidRPr="00D6144A" w:rsidR="008C2CC2">
        <w:rPr>
          <w:rFonts w:asciiTheme="minorHAnsi" w:hAnsiTheme="minorHAnsi"/>
          <w:sz w:val="21"/>
          <w:szCs w:val="21"/>
          <w:lang w:val="nl-NL"/>
        </w:rPr>
        <w:t xml:space="preserve"> 2022</w:t>
      </w:r>
      <w:r w:rsidR="008C2CC2">
        <w:rPr>
          <w:rFonts w:asciiTheme="minorHAnsi" w:hAnsiTheme="minorHAnsi"/>
          <w:sz w:val="21"/>
          <w:szCs w:val="21"/>
          <w:lang w:val="nl-NL"/>
        </w:rPr>
        <w:t xml:space="preserve"> </w:t>
      </w:r>
      <w:r w:rsidR="00AC3233">
        <w:rPr>
          <w:rFonts w:asciiTheme="minorHAnsi" w:hAnsiTheme="minorHAnsi"/>
          <w:sz w:val="21"/>
          <w:szCs w:val="21"/>
          <w:lang w:val="nl-NL"/>
        </w:rPr>
        <w:t>liggen</w:t>
      </w:r>
      <w:r w:rsidRPr="00D6144A">
        <w:rPr>
          <w:rFonts w:asciiTheme="minorHAnsi" w:hAnsiTheme="minorHAnsi"/>
          <w:sz w:val="21"/>
          <w:szCs w:val="21"/>
          <w:lang w:val="nl-NL"/>
        </w:rPr>
        <w:t>.</w:t>
      </w:r>
      <w:r w:rsidRPr="00D6144A" w:rsidR="001051BA">
        <w:rPr>
          <w:rFonts w:asciiTheme="minorHAnsi" w:hAnsiTheme="minorHAnsi"/>
          <w:sz w:val="21"/>
          <w:szCs w:val="21"/>
          <w:lang w:val="nl-NL"/>
        </w:rPr>
        <w:t xml:space="preserve"> Aan de andere kant zijn benzine- en dieselprijzen boven de piek uit 2022 gestege</w:t>
      </w:r>
      <w:r w:rsidRPr="00D6144A" w:rsidR="00F20366">
        <w:rPr>
          <w:rFonts w:asciiTheme="minorHAnsi" w:hAnsiTheme="minorHAnsi"/>
          <w:sz w:val="21"/>
          <w:szCs w:val="21"/>
          <w:lang w:val="nl-NL"/>
        </w:rPr>
        <w:t xml:space="preserve">n. </w:t>
      </w:r>
      <w:r w:rsidR="009934D1">
        <w:rPr>
          <w:rFonts w:asciiTheme="minorHAnsi" w:hAnsiTheme="minorHAnsi"/>
          <w:sz w:val="21"/>
          <w:szCs w:val="21"/>
          <w:lang w:val="nl-NL"/>
        </w:rPr>
        <w:t>Mede i</w:t>
      </w:r>
      <w:r w:rsidR="00EB208E">
        <w:rPr>
          <w:rFonts w:asciiTheme="minorHAnsi" w:hAnsiTheme="minorHAnsi"/>
          <w:sz w:val="21"/>
          <w:szCs w:val="21"/>
          <w:lang w:val="nl-NL"/>
        </w:rPr>
        <w:t xml:space="preserve">n het licht van </w:t>
      </w:r>
      <w:r w:rsidR="00165CB4">
        <w:rPr>
          <w:rFonts w:asciiTheme="minorHAnsi" w:hAnsiTheme="minorHAnsi"/>
          <w:sz w:val="21"/>
          <w:szCs w:val="21"/>
          <w:lang w:val="nl-NL"/>
        </w:rPr>
        <w:t>eventuele</w:t>
      </w:r>
      <w:r w:rsidR="009934D1">
        <w:rPr>
          <w:rFonts w:asciiTheme="minorHAnsi" w:hAnsiTheme="minorHAnsi"/>
          <w:sz w:val="21"/>
          <w:szCs w:val="21"/>
          <w:lang w:val="nl-NL"/>
        </w:rPr>
        <w:t xml:space="preserve"> maatregelen</w:t>
      </w:r>
      <w:r w:rsidR="008B14AE">
        <w:rPr>
          <w:rFonts w:asciiTheme="minorHAnsi" w:hAnsiTheme="minorHAnsi"/>
          <w:sz w:val="21"/>
          <w:szCs w:val="21"/>
          <w:lang w:val="nl-NL"/>
        </w:rPr>
        <w:t xml:space="preserve"> </w:t>
      </w:r>
      <w:r w:rsidRPr="00D6144A" w:rsidR="000E060D">
        <w:rPr>
          <w:rFonts w:asciiTheme="minorHAnsi" w:hAnsiTheme="minorHAnsi"/>
          <w:sz w:val="21"/>
          <w:szCs w:val="21"/>
          <w:lang w:val="nl-NL"/>
        </w:rPr>
        <w:t>wijst het FSC erop dat</w:t>
      </w:r>
      <w:r w:rsidRPr="00D6144A">
        <w:rPr>
          <w:rFonts w:asciiTheme="minorHAnsi" w:hAnsiTheme="minorHAnsi"/>
          <w:sz w:val="21"/>
          <w:szCs w:val="21"/>
          <w:lang w:val="nl-NL"/>
        </w:rPr>
        <w:t xml:space="preserve"> </w:t>
      </w:r>
      <w:r w:rsidR="00C143B4">
        <w:rPr>
          <w:rFonts w:asciiTheme="minorHAnsi" w:hAnsiTheme="minorHAnsi"/>
          <w:sz w:val="21"/>
          <w:szCs w:val="21"/>
          <w:lang w:val="nl-NL"/>
        </w:rPr>
        <w:t xml:space="preserve">prijsinterventies </w:t>
      </w:r>
      <w:r w:rsidR="007C2AB9">
        <w:rPr>
          <w:rFonts w:asciiTheme="minorHAnsi" w:hAnsiTheme="minorHAnsi"/>
          <w:sz w:val="21"/>
          <w:szCs w:val="21"/>
          <w:lang w:val="nl-NL"/>
        </w:rPr>
        <w:t xml:space="preserve">de aanbodzekerheid kunnen aantasten </w:t>
      </w:r>
      <w:r w:rsidR="00297164">
        <w:rPr>
          <w:rFonts w:asciiTheme="minorHAnsi" w:hAnsiTheme="minorHAnsi"/>
          <w:sz w:val="21"/>
          <w:szCs w:val="21"/>
          <w:lang w:val="nl-NL"/>
        </w:rPr>
        <w:t xml:space="preserve">en dat </w:t>
      </w:r>
      <w:r w:rsidRPr="00D6144A">
        <w:rPr>
          <w:rFonts w:asciiTheme="minorHAnsi" w:hAnsiTheme="minorHAnsi"/>
          <w:sz w:val="21"/>
          <w:szCs w:val="21"/>
          <w:lang w:val="nl-NL"/>
        </w:rPr>
        <w:t>de schuldhoudbaarheid van overheden een belangrijk aandachtspunt</w:t>
      </w:r>
      <w:r w:rsidRPr="00D6144A" w:rsidR="000E060D">
        <w:rPr>
          <w:rFonts w:asciiTheme="minorHAnsi" w:hAnsiTheme="minorHAnsi"/>
          <w:sz w:val="21"/>
          <w:szCs w:val="21"/>
          <w:lang w:val="nl-NL"/>
        </w:rPr>
        <w:t xml:space="preserve"> blijft</w:t>
      </w:r>
      <w:r w:rsidRPr="00D6144A">
        <w:rPr>
          <w:rFonts w:asciiTheme="minorHAnsi" w:hAnsiTheme="minorHAnsi"/>
          <w:sz w:val="21"/>
          <w:szCs w:val="21"/>
          <w:lang w:val="nl-NL"/>
        </w:rPr>
        <w:t>. Oplopende uitgaven in combinatie met hogere financieringskosten kunnen de begrotingsruimte beperken en de gevoeligheid voor renteschokken vergroten.</w:t>
      </w:r>
      <w:r w:rsidR="00FE1398">
        <w:rPr>
          <w:rFonts w:asciiTheme="minorHAnsi" w:hAnsiTheme="minorHAnsi"/>
          <w:sz w:val="21"/>
          <w:szCs w:val="21"/>
          <w:lang w:val="nl-NL"/>
        </w:rPr>
        <w:t xml:space="preserve"> </w:t>
      </w:r>
      <w:r w:rsidRPr="00FE1398" w:rsidR="00FE1398">
        <w:rPr>
          <w:rFonts w:asciiTheme="minorHAnsi" w:hAnsiTheme="minorHAnsi"/>
          <w:sz w:val="21"/>
          <w:szCs w:val="21"/>
          <w:lang w:val="nl-NL"/>
        </w:rPr>
        <w:t xml:space="preserve">Eventuele compensatie voor gestegen energieprijzen moet gericht en tijdelijk zijn; en </w:t>
      </w:r>
      <w:r w:rsidR="00FE6881">
        <w:rPr>
          <w:rFonts w:asciiTheme="minorHAnsi" w:hAnsiTheme="minorHAnsi"/>
          <w:sz w:val="21"/>
          <w:szCs w:val="21"/>
          <w:lang w:val="nl-NL"/>
        </w:rPr>
        <w:t>passen binnen de (Europese) begrotingsregels</w:t>
      </w:r>
      <w:r w:rsidRPr="00FE1398" w:rsidR="00FE1398">
        <w:rPr>
          <w:rFonts w:asciiTheme="minorHAnsi" w:hAnsiTheme="minorHAnsi"/>
          <w:sz w:val="21"/>
          <w:szCs w:val="21"/>
          <w:lang w:val="nl-NL"/>
        </w:rPr>
        <w:t>.</w:t>
      </w:r>
    </w:p>
    <w:p w:rsidRPr="00D6144A" w:rsidR="00025744" w:rsidP="00257283" w:rsidRDefault="00427562" w14:paraId="30D1A6B3" w14:textId="056153A1">
      <w:pPr>
        <w:spacing w:line="360" w:lineRule="auto"/>
        <w:rPr>
          <w:rFonts w:asciiTheme="minorHAnsi" w:hAnsiTheme="minorHAnsi"/>
          <w:sz w:val="21"/>
          <w:szCs w:val="21"/>
          <w:lang w:val="nl-NL"/>
        </w:rPr>
      </w:pPr>
      <w:r w:rsidRPr="00D6144A">
        <w:rPr>
          <w:rFonts w:asciiTheme="minorHAnsi" w:hAnsiTheme="minorHAnsi"/>
          <w:sz w:val="21"/>
          <w:szCs w:val="21"/>
          <w:lang w:val="nl-NL"/>
        </w:rPr>
        <w:t xml:space="preserve">Financiële markten functioneren tot dusver ordelijk, </w:t>
      </w:r>
      <w:r w:rsidR="00DE42E1">
        <w:rPr>
          <w:rFonts w:asciiTheme="minorHAnsi" w:hAnsiTheme="minorHAnsi"/>
          <w:sz w:val="21"/>
          <w:szCs w:val="21"/>
          <w:lang w:val="nl-NL"/>
        </w:rPr>
        <w:t xml:space="preserve">zo verlopen rentestijgingen geleidelijk </w:t>
      </w:r>
      <w:r w:rsidRPr="00D6144A">
        <w:rPr>
          <w:rFonts w:asciiTheme="minorHAnsi" w:hAnsiTheme="minorHAnsi"/>
          <w:sz w:val="21"/>
          <w:szCs w:val="21"/>
          <w:lang w:val="nl-NL"/>
        </w:rPr>
        <w:t xml:space="preserve">ondanks </w:t>
      </w:r>
      <w:r w:rsidRPr="00D6144A" w:rsidR="008E61AB">
        <w:rPr>
          <w:rFonts w:asciiTheme="minorHAnsi" w:hAnsiTheme="minorHAnsi"/>
          <w:sz w:val="21"/>
          <w:szCs w:val="21"/>
          <w:lang w:val="nl-NL"/>
        </w:rPr>
        <w:t>periode</w:t>
      </w:r>
      <w:r w:rsidR="008E61AB">
        <w:rPr>
          <w:rFonts w:asciiTheme="minorHAnsi" w:hAnsiTheme="minorHAnsi"/>
          <w:sz w:val="21"/>
          <w:szCs w:val="21"/>
          <w:lang w:val="nl-NL"/>
        </w:rPr>
        <w:t>s</w:t>
      </w:r>
      <w:r w:rsidRPr="00D6144A" w:rsidR="008E61AB">
        <w:rPr>
          <w:rFonts w:asciiTheme="minorHAnsi" w:hAnsiTheme="minorHAnsi"/>
          <w:sz w:val="21"/>
          <w:szCs w:val="21"/>
          <w:lang w:val="nl-NL"/>
        </w:rPr>
        <w:t xml:space="preserve"> </w:t>
      </w:r>
      <w:r w:rsidRPr="00D6144A">
        <w:rPr>
          <w:rFonts w:asciiTheme="minorHAnsi" w:hAnsiTheme="minorHAnsi"/>
          <w:sz w:val="21"/>
          <w:szCs w:val="21"/>
          <w:lang w:val="nl-NL"/>
        </w:rPr>
        <w:t>van verhoogde volatiliteit</w:t>
      </w:r>
      <w:r w:rsidR="00297164">
        <w:rPr>
          <w:rFonts w:asciiTheme="minorHAnsi" w:hAnsiTheme="minorHAnsi"/>
          <w:sz w:val="21"/>
          <w:szCs w:val="21"/>
          <w:lang w:val="nl-NL"/>
        </w:rPr>
        <w:t xml:space="preserve"> op</w:t>
      </w:r>
      <w:r w:rsidRPr="00D6144A">
        <w:rPr>
          <w:rFonts w:asciiTheme="minorHAnsi" w:hAnsiTheme="minorHAnsi"/>
          <w:sz w:val="21"/>
          <w:szCs w:val="21"/>
          <w:lang w:val="nl-NL"/>
        </w:rPr>
        <w:t xml:space="preserve"> met name energie‑ en grondstoffenmarkten. Tegelijkertijd blijven </w:t>
      </w:r>
      <w:r w:rsidR="00C67590">
        <w:rPr>
          <w:rFonts w:asciiTheme="minorHAnsi" w:hAnsiTheme="minorHAnsi"/>
          <w:sz w:val="21"/>
          <w:szCs w:val="21"/>
          <w:lang w:val="nl-NL"/>
        </w:rPr>
        <w:t>de spreads op bedrijfsobligaties</w:t>
      </w:r>
      <w:r w:rsidR="00EC1B6B">
        <w:rPr>
          <w:rFonts w:asciiTheme="minorHAnsi" w:hAnsiTheme="minorHAnsi"/>
          <w:sz w:val="21"/>
          <w:szCs w:val="21"/>
          <w:lang w:val="nl-NL"/>
        </w:rPr>
        <w:t xml:space="preserve"> laag en </w:t>
      </w:r>
      <w:r w:rsidRPr="00D6144A">
        <w:rPr>
          <w:rFonts w:asciiTheme="minorHAnsi" w:hAnsiTheme="minorHAnsi"/>
          <w:sz w:val="21"/>
          <w:szCs w:val="21"/>
          <w:lang w:val="nl-NL"/>
        </w:rPr>
        <w:t xml:space="preserve">waarderingen op aandelenmarkten hoog, in het bijzonder </w:t>
      </w:r>
      <w:r w:rsidR="00EC1B6B">
        <w:rPr>
          <w:rFonts w:asciiTheme="minorHAnsi" w:hAnsiTheme="minorHAnsi"/>
          <w:sz w:val="21"/>
          <w:szCs w:val="21"/>
          <w:lang w:val="nl-NL"/>
        </w:rPr>
        <w:t>van</w:t>
      </w:r>
      <w:r w:rsidRPr="00D6144A">
        <w:rPr>
          <w:rFonts w:asciiTheme="minorHAnsi" w:hAnsiTheme="minorHAnsi"/>
          <w:sz w:val="21"/>
          <w:szCs w:val="21"/>
          <w:lang w:val="nl-NL"/>
        </w:rPr>
        <w:t xml:space="preserve"> technologie‑ en AI‑gerelateerde ondernemingen. Deze hoge waarderingen vergroten de kwetsbaarheid van markten voor abrupte correcties, die via vermogenseffecten en financiële </w:t>
      </w:r>
      <w:r w:rsidRPr="00D6144A" w:rsidR="00D07268">
        <w:rPr>
          <w:rFonts w:asciiTheme="minorHAnsi" w:hAnsiTheme="minorHAnsi"/>
          <w:sz w:val="21"/>
          <w:szCs w:val="21"/>
          <w:lang w:val="nl-NL"/>
        </w:rPr>
        <w:t>i</w:t>
      </w:r>
      <w:r w:rsidR="00D07268">
        <w:rPr>
          <w:rFonts w:asciiTheme="minorHAnsi" w:hAnsiTheme="minorHAnsi"/>
          <w:sz w:val="21"/>
          <w:szCs w:val="21"/>
          <w:lang w:val="nl-NL"/>
        </w:rPr>
        <w:t>nstellingen</w:t>
      </w:r>
      <w:r w:rsidRPr="00D6144A" w:rsidR="00D07268">
        <w:rPr>
          <w:rFonts w:asciiTheme="minorHAnsi" w:hAnsiTheme="minorHAnsi"/>
          <w:sz w:val="21"/>
          <w:szCs w:val="21"/>
          <w:lang w:val="nl-NL"/>
        </w:rPr>
        <w:t xml:space="preserve"> </w:t>
      </w:r>
      <w:r w:rsidRPr="00D6144A">
        <w:rPr>
          <w:rFonts w:asciiTheme="minorHAnsi" w:hAnsiTheme="minorHAnsi"/>
          <w:sz w:val="21"/>
          <w:szCs w:val="21"/>
          <w:lang w:val="nl-NL"/>
        </w:rPr>
        <w:t>kunnen doorwerken naar de reële economie.</w:t>
      </w:r>
    </w:p>
    <w:p w:rsidRPr="00D6144A" w:rsidR="00025744" w:rsidP="001B3CFF" w:rsidRDefault="00427562" w14:paraId="75F4FD30" w14:textId="67DCFCA9">
      <w:pPr>
        <w:spacing w:line="360" w:lineRule="auto"/>
        <w:rPr>
          <w:rFonts w:asciiTheme="minorHAnsi" w:hAnsiTheme="minorHAnsi"/>
          <w:sz w:val="21"/>
          <w:szCs w:val="21"/>
          <w:lang w:val="nl-NL"/>
        </w:rPr>
      </w:pPr>
      <w:r w:rsidRPr="00D6144A">
        <w:rPr>
          <w:rFonts w:asciiTheme="minorHAnsi" w:hAnsiTheme="minorHAnsi"/>
          <w:sz w:val="21"/>
          <w:szCs w:val="21"/>
          <w:lang w:val="nl-NL"/>
        </w:rPr>
        <w:t>Het FSC besteedt specifieke aandacht aan de ontwikkeling van private‑creditmarkten en andere vormen van niet‑bancaire financiering</w:t>
      </w:r>
      <w:r w:rsidR="00D07268">
        <w:rPr>
          <w:rFonts w:asciiTheme="minorHAnsi" w:hAnsiTheme="minorHAnsi"/>
          <w:sz w:val="21"/>
          <w:szCs w:val="21"/>
          <w:lang w:val="nl-NL"/>
        </w:rPr>
        <w:t xml:space="preserve"> die de laatste jaren sterk zijn gegroeid</w:t>
      </w:r>
      <w:r w:rsidRPr="00D6144A">
        <w:rPr>
          <w:rFonts w:asciiTheme="minorHAnsi" w:hAnsiTheme="minorHAnsi"/>
          <w:sz w:val="21"/>
          <w:szCs w:val="21"/>
          <w:lang w:val="nl-NL"/>
        </w:rPr>
        <w:t xml:space="preserve">. </w:t>
      </w:r>
      <w:r w:rsidRPr="00CF0942" w:rsidR="00CF0942">
        <w:rPr>
          <w:rFonts w:asciiTheme="minorHAnsi" w:hAnsiTheme="minorHAnsi"/>
          <w:sz w:val="21"/>
          <w:szCs w:val="21"/>
          <w:lang w:val="nl-NL"/>
        </w:rPr>
        <w:t xml:space="preserve">Alternatieve kredietverlening kan, mits risico’s goed worden beheerst, een waardevolle aanvulling vormen binnen de </w:t>
      </w:r>
      <w:r w:rsidR="00CF0942">
        <w:rPr>
          <w:rFonts w:asciiTheme="minorHAnsi" w:hAnsiTheme="minorHAnsi"/>
          <w:sz w:val="21"/>
          <w:szCs w:val="21"/>
          <w:lang w:val="nl-NL"/>
        </w:rPr>
        <w:t>spaar- en investerings</w:t>
      </w:r>
      <w:r w:rsidRPr="00CF0942" w:rsidR="00CF0942">
        <w:rPr>
          <w:rFonts w:asciiTheme="minorHAnsi" w:hAnsiTheme="minorHAnsi"/>
          <w:sz w:val="21"/>
          <w:szCs w:val="21"/>
          <w:lang w:val="nl-NL"/>
        </w:rPr>
        <w:t>unie, onder meer via private credit voor bedrijven met beperkte toegang tot bankfinanciering.</w:t>
      </w:r>
      <w:r w:rsidR="00A0290A">
        <w:rPr>
          <w:rFonts w:asciiTheme="minorHAnsi" w:hAnsiTheme="minorHAnsi"/>
          <w:sz w:val="21"/>
          <w:szCs w:val="21"/>
          <w:lang w:val="nl-NL"/>
        </w:rPr>
        <w:t xml:space="preserve"> </w:t>
      </w:r>
      <w:r w:rsidR="00CF0942">
        <w:rPr>
          <w:rFonts w:asciiTheme="minorHAnsi" w:hAnsiTheme="minorHAnsi"/>
          <w:sz w:val="21"/>
          <w:szCs w:val="21"/>
          <w:lang w:val="nl-NL"/>
        </w:rPr>
        <w:t>Momenteel</w:t>
      </w:r>
      <w:r w:rsidRPr="00D6144A" w:rsidR="00CF0942">
        <w:rPr>
          <w:rFonts w:asciiTheme="minorHAnsi" w:hAnsiTheme="minorHAnsi"/>
          <w:sz w:val="21"/>
          <w:szCs w:val="21"/>
          <w:lang w:val="nl-NL"/>
        </w:rPr>
        <w:t xml:space="preserve"> </w:t>
      </w:r>
      <w:r w:rsidRPr="00D6144A">
        <w:rPr>
          <w:rFonts w:asciiTheme="minorHAnsi" w:hAnsiTheme="minorHAnsi"/>
          <w:sz w:val="21"/>
          <w:szCs w:val="21"/>
          <w:lang w:val="nl-NL"/>
        </w:rPr>
        <w:t>zijn</w:t>
      </w:r>
      <w:r w:rsidR="00CF0942">
        <w:rPr>
          <w:rFonts w:asciiTheme="minorHAnsi" w:hAnsiTheme="minorHAnsi"/>
          <w:sz w:val="21"/>
          <w:szCs w:val="21"/>
          <w:lang w:val="nl-NL"/>
        </w:rPr>
        <w:t xml:space="preserve"> er echter</w:t>
      </w:r>
      <w:r w:rsidRPr="00D6144A">
        <w:rPr>
          <w:rFonts w:asciiTheme="minorHAnsi" w:hAnsiTheme="minorHAnsi"/>
          <w:sz w:val="21"/>
          <w:szCs w:val="21"/>
          <w:lang w:val="nl-NL"/>
        </w:rPr>
        <w:t xml:space="preserve"> signalen zichtbaar van toenemende krediet‑ en liquiditeitsrisico</w:t>
      </w:r>
      <w:r w:rsidR="00CF0942">
        <w:rPr>
          <w:rFonts w:asciiTheme="minorHAnsi" w:hAnsiTheme="minorHAnsi"/>
          <w:sz w:val="21"/>
          <w:szCs w:val="21"/>
          <w:lang w:val="nl-NL"/>
        </w:rPr>
        <w:t>’</w:t>
      </w:r>
      <w:r w:rsidRPr="00D6144A">
        <w:rPr>
          <w:rFonts w:asciiTheme="minorHAnsi" w:hAnsiTheme="minorHAnsi"/>
          <w:sz w:val="21"/>
          <w:szCs w:val="21"/>
          <w:lang w:val="nl-NL"/>
        </w:rPr>
        <w:t>s</w:t>
      </w:r>
      <w:r w:rsidR="00CF0942">
        <w:rPr>
          <w:rFonts w:asciiTheme="minorHAnsi" w:hAnsiTheme="minorHAnsi"/>
          <w:sz w:val="21"/>
          <w:szCs w:val="21"/>
          <w:lang w:val="nl-NL"/>
        </w:rPr>
        <w:t xml:space="preserve"> bij private credit</w:t>
      </w:r>
      <w:r w:rsidR="00DE5607">
        <w:rPr>
          <w:rFonts w:asciiTheme="minorHAnsi" w:hAnsiTheme="minorHAnsi"/>
          <w:sz w:val="21"/>
          <w:szCs w:val="21"/>
          <w:lang w:val="nl-NL"/>
        </w:rPr>
        <w:t xml:space="preserve"> fondsen</w:t>
      </w:r>
      <w:r w:rsidRPr="00D6144A">
        <w:rPr>
          <w:rFonts w:asciiTheme="minorHAnsi" w:hAnsiTheme="minorHAnsi"/>
          <w:sz w:val="21"/>
          <w:szCs w:val="21"/>
          <w:lang w:val="nl-NL"/>
        </w:rPr>
        <w:t>, onder meer door beperkte transparantie, langere looptijden en lagere verhandelbaarheid.</w:t>
      </w:r>
      <w:r w:rsidRPr="00D6144A" w:rsidR="00053753">
        <w:rPr>
          <w:rFonts w:asciiTheme="minorHAnsi" w:hAnsiTheme="minorHAnsi"/>
          <w:sz w:val="21"/>
          <w:szCs w:val="21"/>
          <w:lang w:val="nl-NL"/>
        </w:rPr>
        <w:t xml:space="preserve"> </w:t>
      </w:r>
      <w:r w:rsidR="003C428C">
        <w:rPr>
          <w:rFonts w:asciiTheme="minorHAnsi" w:hAnsiTheme="minorHAnsi"/>
          <w:sz w:val="21"/>
          <w:szCs w:val="21"/>
          <w:lang w:val="nl-NL"/>
        </w:rPr>
        <w:t>Ook</w:t>
      </w:r>
      <w:r w:rsidRPr="00D6144A" w:rsidR="003C428C">
        <w:rPr>
          <w:rFonts w:asciiTheme="minorHAnsi" w:hAnsiTheme="minorHAnsi"/>
          <w:sz w:val="21"/>
          <w:szCs w:val="21"/>
          <w:lang w:val="nl-NL"/>
        </w:rPr>
        <w:t xml:space="preserve"> </w:t>
      </w:r>
      <w:r w:rsidRPr="00D6144A" w:rsidR="00F10430">
        <w:rPr>
          <w:rFonts w:asciiTheme="minorHAnsi" w:hAnsiTheme="minorHAnsi"/>
          <w:sz w:val="21"/>
          <w:szCs w:val="21"/>
          <w:lang w:val="nl-NL"/>
        </w:rPr>
        <w:t>constateert</w:t>
      </w:r>
      <w:r w:rsidRPr="00D6144A">
        <w:rPr>
          <w:rFonts w:asciiTheme="minorHAnsi" w:hAnsiTheme="minorHAnsi"/>
          <w:sz w:val="21"/>
          <w:szCs w:val="21"/>
          <w:lang w:val="nl-NL"/>
        </w:rPr>
        <w:t xml:space="preserve"> </w:t>
      </w:r>
      <w:r w:rsidRPr="00D6144A" w:rsidR="00F10430">
        <w:rPr>
          <w:rFonts w:asciiTheme="minorHAnsi" w:hAnsiTheme="minorHAnsi"/>
          <w:sz w:val="21"/>
          <w:szCs w:val="21"/>
          <w:lang w:val="nl-NL"/>
        </w:rPr>
        <w:t>h</w:t>
      </w:r>
      <w:r w:rsidRPr="00D6144A">
        <w:rPr>
          <w:rFonts w:asciiTheme="minorHAnsi" w:hAnsiTheme="minorHAnsi"/>
          <w:sz w:val="21"/>
          <w:szCs w:val="21"/>
          <w:lang w:val="nl-NL"/>
        </w:rPr>
        <w:t>et FSC dat d</w:t>
      </w:r>
      <w:r w:rsidR="00CD7621">
        <w:rPr>
          <w:rFonts w:asciiTheme="minorHAnsi" w:hAnsiTheme="minorHAnsi"/>
          <w:sz w:val="21"/>
          <w:szCs w:val="21"/>
          <w:lang w:val="nl-NL"/>
        </w:rPr>
        <w:t>oor</w:t>
      </w:r>
      <w:r w:rsidRPr="00D6144A">
        <w:rPr>
          <w:rFonts w:asciiTheme="minorHAnsi" w:hAnsiTheme="minorHAnsi"/>
          <w:sz w:val="21"/>
          <w:szCs w:val="21"/>
          <w:lang w:val="nl-NL"/>
        </w:rPr>
        <w:t xml:space="preserve"> cyclische gevoeligheid</w:t>
      </w:r>
      <w:r w:rsidR="00CD7621">
        <w:rPr>
          <w:rFonts w:asciiTheme="minorHAnsi" w:hAnsiTheme="minorHAnsi"/>
          <w:sz w:val="21"/>
          <w:szCs w:val="21"/>
          <w:lang w:val="nl-NL"/>
        </w:rPr>
        <w:t xml:space="preserve"> de risico’s</w:t>
      </w:r>
      <w:r w:rsidRPr="00D6144A">
        <w:rPr>
          <w:rFonts w:asciiTheme="minorHAnsi" w:hAnsiTheme="minorHAnsi"/>
          <w:sz w:val="21"/>
          <w:szCs w:val="21"/>
          <w:lang w:val="nl-NL"/>
        </w:rPr>
        <w:t xml:space="preserve"> van private credit </w:t>
      </w:r>
      <w:r w:rsidR="00CD7621">
        <w:rPr>
          <w:rFonts w:asciiTheme="minorHAnsi" w:hAnsiTheme="minorHAnsi"/>
          <w:sz w:val="21"/>
          <w:szCs w:val="21"/>
          <w:lang w:val="nl-NL"/>
        </w:rPr>
        <w:t>kunnen</w:t>
      </w:r>
      <w:r w:rsidRPr="00D6144A" w:rsidR="00CD7621">
        <w:rPr>
          <w:rFonts w:asciiTheme="minorHAnsi" w:hAnsiTheme="minorHAnsi"/>
          <w:sz w:val="21"/>
          <w:szCs w:val="21"/>
          <w:lang w:val="nl-NL"/>
        </w:rPr>
        <w:t xml:space="preserve"> </w:t>
      </w:r>
      <w:r w:rsidRPr="00D6144A">
        <w:rPr>
          <w:rFonts w:asciiTheme="minorHAnsi" w:hAnsiTheme="minorHAnsi"/>
          <w:sz w:val="21"/>
          <w:szCs w:val="21"/>
          <w:lang w:val="nl-NL"/>
        </w:rPr>
        <w:t>toenemen.</w:t>
      </w:r>
      <w:r w:rsidRPr="00D6144A" w:rsidR="00F10430">
        <w:rPr>
          <w:rFonts w:asciiTheme="minorHAnsi" w:hAnsiTheme="minorHAnsi"/>
          <w:sz w:val="21"/>
          <w:szCs w:val="21"/>
          <w:lang w:val="nl-NL"/>
        </w:rPr>
        <w:t xml:space="preserve"> Zo is er nu al een toename van uitstroom en </w:t>
      </w:r>
      <w:r w:rsidR="00D14089">
        <w:rPr>
          <w:rFonts w:asciiTheme="minorHAnsi" w:hAnsiTheme="minorHAnsi"/>
          <w:sz w:val="21"/>
          <w:szCs w:val="21"/>
          <w:lang w:val="nl-NL"/>
        </w:rPr>
        <w:t>onttrekkings</w:t>
      </w:r>
      <w:r w:rsidRPr="00D6144A" w:rsidR="00D714D7">
        <w:rPr>
          <w:rFonts w:asciiTheme="minorHAnsi" w:hAnsiTheme="minorHAnsi"/>
          <w:sz w:val="21"/>
          <w:szCs w:val="21"/>
          <w:lang w:val="nl-NL"/>
        </w:rPr>
        <w:t>verzoeken zichtbaar. Het FSC besluit om de risico’s van private credit tijdens de volgende vergadering uitgebreider te bespreken.</w:t>
      </w:r>
    </w:p>
    <w:p w:rsidRPr="00D6144A" w:rsidR="00CB4C56" w:rsidP="00257283" w:rsidRDefault="00D714D7" w14:paraId="41F4AA8C" w14:textId="32A3E854">
      <w:pPr>
        <w:spacing w:line="360" w:lineRule="auto"/>
        <w:rPr>
          <w:rFonts w:asciiTheme="minorHAnsi" w:hAnsiTheme="minorHAnsi"/>
          <w:sz w:val="21"/>
          <w:szCs w:val="21"/>
          <w:lang w:val="nl-NL"/>
        </w:rPr>
      </w:pPr>
      <w:r w:rsidRPr="00D6144A">
        <w:rPr>
          <w:rFonts w:asciiTheme="minorHAnsi" w:hAnsiTheme="minorHAnsi"/>
          <w:sz w:val="21"/>
          <w:szCs w:val="21"/>
          <w:lang w:val="nl-NL"/>
        </w:rPr>
        <w:t xml:space="preserve">De Nederlandse financiële sector beschikt over stevige kapitaal‑ en liquiditeitsbuffers. Banken, verzekeraars en pensioenfondsen zijn beter gepositioneerd dan in eerdere </w:t>
      </w:r>
      <w:r w:rsidRPr="00D6144A" w:rsidR="008E61AB">
        <w:rPr>
          <w:rFonts w:asciiTheme="minorHAnsi" w:hAnsiTheme="minorHAnsi"/>
          <w:sz w:val="21"/>
          <w:szCs w:val="21"/>
          <w:lang w:val="nl-NL"/>
        </w:rPr>
        <w:t>periode</w:t>
      </w:r>
      <w:r w:rsidR="008E61AB">
        <w:rPr>
          <w:rFonts w:asciiTheme="minorHAnsi" w:hAnsiTheme="minorHAnsi"/>
          <w:sz w:val="21"/>
          <w:szCs w:val="21"/>
          <w:lang w:val="nl-NL"/>
        </w:rPr>
        <w:t>s</w:t>
      </w:r>
      <w:r w:rsidRPr="00D6144A" w:rsidR="008E61AB">
        <w:rPr>
          <w:rFonts w:asciiTheme="minorHAnsi" w:hAnsiTheme="minorHAnsi"/>
          <w:sz w:val="21"/>
          <w:szCs w:val="21"/>
          <w:lang w:val="nl-NL"/>
        </w:rPr>
        <w:t xml:space="preserve"> </w:t>
      </w:r>
      <w:r w:rsidRPr="00D6144A">
        <w:rPr>
          <w:rFonts w:asciiTheme="minorHAnsi" w:hAnsiTheme="minorHAnsi"/>
          <w:sz w:val="21"/>
          <w:szCs w:val="21"/>
          <w:lang w:val="nl-NL"/>
        </w:rPr>
        <w:t xml:space="preserve">van financiële stress. </w:t>
      </w:r>
      <w:r w:rsidRPr="00D6144A" w:rsidR="0012592E">
        <w:rPr>
          <w:rFonts w:asciiTheme="minorHAnsi" w:hAnsiTheme="minorHAnsi"/>
          <w:sz w:val="21"/>
          <w:szCs w:val="21"/>
          <w:lang w:val="nl-NL"/>
        </w:rPr>
        <w:t xml:space="preserve">Het FSC acht het </w:t>
      </w:r>
      <w:r w:rsidR="00FC108B">
        <w:rPr>
          <w:rFonts w:asciiTheme="minorHAnsi" w:hAnsiTheme="minorHAnsi"/>
          <w:sz w:val="21"/>
          <w:szCs w:val="21"/>
          <w:lang w:val="nl-NL"/>
        </w:rPr>
        <w:t xml:space="preserve">desondanks </w:t>
      </w:r>
      <w:r w:rsidRPr="00D6144A" w:rsidR="0012592E">
        <w:rPr>
          <w:rFonts w:asciiTheme="minorHAnsi" w:hAnsiTheme="minorHAnsi"/>
          <w:sz w:val="21"/>
          <w:szCs w:val="21"/>
          <w:lang w:val="nl-NL"/>
        </w:rPr>
        <w:t xml:space="preserve">van belang om kwetsbaarheden tijdig te analyseren, onder meer </w:t>
      </w:r>
      <w:r w:rsidR="00B30338">
        <w:rPr>
          <w:rFonts w:asciiTheme="minorHAnsi" w:hAnsiTheme="minorHAnsi"/>
          <w:sz w:val="21"/>
          <w:szCs w:val="21"/>
          <w:lang w:val="nl-NL"/>
        </w:rPr>
        <w:t>met</w:t>
      </w:r>
      <w:r w:rsidRPr="00D6144A" w:rsidR="0012592E">
        <w:rPr>
          <w:rFonts w:asciiTheme="minorHAnsi" w:hAnsiTheme="minorHAnsi"/>
          <w:sz w:val="21"/>
          <w:szCs w:val="21"/>
          <w:lang w:val="nl-NL"/>
        </w:rPr>
        <w:t xml:space="preserve"> stresstest</w:t>
      </w:r>
      <w:r w:rsidR="00B30338">
        <w:rPr>
          <w:rFonts w:asciiTheme="minorHAnsi" w:hAnsiTheme="minorHAnsi"/>
          <w:sz w:val="21"/>
          <w:szCs w:val="21"/>
          <w:lang w:val="nl-NL"/>
        </w:rPr>
        <w:t>en</w:t>
      </w:r>
      <w:r w:rsidRPr="00D6144A" w:rsidR="0012592E">
        <w:rPr>
          <w:rFonts w:asciiTheme="minorHAnsi" w:hAnsiTheme="minorHAnsi"/>
          <w:sz w:val="21"/>
          <w:szCs w:val="21"/>
          <w:lang w:val="nl-NL"/>
        </w:rPr>
        <w:t xml:space="preserve"> en scenario‑analyses die ook expliciet reële‑economische effecten meenemen.</w:t>
      </w:r>
      <w:r w:rsidR="0012592E">
        <w:rPr>
          <w:rFonts w:asciiTheme="minorHAnsi" w:hAnsiTheme="minorHAnsi"/>
          <w:sz w:val="21"/>
          <w:szCs w:val="21"/>
          <w:lang w:val="nl-NL"/>
        </w:rPr>
        <w:t xml:space="preserve"> Daarna</w:t>
      </w:r>
      <w:r w:rsidR="001A19D5">
        <w:rPr>
          <w:rFonts w:asciiTheme="minorHAnsi" w:hAnsiTheme="minorHAnsi"/>
          <w:sz w:val="21"/>
          <w:szCs w:val="21"/>
          <w:lang w:val="nl-NL"/>
        </w:rPr>
        <w:t>ast</w:t>
      </w:r>
      <w:r w:rsidRPr="00D6144A" w:rsidR="0012592E">
        <w:rPr>
          <w:rFonts w:asciiTheme="minorHAnsi" w:hAnsiTheme="minorHAnsi"/>
          <w:sz w:val="21"/>
          <w:szCs w:val="21"/>
          <w:lang w:val="nl-NL"/>
        </w:rPr>
        <w:t xml:space="preserve"> </w:t>
      </w:r>
      <w:r w:rsidRPr="00D6144A">
        <w:rPr>
          <w:rFonts w:asciiTheme="minorHAnsi" w:hAnsiTheme="minorHAnsi"/>
          <w:sz w:val="21"/>
          <w:szCs w:val="21"/>
          <w:lang w:val="nl-NL"/>
        </w:rPr>
        <w:t xml:space="preserve">blijft </w:t>
      </w:r>
      <w:r w:rsidR="003D20FE">
        <w:rPr>
          <w:rFonts w:asciiTheme="minorHAnsi" w:hAnsiTheme="minorHAnsi"/>
          <w:sz w:val="21"/>
          <w:szCs w:val="21"/>
          <w:lang w:val="nl-NL"/>
        </w:rPr>
        <w:t>onverminderd</w:t>
      </w:r>
      <w:r w:rsidRPr="00D6144A">
        <w:rPr>
          <w:rFonts w:asciiTheme="minorHAnsi" w:hAnsiTheme="minorHAnsi"/>
          <w:sz w:val="21"/>
          <w:szCs w:val="21"/>
          <w:lang w:val="nl-NL"/>
        </w:rPr>
        <w:t xml:space="preserve"> aandacht nodig voor </w:t>
      </w:r>
      <w:r w:rsidRPr="00D6144A">
        <w:rPr>
          <w:rFonts w:asciiTheme="minorHAnsi" w:hAnsiTheme="minorHAnsi"/>
          <w:sz w:val="21"/>
          <w:szCs w:val="21"/>
          <w:lang w:val="nl-NL"/>
        </w:rPr>
        <w:lastRenderedPageBreak/>
        <w:t xml:space="preserve">operationele en digitale weerbaarheid, mede in het licht van geopolitieke spanningen en toenemende cyberdreigingen. </w:t>
      </w:r>
    </w:p>
    <w:p w:rsidRPr="00D6144A" w:rsidR="00025744" w:rsidP="00257283" w:rsidRDefault="00427562" w14:paraId="21F5A6D5" w14:textId="77777777">
      <w:pPr>
        <w:spacing w:line="360" w:lineRule="auto"/>
        <w:rPr>
          <w:rFonts w:asciiTheme="minorHAnsi" w:hAnsiTheme="minorHAnsi"/>
          <w:sz w:val="21"/>
          <w:szCs w:val="21"/>
          <w:lang w:val="nl-NL"/>
        </w:rPr>
      </w:pPr>
      <w:r w:rsidRPr="00D6144A">
        <w:rPr>
          <w:rFonts w:asciiTheme="minorHAnsi" w:hAnsiTheme="minorHAnsi"/>
          <w:b/>
          <w:sz w:val="21"/>
          <w:szCs w:val="21"/>
          <w:u w:val="single"/>
          <w:lang w:val="nl-NL"/>
        </w:rPr>
        <w:t>2. Europese ontwikkelingen en regelgeving</w:t>
      </w:r>
    </w:p>
    <w:p w:rsidRPr="00D6144A" w:rsidR="00025744" w:rsidP="00257283" w:rsidRDefault="00427562" w14:paraId="7CBF7723" w14:textId="78277109">
      <w:pPr>
        <w:spacing w:line="360" w:lineRule="auto"/>
        <w:rPr>
          <w:rFonts w:asciiTheme="minorHAnsi" w:hAnsiTheme="minorHAnsi"/>
          <w:sz w:val="21"/>
          <w:szCs w:val="21"/>
          <w:lang w:val="nl-NL"/>
        </w:rPr>
      </w:pPr>
      <w:r w:rsidRPr="00D6144A">
        <w:rPr>
          <w:rFonts w:asciiTheme="minorHAnsi" w:hAnsiTheme="minorHAnsi"/>
          <w:sz w:val="21"/>
          <w:szCs w:val="21"/>
          <w:lang w:val="nl-NL"/>
        </w:rPr>
        <w:t xml:space="preserve">Het FSC </w:t>
      </w:r>
      <w:r w:rsidR="00B80E37">
        <w:rPr>
          <w:rFonts w:asciiTheme="minorHAnsi" w:hAnsiTheme="minorHAnsi"/>
          <w:sz w:val="21"/>
          <w:szCs w:val="21"/>
          <w:lang w:val="nl-NL"/>
        </w:rPr>
        <w:t>bespreekt</w:t>
      </w:r>
      <w:r w:rsidRPr="00D6144A">
        <w:rPr>
          <w:rFonts w:asciiTheme="minorHAnsi" w:hAnsiTheme="minorHAnsi"/>
          <w:sz w:val="21"/>
          <w:szCs w:val="21"/>
          <w:lang w:val="nl-NL"/>
        </w:rPr>
        <w:t xml:space="preserve"> </w:t>
      </w:r>
      <w:r w:rsidR="00B80E37">
        <w:rPr>
          <w:rFonts w:asciiTheme="minorHAnsi" w:hAnsiTheme="minorHAnsi"/>
          <w:sz w:val="21"/>
          <w:szCs w:val="21"/>
          <w:lang w:val="nl-NL"/>
        </w:rPr>
        <w:t xml:space="preserve">de </w:t>
      </w:r>
      <w:r w:rsidRPr="00D6144A">
        <w:rPr>
          <w:rFonts w:asciiTheme="minorHAnsi" w:hAnsiTheme="minorHAnsi"/>
          <w:sz w:val="21"/>
          <w:szCs w:val="21"/>
          <w:lang w:val="nl-NL"/>
        </w:rPr>
        <w:t>recente Europese initiatieven op het terrein van financiële regelgeving en toezicht. Het FSC ziet</w:t>
      </w:r>
      <w:r w:rsidRPr="00D6144A" w:rsidR="005F63A7">
        <w:rPr>
          <w:rFonts w:asciiTheme="minorHAnsi" w:hAnsiTheme="minorHAnsi"/>
          <w:sz w:val="21"/>
          <w:szCs w:val="21"/>
          <w:lang w:val="nl-NL"/>
        </w:rPr>
        <w:t xml:space="preserve"> in de</w:t>
      </w:r>
      <w:r w:rsidRPr="00D6144A">
        <w:rPr>
          <w:rFonts w:asciiTheme="minorHAnsi" w:hAnsiTheme="minorHAnsi"/>
          <w:sz w:val="21"/>
          <w:szCs w:val="21"/>
          <w:lang w:val="nl-NL"/>
        </w:rPr>
        <w:t xml:space="preserve"> </w:t>
      </w:r>
      <w:r w:rsidRPr="00D6144A" w:rsidR="0085630A">
        <w:rPr>
          <w:rFonts w:asciiTheme="minorHAnsi" w:hAnsiTheme="minorHAnsi"/>
          <w:sz w:val="21"/>
          <w:szCs w:val="21"/>
          <w:lang w:val="nl-NL"/>
        </w:rPr>
        <w:t xml:space="preserve">spaar‑ en </w:t>
      </w:r>
      <w:r w:rsidR="00B80E37">
        <w:rPr>
          <w:rFonts w:asciiTheme="minorHAnsi" w:hAnsiTheme="minorHAnsi"/>
          <w:sz w:val="21"/>
          <w:szCs w:val="21"/>
          <w:lang w:val="nl-NL"/>
        </w:rPr>
        <w:t>investerings</w:t>
      </w:r>
      <w:r w:rsidRPr="00D6144A" w:rsidR="0085630A">
        <w:rPr>
          <w:rFonts w:asciiTheme="minorHAnsi" w:hAnsiTheme="minorHAnsi"/>
          <w:sz w:val="21"/>
          <w:szCs w:val="21"/>
          <w:lang w:val="nl-NL"/>
        </w:rPr>
        <w:t xml:space="preserve">unie </w:t>
      </w:r>
      <w:r w:rsidRPr="00D6144A">
        <w:rPr>
          <w:rFonts w:asciiTheme="minorHAnsi" w:hAnsiTheme="minorHAnsi"/>
          <w:sz w:val="21"/>
          <w:szCs w:val="21"/>
          <w:lang w:val="nl-NL"/>
        </w:rPr>
        <w:t xml:space="preserve">kansen om barrières binnen </w:t>
      </w:r>
      <w:r w:rsidR="00B80E37">
        <w:rPr>
          <w:rFonts w:asciiTheme="minorHAnsi" w:hAnsiTheme="minorHAnsi"/>
          <w:sz w:val="21"/>
          <w:szCs w:val="21"/>
          <w:lang w:val="nl-NL"/>
        </w:rPr>
        <w:t>de Europese interne markt</w:t>
      </w:r>
      <w:r w:rsidRPr="00D6144A">
        <w:rPr>
          <w:rFonts w:asciiTheme="minorHAnsi" w:hAnsiTheme="minorHAnsi"/>
          <w:sz w:val="21"/>
          <w:szCs w:val="21"/>
          <w:lang w:val="nl-NL"/>
        </w:rPr>
        <w:t xml:space="preserve"> te verminderen en de</w:t>
      </w:r>
      <w:r w:rsidR="00C21CCD">
        <w:rPr>
          <w:rFonts w:asciiTheme="minorHAnsi" w:hAnsiTheme="minorHAnsi"/>
          <w:sz w:val="21"/>
          <w:szCs w:val="21"/>
          <w:lang w:val="nl-NL"/>
        </w:rPr>
        <w:t xml:space="preserve"> efficiëntie,</w:t>
      </w:r>
      <w:r w:rsidRPr="00D6144A">
        <w:rPr>
          <w:rFonts w:asciiTheme="minorHAnsi" w:hAnsiTheme="minorHAnsi"/>
          <w:sz w:val="21"/>
          <w:szCs w:val="21"/>
          <w:lang w:val="nl-NL"/>
        </w:rPr>
        <w:t xml:space="preserve"> effectiviteit en consistentie van toezicht te vergroten</w:t>
      </w:r>
      <w:r w:rsidR="006537C0">
        <w:rPr>
          <w:rFonts w:asciiTheme="minorHAnsi" w:hAnsiTheme="minorHAnsi"/>
          <w:sz w:val="21"/>
          <w:szCs w:val="21"/>
          <w:lang w:val="nl-NL"/>
        </w:rPr>
        <w:t>.</w:t>
      </w:r>
      <w:r w:rsidRPr="00D6144A" w:rsidR="005F63A7">
        <w:rPr>
          <w:rFonts w:asciiTheme="minorHAnsi" w:hAnsiTheme="minorHAnsi"/>
          <w:sz w:val="21"/>
          <w:szCs w:val="21"/>
          <w:lang w:val="nl-NL"/>
        </w:rPr>
        <w:t xml:space="preserve"> </w:t>
      </w:r>
      <w:r w:rsidRPr="00D6144A" w:rsidR="003D5C39">
        <w:rPr>
          <w:rFonts w:asciiTheme="minorHAnsi" w:hAnsiTheme="minorHAnsi"/>
          <w:sz w:val="21"/>
          <w:szCs w:val="21"/>
          <w:lang w:val="nl-NL"/>
        </w:rPr>
        <w:t xml:space="preserve">Zo kan </w:t>
      </w:r>
      <w:r w:rsidR="003727ED">
        <w:rPr>
          <w:rFonts w:asciiTheme="minorHAnsi" w:hAnsiTheme="minorHAnsi"/>
          <w:sz w:val="21"/>
          <w:szCs w:val="21"/>
          <w:lang w:val="nl-NL"/>
        </w:rPr>
        <w:t>zorgvuldig ingerichte</w:t>
      </w:r>
      <w:r w:rsidRPr="00D6144A" w:rsidR="003727ED">
        <w:rPr>
          <w:rFonts w:asciiTheme="minorHAnsi" w:hAnsiTheme="minorHAnsi"/>
          <w:sz w:val="21"/>
          <w:szCs w:val="21"/>
          <w:lang w:val="nl-NL"/>
        </w:rPr>
        <w:t xml:space="preserve"> </w:t>
      </w:r>
      <w:r w:rsidRPr="00D6144A" w:rsidR="005F63A7">
        <w:rPr>
          <w:rFonts w:asciiTheme="minorHAnsi" w:hAnsiTheme="minorHAnsi"/>
          <w:sz w:val="21"/>
          <w:szCs w:val="21"/>
          <w:lang w:val="nl-NL"/>
        </w:rPr>
        <w:t>centralisatie van</w:t>
      </w:r>
      <w:r w:rsidR="003727ED">
        <w:rPr>
          <w:rFonts w:asciiTheme="minorHAnsi" w:hAnsiTheme="minorHAnsi"/>
          <w:sz w:val="21"/>
          <w:szCs w:val="21"/>
          <w:lang w:val="nl-NL"/>
        </w:rPr>
        <w:t xml:space="preserve"> risico-gebaseerd</w:t>
      </w:r>
      <w:r w:rsidRPr="00D6144A" w:rsidR="005F63A7">
        <w:rPr>
          <w:rFonts w:asciiTheme="minorHAnsi" w:hAnsiTheme="minorHAnsi"/>
          <w:sz w:val="21"/>
          <w:szCs w:val="21"/>
          <w:lang w:val="nl-NL"/>
        </w:rPr>
        <w:t xml:space="preserve"> toezicht op Europees niveau</w:t>
      </w:r>
      <w:r w:rsidR="003727ED">
        <w:rPr>
          <w:rFonts w:asciiTheme="minorHAnsi" w:hAnsiTheme="minorHAnsi"/>
          <w:sz w:val="21"/>
          <w:szCs w:val="21"/>
          <w:lang w:val="nl-NL"/>
        </w:rPr>
        <w:t xml:space="preserve"> </w:t>
      </w:r>
      <w:r w:rsidRPr="00D6144A" w:rsidR="0041710E">
        <w:rPr>
          <w:rFonts w:asciiTheme="minorHAnsi" w:hAnsiTheme="minorHAnsi"/>
          <w:sz w:val="21"/>
          <w:szCs w:val="21"/>
          <w:lang w:val="nl-NL"/>
        </w:rPr>
        <w:t>belangrijke voordelen b</w:t>
      </w:r>
      <w:r w:rsidR="004F6CC5">
        <w:rPr>
          <w:rFonts w:asciiTheme="minorHAnsi" w:hAnsiTheme="minorHAnsi"/>
          <w:sz w:val="21"/>
          <w:szCs w:val="21"/>
          <w:lang w:val="nl-NL"/>
        </w:rPr>
        <w:t>ie</w:t>
      </w:r>
      <w:r w:rsidRPr="00D6144A" w:rsidR="0041710E">
        <w:rPr>
          <w:rFonts w:asciiTheme="minorHAnsi" w:hAnsiTheme="minorHAnsi"/>
          <w:sz w:val="21"/>
          <w:szCs w:val="21"/>
          <w:lang w:val="nl-NL"/>
        </w:rPr>
        <w:t>den</w:t>
      </w:r>
      <w:r w:rsidRPr="00D6144A">
        <w:rPr>
          <w:rFonts w:asciiTheme="minorHAnsi" w:hAnsiTheme="minorHAnsi"/>
          <w:sz w:val="21"/>
          <w:szCs w:val="21"/>
          <w:lang w:val="nl-NL"/>
        </w:rPr>
        <w:t>.</w:t>
      </w:r>
    </w:p>
    <w:p w:rsidRPr="00D6144A" w:rsidR="00025744" w:rsidP="00257283" w:rsidRDefault="00427562" w14:paraId="584A6DED" w14:textId="10776178">
      <w:pPr>
        <w:spacing w:line="360" w:lineRule="auto"/>
        <w:rPr>
          <w:rFonts w:asciiTheme="minorHAnsi" w:hAnsiTheme="minorHAnsi"/>
          <w:sz w:val="21"/>
          <w:szCs w:val="21"/>
          <w:lang w:val="nl-NL"/>
        </w:rPr>
      </w:pPr>
      <w:r w:rsidRPr="00D6144A">
        <w:rPr>
          <w:rFonts w:asciiTheme="minorHAnsi" w:hAnsiTheme="minorHAnsi"/>
          <w:sz w:val="21"/>
          <w:szCs w:val="21"/>
          <w:lang w:val="nl-NL"/>
        </w:rPr>
        <w:t xml:space="preserve">Het FSC onderkent dat het Europese bankensysteem de afgelopen jaren gezonder is geworden en dat verdere verdieping van de bankenunie, inclusief </w:t>
      </w:r>
      <w:r w:rsidR="00E32364">
        <w:rPr>
          <w:rFonts w:asciiTheme="minorHAnsi" w:hAnsiTheme="minorHAnsi"/>
          <w:sz w:val="21"/>
          <w:szCs w:val="21"/>
          <w:lang w:val="nl-NL"/>
        </w:rPr>
        <w:t xml:space="preserve">een </w:t>
      </w:r>
      <w:r>
        <w:rPr>
          <w:rFonts w:asciiTheme="minorHAnsi" w:hAnsiTheme="minorHAnsi"/>
          <w:sz w:val="21"/>
          <w:szCs w:val="21"/>
          <w:lang w:val="nl-NL"/>
        </w:rPr>
        <w:t>depositogarantiestelsel op Europees niveau (</w:t>
      </w:r>
      <w:r w:rsidRPr="00D6144A">
        <w:rPr>
          <w:rFonts w:asciiTheme="minorHAnsi" w:hAnsiTheme="minorHAnsi"/>
          <w:sz w:val="21"/>
          <w:szCs w:val="21"/>
          <w:lang w:val="nl-NL"/>
        </w:rPr>
        <w:t>EDIS</w:t>
      </w:r>
      <w:r>
        <w:rPr>
          <w:rFonts w:asciiTheme="minorHAnsi" w:hAnsiTheme="minorHAnsi"/>
          <w:sz w:val="21"/>
          <w:szCs w:val="21"/>
          <w:lang w:val="nl-NL"/>
        </w:rPr>
        <w:t>)</w:t>
      </w:r>
      <w:r w:rsidRPr="00D6144A">
        <w:rPr>
          <w:rFonts w:asciiTheme="minorHAnsi" w:hAnsiTheme="minorHAnsi"/>
          <w:sz w:val="21"/>
          <w:szCs w:val="21"/>
          <w:lang w:val="nl-NL"/>
        </w:rPr>
        <w:t xml:space="preserve">, kan bijdragen aan financiële stabiliteit. </w:t>
      </w:r>
      <w:r w:rsidRPr="00D6144A" w:rsidR="00726980">
        <w:rPr>
          <w:rFonts w:asciiTheme="minorHAnsi" w:hAnsiTheme="minorHAnsi"/>
          <w:sz w:val="21"/>
          <w:szCs w:val="21"/>
          <w:lang w:val="nl-NL"/>
        </w:rPr>
        <w:t>FSC-leden zien</w:t>
      </w:r>
      <w:r w:rsidR="003F2E38">
        <w:rPr>
          <w:rFonts w:asciiTheme="minorHAnsi" w:hAnsiTheme="minorHAnsi"/>
          <w:sz w:val="21"/>
          <w:szCs w:val="21"/>
          <w:lang w:val="nl-NL"/>
        </w:rPr>
        <w:t xml:space="preserve"> </w:t>
      </w:r>
      <w:r w:rsidR="002F46F8">
        <w:rPr>
          <w:rFonts w:asciiTheme="minorHAnsi" w:hAnsiTheme="minorHAnsi"/>
          <w:sz w:val="21"/>
          <w:szCs w:val="21"/>
          <w:lang w:val="nl-NL"/>
        </w:rPr>
        <w:t>ook</w:t>
      </w:r>
      <w:r w:rsidR="008F6AEB">
        <w:rPr>
          <w:rFonts w:asciiTheme="minorHAnsi" w:hAnsiTheme="minorHAnsi"/>
          <w:sz w:val="21"/>
          <w:szCs w:val="21"/>
          <w:lang w:val="nl-NL"/>
        </w:rPr>
        <w:t xml:space="preserve"> </w:t>
      </w:r>
      <w:r w:rsidRPr="00D6144A" w:rsidR="00726980">
        <w:rPr>
          <w:rFonts w:asciiTheme="minorHAnsi" w:hAnsiTheme="minorHAnsi"/>
          <w:sz w:val="21"/>
          <w:szCs w:val="21"/>
          <w:lang w:val="nl-NL"/>
        </w:rPr>
        <w:t>voordelen in het versimpelen van regelgeving</w:t>
      </w:r>
      <w:r w:rsidR="002F46F8">
        <w:rPr>
          <w:rFonts w:asciiTheme="minorHAnsi" w:hAnsiTheme="minorHAnsi"/>
          <w:sz w:val="21"/>
          <w:szCs w:val="21"/>
          <w:lang w:val="nl-NL"/>
        </w:rPr>
        <w:t>,</w:t>
      </w:r>
      <w:r w:rsidRPr="00D6144A" w:rsidR="00726980">
        <w:rPr>
          <w:rFonts w:asciiTheme="minorHAnsi" w:hAnsiTheme="minorHAnsi"/>
          <w:sz w:val="21"/>
          <w:szCs w:val="21"/>
          <w:lang w:val="nl-NL"/>
        </w:rPr>
        <w:t xml:space="preserve"> zolang deze niet ten koste gaat van de weerbaarheid van financiële instellingen.</w:t>
      </w:r>
      <w:r w:rsidRPr="008F6AEB" w:rsidR="008F6AEB">
        <w:rPr>
          <w:rFonts w:asciiTheme="minorHAnsi" w:hAnsiTheme="minorHAnsi"/>
          <w:sz w:val="21"/>
          <w:szCs w:val="21"/>
          <w:lang w:val="nl-NL"/>
        </w:rPr>
        <w:t xml:space="preserve"> </w:t>
      </w:r>
      <w:r w:rsidR="008F6AEB">
        <w:rPr>
          <w:rFonts w:asciiTheme="minorHAnsi" w:hAnsiTheme="minorHAnsi"/>
          <w:sz w:val="21"/>
          <w:szCs w:val="21"/>
          <w:lang w:val="nl-NL"/>
        </w:rPr>
        <w:t>Daarbij blijft</w:t>
      </w:r>
      <w:r w:rsidRPr="00D6144A" w:rsidR="008F6AEB">
        <w:rPr>
          <w:rFonts w:asciiTheme="minorHAnsi" w:hAnsiTheme="minorHAnsi"/>
          <w:sz w:val="21"/>
          <w:szCs w:val="21"/>
          <w:lang w:val="nl-NL"/>
        </w:rPr>
        <w:t xml:space="preserve"> de internationale context, waaronder mogelijke wijzigingen in het regelgevingskader</w:t>
      </w:r>
      <w:r w:rsidR="008F6AEB">
        <w:rPr>
          <w:rFonts w:asciiTheme="minorHAnsi" w:hAnsiTheme="minorHAnsi"/>
          <w:sz w:val="21"/>
          <w:szCs w:val="21"/>
          <w:lang w:val="nl-NL"/>
        </w:rPr>
        <w:t xml:space="preserve"> buiten de Europese Unie</w:t>
      </w:r>
      <w:r w:rsidRPr="00D6144A" w:rsidR="008F6AEB">
        <w:rPr>
          <w:rFonts w:asciiTheme="minorHAnsi" w:hAnsiTheme="minorHAnsi"/>
          <w:sz w:val="21"/>
          <w:szCs w:val="21"/>
          <w:lang w:val="nl-NL"/>
        </w:rPr>
        <w:t>, een relevante factor.</w:t>
      </w:r>
      <w:r w:rsidR="008F6AEB">
        <w:rPr>
          <w:rFonts w:asciiTheme="minorHAnsi" w:hAnsiTheme="minorHAnsi"/>
          <w:sz w:val="21"/>
          <w:szCs w:val="21"/>
          <w:lang w:val="nl-NL"/>
        </w:rPr>
        <w:t xml:space="preserve"> </w:t>
      </w:r>
    </w:p>
    <w:p w:rsidRPr="00D6144A" w:rsidR="00025744" w:rsidP="00257283" w:rsidRDefault="00427562" w14:paraId="3A6812D0" w14:textId="64CDF5BB">
      <w:pPr>
        <w:spacing w:line="360" w:lineRule="auto"/>
        <w:rPr>
          <w:rFonts w:asciiTheme="minorHAnsi" w:hAnsiTheme="minorHAnsi"/>
          <w:sz w:val="21"/>
          <w:szCs w:val="21"/>
          <w:lang w:val="nl-NL"/>
        </w:rPr>
      </w:pPr>
      <w:r w:rsidRPr="00D6144A">
        <w:rPr>
          <w:rFonts w:asciiTheme="minorHAnsi" w:hAnsiTheme="minorHAnsi"/>
          <w:b/>
          <w:sz w:val="21"/>
          <w:szCs w:val="21"/>
          <w:u w:val="single"/>
          <w:lang w:val="nl-NL"/>
        </w:rPr>
        <w:t>3. Monitor leennormen</w:t>
      </w:r>
      <w:r w:rsidR="008A0140">
        <w:rPr>
          <w:rFonts w:asciiTheme="minorHAnsi" w:hAnsiTheme="minorHAnsi"/>
          <w:b/>
          <w:sz w:val="21"/>
          <w:szCs w:val="21"/>
          <w:u w:val="single"/>
          <w:lang w:val="nl-NL"/>
        </w:rPr>
        <w:t>, toegankelijkheid</w:t>
      </w:r>
      <w:r w:rsidRPr="00D6144A">
        <w:rPr>
          <w:rFonts w:asciiTheme="minorHAnsi" w:hAnsiTheme="minorHAnsi"/>
          <w:b/>
          <w:sz w:val="21"/>
          <w:szCs w:val="21"/>
          <w:u w:val="single"/>
          <w:lang w:val="nl-NL"/>
        </w:rPr>
        <w:t xml:space="preserve"> en perspectief op de woningmarkt</w:t>
      </w:r>
    </w:p>
    <w:p w:rsidRPr="00D6144A" w:rsidR="00025744" w:rsidP="00257283" w:rsidRDefault="00257283" w14:paraId="1E267EA4" w14:textId="61FBF75A">
      <w:pPr>
        <w:spacing w:line="360" w:lineRule="auto"/>
        <w:rPr>
          <w:rFonts w:asciiTheme="minorHAnsi" w:hAnsiTheme="minorHAnsi"/>
          <w:sz w:val="21"/>
          <w:szCs w:val="21"/>
          <w:lang w:val="nl-NL"/>
        </w:rPr>
      </w:pPr>
      <w:r w:rsidRPr="00257283">
        <w:rPr>
          <w:rFonts w:asciiTheme="minorHAnsi" w:hAnsiTheme="minorHAnsi"/>
          <w:sz w:val="21"/>
          <w:szCs w:val="21"/>
          <w:lang w:val="nl-NL"/>
        </w:rPr>
        <w:t xml:space="preserve">Het FSC </w:t>
      </w:r>
      <w:r w:rsidR="004F1D18">
        <w:rPr>
          <w:rFonts w:asciiTheme="minorHAnsi" w:hAnsiTheme="minorHAnsi"/>
          <w:sz w:val="21"/>
          <w:szCs w:val="21"/>
          <w:lang w:val="nl-NL"/>
        </w:rPr>
        <w:t>bespreekt</w:t>
      </w:r>
      <w:r w:rsidRPr="00257283">
        <w:rPr>
          <w:rFonts w:asciiTheme="minorHAnsi" w:hAnsiTheme="minorHAnsi"/>
          <w:sz w:val="21"/>
          <w:szCs w:val="21"/>
          <w:lang w:val="nl-NL"/>
        </w:rPr>
        <w:t xml:space="preserve"> de gezamenlijke monitor leennormen van DNB en AFM</w:t>
      </w:r>
      <w:r w:rsidRPr="00257283">
        <w:rPr>
          <w:rFonts w:asciiTheme="minorHAnsi" w:hAnsiTheme="minorHAnsi"/>
          <w:sz w:val="21"/>
          <w:szCs w:val="21"/>
          <w:vertAlign w:val="superscript"/>
          <w:lang w:val="nl-NL"/>
        </w:rPr>
        <w:footnoteReference w:id="4"/>
      </w:r>
      <w:r w:rsidRPr="00257283">
        <w:rPr>
          <w:rFonts w:asciiTheme="minorHAnsi" w:hAnsiTheme="minorHAnsi"/>
          <w:sz w:val="21"/>
          <w:szCs w:val="21"/>
          <w:lang w:val="nl-NL"/>
        </w:rPr>
        <w:t>, evenals de CPB‑monitor toegankelijkheid koopwoningmarkt</w:t>
      </w:r>
      <w:r w:rsidRPr="00257283">
        <w:rPr>
          <w:rFonts w:asciiTheme="minorHAnsi" w:hAnsiTheme="minorHAnsi"/>
          <w:sz w:val="21"/>
          <w:szCs w:val="21"/>
          <w:vertAlign w:val="superscript"/>
          <w:lang w:val="nl-NL"/>
        </w:rPr>
        <w:footnoteReference w:id="5"/>
      </w:r>
      <w:r w:rsidRPr="00257283">
        <w:rPr>
          <w:rFonts w:asciiTheme="minorHAnsi" w:hAnsiTheme="minorHAnsi"/>
          <w:sz w:val="21"/>
          <w:szCs w:val="21"/>
          <w:lang w:val="nl-NL"/>
        </w:rPr>
        <w:t xml:space="preserve"> en de CPB‑studie Perspectief op de woningmarkt</w:t>
      </w:r>
      <w:r w:rsidRPr="00257283">
        <w:rPr>
          <w:rFonts w:asciiTheme="minorHAnsi" w:hAnsiTheme="minorHAnsi"/>
          <w:sz w:val="21"/>
          <w:szCs w:val="21"/>
          <w:vertAlign w:val="superscript"/>
          <w:lang w:val="nl-NL"/>
        </w:rPr>
        <w:footnoteReference w:id="6"/>
      </w:r>
      <w:r w:rsidRPr="00257283">
        <w:rPr>
          <w:rFonts w:asciiTheme="minorHAnsi" w:hAnsiTheme="minorHAnsi"/>
          <w:sz w:val="21"/>
          <w:szCs w:val="21"/>
          <w:lang w:val="nl-NL"/>
        </w:rPr>
        <w:t xml:space="preserve">. </w:t>
      </w:r>
      <w:r w:rsidRPr="00D6144A" w:rsidR="00427562">
        <w:rPr>
          <w:rFonts w:asciiTheme="minorHAnsi" w:hAnsiTheme="minorHAnsi"/>
          <w:sz w:val="21"/>
          <w:szCs w:val="21"/>
          <w:lang w:val="nl-NL"/>
        </w:rPr>
        <w:t xml:space="preserve"> Uit de monitor leennormen blijkt dat sinds de invoering van de wettelijke leennormen in 2013 de kwetsbaarheden bij huishoudens geleidelijk zijn afgenomen. Lagere gemiddelde loan‑to‑value</w:t>
      </w:r>
      <w:r w:rsidR="008718AC">
        <w:rPr>
          <w:rFonts w:asciiTheme="minorHAnsi" w:hAnsiTheme="minorHAnsi"/>
          <w:sz w:val="21"/>
          <w:szCs w:val="21"/>
          <w:lang w:val="nl-NL"/>
        </w:rPr>
        <w:t xml:space="preserve"> (LTV)</w:t>
      </w:r>
      <w:r w:rsidRPr="00D6144A" w:rsidR="00427562">
        <w:rPr>
          <w:rFonts w:asciiTheme="minorHAnsi" w:hAnsiTheme="minorHAnsi"/>
          <w:sz w:val="21"/>
          <w:szCs w:val="21"/>
          <w:lang w:val="nl-NL"/>
        </w:rPr>
        <w:t xml:space="preserve"> en loan‑to‑income</w:t>
      </w:r>
      <w:r w:rsidR="008718AC">
        <w:rPr>
          <w:rFonts w:asciiTheme="minorHAnsi" w:hAnsiTheme="minorHAnsi"/>
          <w:sz w:val="21"/>
          <w:szCs w:val="21"/>
          <w:lang w:val="nl-NL"/>
        </w:rPr>
        <w:t xml:space="preserve"> (LTI) </w:t>
      </w:r>
      <w:r w:rsidRPr="00D6144A" w:rsidR="00427562">
        <w:rPr>
          <w:rFonts w:asciiTheme="minorHAnsi" w:hAnsiTheme="minorHAnsi"/>
          <w:sz w:val="21"/>
          <w:szCs w:val="21"/>
          <w:lang w:val="nl-NL"/>
        </w:rPr>
        <w:t>ratio’s hebben de schokbestendigheid van huishoudens vergroot.</w:t>
      </w:r>
      <w:r w:rsidR="008718AC">
        <w:rPr>
          <w:rFonts w:asciiTheme="minorHAnsi" w:hAnsiTheme="minorHAnsi"/>
          <w:sz w:val="21"/>
          <w:szCs w:val="21"/>
          <w:lang w:val="nl-NL"/>
        </w:rPr>
        <w:t xml:space="preserve"> </w:t>
      </w:r>
      <w:r w:rsidRPr="00D6144A" w:rsidR="00427562">
        <w:rPr>
          <w:rFonts w:asciiTheme="minorHAnsi" w:hAnsiTheme="minorHAnsi"/>
          <w:sz w:val="21"/>
          <w:szCs w:val="21"/>
          <w:lang w:val="nl-NL"/>
        </w:rPr>
        <w:t xml:space="preserve">Tegelijkertijd laat de monitor zien dat bij nieuwe hypotheken sinds 2022 een lichte toename zichtbaar is van de </w:t>
      </w:r>
      <w:r w:rsidR="008718AC">
        <w:rPr>
          <w:rFonts w:asciiTheme="minorHAnsi" w:hAnsiTheme="minorHAnsi"/>
          <w:sz w:val="21"/>
          <w:szCs w:val="21"/>
          <w:lang w:val="nl-NL"/>
        </w:rPr>
        <w:t>LTV</w:t>
      </w:r>
      <w:r w:rsidR="00427562">
        <w:rPr>
          <w:rFonts w:asciiTheme="minorHAnsi" w:hAnsiTheme="minorHAnsi"/>
          <w:sz w:val="21"/>
          <w:szCs w:val="21"/>
          <w:lang w:val="nl-NL"/>
        </w:rPr>
        <w:t>-</w:t>
      </w:r>
      <w:r w:rsidR="008718AC">
        <w:rPr>
          <w:rFonts w:asciiTheme="minorHAnsi" w:hAnsiTheme="minorHAnsi"/>
          <w:sz w:val="21"/>
          <w:szCs w:val="21"/>
          <w:lang w:val="nl-NL"/>
        </w:rPr>
        <w:t xml:space="preserve"> en </w:t>
      </w:r>
      <w:r w:rsidR="00427562">
        <w:rPr>
          <w:rFonts w:asciiTheme="minorHAnsi" w:hAnsiTheme="minorHAnsi"/>
          <w:sz w:val="21"/>
          <w:szCs w:val="21"/>
          <w:lang w:val="nl-NL"/>
        </w:rPr>
        <w:t>LTI-ratio’s</w:t>
      </w:r>
      <w:r w:rsidRPr="00D6144A" w:rsidR="00427562">
        <w:rPr>
          <w:rFonts w:asciiTheme="minorHAnsi" w:hAnsiTheme="minorHAnsi"/>
          <w:sz w:val="21"/>
          <w:szCs w:val="21"/>
          <w:lang w:val="nl-NL"/>
        </w:rPr>
        <w:t>, met name onder starters die vaker gebruikmaken van hun maximale leencapaciteit. Hierdoor blijven financiële‑stabiliteitsrisico’s aanwezig, vooral in combinatie met aanhoudend hoge huizenprijzen.</w:t>
      </w:r>
    </w:p>
    <w:p w:rsidRPr="00D6144A" w:rsidR="00025744" w:rsidP="00257283" w:rsidRDefault="00427562" w14:paraId="45D519B7" w14:textId="4269C414">
      <w:pPr>
        <w:spacing w:line="360" w:lineRule="auto"/>
        <w:rPr>
          <w:rFonts w:asciiTheme="minorHAnsi" w:hAnsiTheme="minorHAnsi"/>
          <w:sz w:val="21"/>
          <w:szCs w:val="21"/>
          <w:lang w:val="nl-NL"/>
        </w:rPr>
      </w:pPr>
      <w:r w:rsidRPr="00D6144A">
        <w:rPr>
          <w:rFonts w:asciiTheme="minorHAnsi" w:hAnsiTheme="minorHAnsi"/>
          <w:sz w:val="21"/>
          <w:szCs w:val="21"/>
          <w:lang w:val="nl-NL"/>
        </w:rPr>
        <w:t xml:space="preserve">Volgens analyses van het CPB is de toegankelijkheid van de koopwoningmarkt de afgelopen jaren aanzienlijk verslechterd. Een steeds kleiner aandeel van de koopwoningen is betaalbaar voor huishoudens met een doorsnee inkomen, vooral in stedelijke gebieden. Het FSC onderschrijft dat versoepeling van leennormen het toegankelijkheidsprobleem niet oplost en </w:t>
      </w:r>
      <w:r w:rsidRPr="00D6144A">
        <w:rPr>
          <w:rFonts w:asciiTheme="minorHAnsi" w:hAnsiTheme="minorHAnsi"/>
          <w:sz w:val="21"/>
          <w:szCs w:val="21"/>
          <w:lang w:val="nl-NL"/>
        </w:rPr>
        <w:lastRenderedPageBreak/>
        <w:t>kan leiden tot hogere huizenprijzen en grotere financiële</w:t>
      </w:r>
      <w:r w:rsidR="00C7261A">
        <w:rPr>
          <w:rFonts w:asciiTheme="minorHAnsi" w:hAnsiTheme="minorHAnsi"/>
          <w:sz w:val="21"/>
          <w:szCs w:val="21"/>
          <w:lang w:val="nl-NL"/>
        </w:rPr>
        <w:t xml:space="preserve"> </w:t>
      </w:r>
      <w:r w:rsidRPr="00D6144A">
        <w:rPr>
          <w:rFonts w:asciiTheme="minorHAnsi" w:hAnsiTheme="minorHAnsi"/>
          <w:sz w:val="21"/>
          <w:szCs w:val="21"/>
          <w:lang w:val="nl-NL"/>
        </w:rPr>
        <w:t>stabiliteitsrisico’s. Tegelijkertijd kan verdere verkrapping van leennormen de toegankelijkheid op korte termijn beperken.</w:t>
      </w:r>
    </w:p>
    <w:p w:rsidRPr="00D6144A" w:rsidR="00025744" w:rsidP="00257283" w:rsidRDefault="00427562" w14:paraId="1B486DE7" w14:textId="45024F24">
      <w:pPr>
        <w:spacing w:line="360" w:lineRule="auto"/>
        <w:rPr>
          <w:rFonts w:asciiTheme="minorHAnsi" w:hAnsiTheme="minorHAnsi"/>
          <w:sz w:val="21"/>
          <w:szCs w:val="21"/>
          <w:lang w:val="nl-NL"/>
        </w:rPr>
      </w:pPr>
      <w:r w:rsidRPr="00D6144A">
        <w:rPr>
          <w:rFonts w:asciiTheme="minorHAnsi" w:hAnsiTheme="minorHAnsi"/>
          <w:sz w:val="21"/>
          <w:szCs w:val="21"/>
          <w:lang w:val="nl-NL"/>
        </w:rPr>
        <w:t>Prudente leennormen blijven essentieel voor het waarborgen van de financiële stabiliteit</w:t>
      </w:r>
      <w:r w:rsidR="007D3251">
        <w:rPr>
          <w:rFonts w:asciiTheme="minorHAnsi" w:hAnsiTheme="minorHAnsi"/>
          <w:sz w:val="21"/>
          <w:szCs w:val="21"/>
          <w:lang w:val="nl-NL"/>
        </w:rPr>
        <w:t xml:space="preserve"> </w:t>
      </w:r>
      <w:r w:rsidRPr="006537C0" w:rsidR="007D3251">
        <w:rPr>
          <w:rFonts w:ascii="Cambria" w:hAnsi="Cambria"/>
          <w:sz w:val="21"/>
          <w:szCs w:val="21"/>
          <w:lang w:val="nl-NL"/>
        </w:rPr>
        <w:t>en wijzigingen</w:t>
      </w:r>
      <w:r w:rsidR="00E61C13">
        <w:rPr>
          <w:rFonts w:ascii="Cambria" w:hAnsi="Cambria"/>
          <w:sz w:val="21"/>
          <w:szCs w:val="21"/>
          <w:lang w:val="nl-NL"/>
        </w:rPr>
        <w:t xml:space="preserve"> in de leennormensystematiek</w:t>
      </w:r>
      <w:r w:rsidRPr="006537C0" w:rsidR="007D3251">
        <w:rPr>
          <w:rFonts w:ascii="Cambria" w:hAnsi="Cambria"/>
          <w:sz w:val="21"/>
          <w:szCs w:val="21"/>
          <w:lang w:val="nl-NL"/>
        </w:rPr>
        <w:t xml:space="preserve"> </w:t>
      </w:r>
      <w:r w:rsidR="007D3251">
        <w:rPr>
          <w:rFonts w:ascii="Cambria" w:hAnsi="Cambria"/>
          <w:sz w:val="21"/>
          <w:szCs w:val="21"/>
          <w:lang w:val="nl-NL"/>
        </w:rPr>
        <w:t xml:space="preserve">zijn </w:t>
      </w:r>
      <w:r w:rsidRPr="006537C0" w:rsidR="007D3251">
        <w:rPr>
          <w:rFonts w:ascii="Cambria" w:hAnsi="Cambria"/>
          <w:sz w:val="21"/>
          <w:szCs w:val="21"/>
          <w:lang w:val="nl-NL"/>
        </w:rPr>
        <w:t>nu niet opportuun</w:t>
      </w:r>
      <w:r w:rsidRPr="00D6144A">
        <w:rPr>
          <w:rFonts w:asciiTheme="minorHAnsi" w:hAnsiTheme="minorHAnsi"/>
          <w:sz w:val="21"/>
          <w:szCs w:val="21"/>
          <w:lang w:val="nl-NL"/>
        </w:rPr>
        <w:t xml:space="preserve">. Het verminderen van structurele kwetsbaarheden op de woningmarkt vraagt om een brede beleidsmix, waaronder het vergroten van het woningaanbod. </w:t>
      </w:r>
      <w:r w:rsidR="00704A09">
        <w:rPr>
          <w:rFonts w:asciiTheme="minorHAnsi" w:hAnsiTheme="minorHAnsi"/>
          <w:sz w:val="21"/>
          <w:szCs w:val="21"/>
          <w:lang w:val="nl-NL"/>
        </w:rPr>
        <w:t xml:space="preserve">Het FSC </w:t>
      </w:r>
      <w:r w:rsidR="00210C18">
        <w:rPr>
          <w:rFonts w:asciiTheme="minorHAnsi" w:hAnsiTheme="minorHAnsi"/>
          <w:sz w:val="21"/>
          <w:szCs w:val="21"/>
          <w:lang w:val="nl-NL"/>
        </w:rPr>
        <w:t xml:space="preserve">verwelkomt </w:t>
      </w:r>
      <w:r w:rsidR="00CF1E9D">
        <w:rPr>
          <w:rFonts w:asciiTheme="minorHAnsi" w:hAnsiTheme="minorHAnsi"/>
          <w:sz w:val="21"/>
          <w:szCs w:val="21"/>
          <w:lang w:val="nl-NL"/>
        </w:rPr>
        <w:t>dat f</w:t>
      </w:r>
      <w:r w:rsidRPr="00D6144A">
        <w:rPr>
          <w:rFonts w:asciiTheme="minorHAnsi" w:hAnsiTheme="minorHAnsi"/>
          <w:sz w:val="21"/>
          <w:szCs w:val="21"/>
          <w:lang w:val="nl-NL"/>
        </w:rPr>
        <w:t>inanciële</w:t>
      </w:r>
      <w:r w:rsidR="00CF1E9D">
        <w:rPr>
          <w:rFonts w:asciiTheme="minorHAnsi" w:hAnsiTheme="minorHAnsi"/>
          <w:sz w:val="21"/>
          <w:szCs w:val="21"/>
          <w:lang w:val="nl-NL"/>
        </w:rPr>
        <w:t xml:space="preserve"> </w:t>
      </w:r>
      <w:r w:rsidRPr="00D6144A">
        <w:rPr>
          <w:rFonts w:asciiTheme="minorHAnsi" w:hAnsiTheme="minorHAnsi"/>
          <w:sz w:val="21"/>
          <w:szCs w:val="21"/>
          <w:lang w:val="nl-NL"/>
        </w:rPr>
        <w:t xml:space="preserve">stabiliteitsoverwegingen </w:t>
      </w:r>
      <w:r w:rsidR="00CF1E9D">
        <w:rPr>
          <w:rFonts w:asciiTheme="minorHAnsi" w:hAnsiTheme="minorHAnsi"/>
          <w:sz w:val="21"/>
          <w:szCs w:val="21"/>
          <w:lang w:val="nl-NL"/>
        </w:rPr>
        <w:t>nu</w:t>
      </w:r>
      <w:r w:rsidRPr="00D6144A">
        <w:rPr>
          <w:rFonts w:asciiTheme="minorHAnsi" w:hAnsiTheme="minorHAnsi"/>
          <w:sz w:val="21"/>
          <w:szCs w:val="21"/>
          <w:lang w:val="nl-NL"/>
        </w:rPr>
        <w:t xml:space="preserve"> expliciet </w:t>
      </w:r>
      <w:r w:rsidRPr="00D6144A" w:rsidR="00CF1E9D">
        <w:rPr>
          <w:rFonts w:asciiTheme="minorHAnsi" w:hAnsiTheme="minorHAnsi"/>
          <w:sz w:val="21"/>
          <w:szCs w:val="21"/>
          <w:lang w:val="nl-NL"/>
        </w:rPr>
        <w:t>meege</w:t>
      </w:r>
      <w:r w:rsidR="00210C18">
        <w:rPr>
          <w:rFonts w:asciiTheme="minorHAnsi" w:hAnsiTheme="minorHAnsi"/>
          <w:sz w:val="21"/>
          <w:szCs w:val="21"/>
          <w:lang w:val="nl-NL"/>
        </w:rPr>
        <w:t>nomen</w:t>
      </w:r>
      <w:r w:rsidRPr="00D6144A" w:rsidR="00CF1E9D">
        <w:rPr>
          <w:rFonts w:asciiTheme="minorHAnsi" w:hAnsiTheme="minorHAnsi"/>
          <w:sz w:val="21"/>
          <w:szCs w:val="21"/>
          <w:lang w:val="nl-NL"/>
        </w:rPr>
        <w:t xml:space="preserve"> </w:t>
      </w:r>
      <w:r w:rsidRPr="00D6144A">
        <w:rPr>
          <w:rFonts w:asciiTheme="minorHAnsi" w:hAnsiTheme="minorHAnsi"/>
          <w:sz w:val="21"/>
          <w:szCs w:val="21"/>
          <w:lang w:val="nl-NL"/>
        </w:rPr>
        <w:t>worden</w:t>
      </w:r>
      <w:r w:rsidR="00CF1E9D">
        <w:rPr>
          <w:rFonts w:asciiTheme="minorHAnsi" w:hAnsiTheme="minorHAnsi"/>
          <w:sz w:val="21"/>
          <w:szCs w:val="21"/>
          <w:lang w:val="nl-NL"/>
        </w:rPr>
        <w:t xml:space="preserve"> bij het bepalen van de leennormen</w:t>
      </w:r>
      <w:r w:rsidRPr="00D6144A">
        <w:rPr>
          <w:rFonts w:asciiTheme="minorHAnsi" w:hAnsiTheme="minorHAnsi"/>
          <w:sz w:val="21"/>
          <w:szCs w:val="21"/>
          <w:lang w:val="nl-NL"/>
        </w:rPr>
        <w:t>.</w:t>
      </w:r>
      <w:r w:rsidR="00CF1E9D">
        <w:rPr>
          <w:rFonts w:asciiTheme="minorHAnsi" w:hAnsiTheme="minorHAnsi"/>
          <w:sz w:val="21"/>
          <w:szCs w:val="21"/>
          <w:lang w:val="nl-NL"/>
        </w:rPr>
        <w:t xml:space="preserve"> Hiermee wordt ook opvolging gegeven </w:t>
      </w:r>
      <w:r w:rsidR="004D436E">
        <w:rPr>
          <w:rFonts w:asciiTheme="minorHAnsi" w:hAnsiTheme="minorHAnsi"/>
          <w:sz w:val="21"/>
          <w:szCs w:val="21"/>
          <w:lang w:val="nl-NL"/>
        </w:rPr>
        <w:t xml:space="preserve">aan een aanbeveling </w:t>
      </w:r>
      <w:r w:rsidR="00FF3052">
        <w:rPr>
          <w:rFonts w:asciiTheme="minorHAnsi" w:hAnsiTheme="minorHAnsi"/>
          <w:sz w:val="21"/>
          <w:szCs w:val="21"/>
          <w:lang w:val="nl-NL"/>
        </w:rPr>
        <w:t>van het I</w:t>
      </w:r>
      <w:r w:rsidR="009B2DAE">
        <w:rPr>
          <w:rFonts w:asciiTheme="minorHAnsi" w:hAnsiTheme="minorHAnsi"/>
          <w:sz w:val="21"/>
          <w:szCs w:val="21"/>
          <w:lang w:val="nl-NL"/>
        </w:rPr>
        <w:t>nternationaal Monetair Fonds</w:t>
      </w:r>
      <w:r w:rsidR="00FF3052">
        <w:rPr>
          <w:rFonts w:asciiTheme="minorHAnsi" w:hAnsiTheme="minorHAnsi"/>
          <w:sz w:val="21"/>
          <w:szCs w:val="21"/>
          <w:lang w:val="nl-NL"/>
        </w:rPr>
        <w:t xml:space="preserve"> (</w:t>
      </w:r>
      <w:r w:rsidR="004D436E">
        <w:rPr>
          <w:rFonts w:asciiTheme="minorHAnsi" w:hAnsiTheme="minorHAnsi"/>
          <w:sz w:val="21"/>
          <w:szCs w:val="21"/>
          <w:lang w:val="nl-NL"/>
        </w:rPr>
        <w:t>IMF Financial Sector Assessment Program</w:t>
      </w:r>
      <w:r w:rsidR="00FF3052">
        <w:rPr>
          <w:rFonts w:asciiTheme="minorHAnsi" w:hAnsiTheme="minorHAnsi"/>
          <w:sz w:val="21"/>
          <w:szCs w:val="21"/>
          <w:lang w:val="nl-NL"/>
        </w:rPr>
        <w:t>,</w:t>
      </w:r>
      <w:r w:rsidR="009B2DAE">
        <w:rPr>
          <w:rFonts w:asciiTheme="minorHAnsi" w:hAnsiTheme="minorHAnsi"/>
          <w:sz w:val="21"/>
          <w:szCs w:val="21"/>
          <w:lang w:val="nl-NL"/>
        </w:rPr>
        <w:t xml:space="preserve"> </w:t>
      </w:r>
      <w:r w:rsidR="004D436E">
        <w:rPr>
          <w:rFonts w:asciiTheme="minorHAnsi" w:hAnsiTheme="minorHAnsi"/>
          <w:sz w:val="21"/>
          <w:szCs w:val="21"/>
          <w:lang w:val="nl-NL"/>
        </w:rPr>
        <w:t>202</w:t>
      </w:r>
      <w:r w:rsidR="00670DDA">
        <w:rPr>
          <w:rFonts w:asciiTheme="minorHAnsi" w:hAnsiTheme="minorHAnsi"/>
          <w:sz w:val="21"/>
          <w:szCs w:val="21"/>
          <w:lang w:val="nl-NL"/>
        </w:rPr>
        <w:t>4</w:t>
      </w:r>
      <w:r w:rsidR="00FF3052">
        <w:rPr>
          <w:rFonts w:asciiTheme="minorHAnsi" w:hAnsiTheme="minorHAnsi"/>
          <w:sz w:val="21"/>
          <w:szCs w:val="21"/>
          <w:lang w:val="nl-NL"/>
        </w:rPr>
        <w:t>)</w:t>
      </w:r>
      <w:r w:rsidR="004D436E">
        <w:rPr>
          <w:rFonts w:asciiTheme="minorHAnsi" w:hAnsiTheme="minorHAnsi"/>
          <w:sz w:val="21"/>
          <w:szCs w:val="21"/>
          <w:lang w:val="nl-NL"/>
        </w:rPr>
        <w:t>.</w:t>
      </w:r>
      <w:r w:rsidR="00FD7577">
        <w:rPr>
          <w:rStyle w:val="Voetnootmarkering"/>
          <w:rFonts w:asciiTheme="minorHAnsi" w:hAnsiTheme="minorHAnsi"/>
          <w:sz w:val="21"/>
          <w:szCs w:val="21"/>
          <w:lang w:val="nl-NL"/>
        </w:rPr>
        <w:footnoteReference w:id="7"/>
      </w:r>
    </w:p>
    <w:p w:rsidRPr="00CF1E9D" w:rsidR="00025744" w:rsidP="00257283" w:rsidRDefault="00427562" w14:paraId="44AD0A63" w14:textId="03EC03B3">
      <w:pPr>
        <w:spacing w:line="360" w:lineRule="auto"/>
        <w:rPr>
          <w:rFonts w:asciiTheme="minorHAnsi" w:hAnsiTheme="minorHAnsi"/>
          <w:sz w:val="21"/>
          <w:szCs w:val="21"/>
          <w:lang w:val="nl-NL"/>
        </w:rPr>
      </w:pPr>
      <w:r w:rsidRPr="00D6144A">
        <w:rPr>
          <w:rFonts w:asciiTheme="minorHAnsi" w:hAnsiTheme="minorHAnsi"/>
          <w:sz w:val="21"/>
          <w:szCs w:val="21"/>
          <w:lang w:val="nl-NL"/>
        </w:rPr>
        <w:t xml:space="preserve">De volgende vergadering van het FSC vindt plaats op 26 juni 2026. </w:t>
      </w:r>
      <w:r w:rsidR="00670DDA">
        <w:rPr>
          <w:rFonts w:asciiTheme="minorHAnsi" w:hAnsiTheme="minorHAnsi"/>
          <w:sz w:val="21"/>
          <w:szCs w:val="21"/>
          <w:lang w:val="nl-NL"/>
        </w:rPr>
        <w:t>FSC-l</w:t>
      </w:r>
      <w:r w:rsidRPr="00CF1E9D">
        <w:rPr>
          <w:rFonts w:asciiTheme="minorHAnsi" w:hAnsiTheme="minorHAnsi"/>
          <w:sz w:val="21"/>
          <w:szCs w:val="21"/>
          <w:lang w:val="nl-NL"/>
        </w:rPr>
        <w:t xml:space="preserve">eden </w:t>
      </w:r>
      <w:r w:rsidR="00B6674B">
        <w:rPr>
          <w:rFonts w:asciiTheme="minorHAnsi" w:hAnsiTheme="minorHAnsi"/>
          <w:sz w:val="21"/>
          <w:szCs w:val="21"/>
          <w:lang w:val="nl-NL"/>
        </w:rPr>
        <w:t xml:space="preserve">willen dan </w:t>
      </w:r>
      <w:r w:rsidR="00670DDA">
        <w:rPr>
          <w:rFonts w:asciiTheme="minorHAnsi" w:hAnsiTheme="minorHAnsi"/>
          <w:sz w:val="21"/>
          <w:szCs w:val="21"/>
          <w:lang w:val="nl-NL"/>
        </w:rPr>
        <w:t xml:space="preserve">spreken over private </w:t>
      </w:r>
      <w:r w:rsidR="00B747AA">
        <w:rPr>
          <w:rFonts w:asciiTheme="minorHAnsi" w:hAnsiTheme="minorHAnsi"/>
          <w:sz w:val="21"/>
          <w:szCs w:val="21"/>
          <w:lang w:val="nl-NL"/>
        </w:rPr>
        <w:t xml:space="preserve">credit en </w:t>
      </w:r>
      <w:r w:rsidR="00BC3FAF">
        <w:rPr>
          <w:rFonts w:asciiTheme="minorHAnsi" w:hAnsiTheme="minorHAnsi"/>
          <w:sz w:val="21"/>
          <w:szCs w:val="21"/>
          <w:lang w:val="nl-NL"/>
        </w:rPr>
        <w:t>stablecoins.</w:t>
      </w:r>
    </w:p>
    <w:sectPr w:rsidRPr="00CF1E9D" w:rsidR="00025744" w:rsidSect="00034616">
      <w:footerReference w:type="default" r:id="rId7"/>
      <w:pgSz w:w="12240" w:h="15840"/>
      <w:pgMar w:top="1440" w:right="1800" w:bottom="1440" w:left="180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AE6C1" w14:textId="77777777" w:rsidR="00225F83" w:rsidRDefault="00225F83" w:rsidP="00257283">
      <w:pPr>
        <w:spacing w:after="0" w:line="240" w:lineRule="auto"/>
      </w:pPr>
      <w:r>
        <w:separator/>
      </w:r>
    </w:p>
  </w:endnote>
  <w:endnote w:type="continuationSeparator" w:id="0">
    <w:p w14:paraId="7ADF5883" w14:textId="77777777" w:rsidR="00225F83" w:rsidRDefault="00225F83" w:rsidP="00257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324837"/>
      <w:docPartObj>
        <w:docPartGallery w:val="Page Numbers (Bottom of Page)"/>
        <w:docPartUnique/>
      </w:docPartObj>
    </w:sdtPr>
    <w:sdtEndPr/>
    <w:sdtContent>
      <w:p w14:paraId="299E5DD6" w14:textId="7D6A1A9D" w:rsidR="00257283" w:rsidRDefault="00257283">
        <w:pPr>
          <w:pStyle w:val="Voettekst"/>
          <w:jc w:val="center"/>
        </w:pPr>
        <w:r>
          <w:fldChar w:fldCharType="begin"/>
        </w:r>
        <w:r>
          <w:instrText>PAGE   \* MERGEFORMAT</w:instrText>
        </w:r>
        <w:r>
          <w:fldChar w:fldCharType="separate"/>
        </w:r>
        <w:r>
          <w:rPr>
            <w:lang w:val="nl-NL"/>
          </w:rPr>
          <w:t>2</w:t>
        </w:r>
        <w:r>
          <w:fldChar w:fldCharType="end"/>
        </w:r>
      </w:p>
    </w:sdtContent>
  </w:sdt>
  <w:p w14:paraId="78488551" w14:textId="77777777" w:rsidR="00257283" w:rsidRDefault="002572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E5E22" w14:textId="77777777" w:rsidR="00225F83" w:rsidRDefault="00225F83" w:rsidP="00257283">
      <w:pPr>
        <w:spacing w:after="0" w:line="240" w:lineRule="auto"/>
      </w:pPr>
      <w:r>
        <w:separator/>
      </w:r>
    </w:p>
  </w:footnote>
  <w:footnote w:type="continuationSeparator" w:id="0">
    <w:p w14:paraId="78BBDC5A" w14:textId="77777777" w:rsidR="00225F83" w:rsidRDefault="00225F83" w:rsidP="00257283">
      <w:pPr>
        <w:spacing w:after="0" w:line="240" w:lineRule="auto"/>
      </w:pPr>
      <w:r>
        <w:continuationSeparator/>
      </w:r>
    </w:p>
  </w:footnote>
  <w:footnote w:id="1">
    <w:p w14:paraId="4C78E20F" w14:textId="01B4A8C9" w:rsidR="00FC7D4E" w:rsidRPr="00FD7577" w:rsidRDefault="00FC7D4E">
      <w:pPr>
        <w:pStyle w:val="Voetnoottekst"/>
        <w:rPr>
          <w:sz w:val="16"/>
          <w:szCs w:val="16"/>
          <w:lang w:val="nl-NL"/>
        </w:rPr>
      </w:pPr>
      <w:r w:rsidRPr="00FD7577">
        <w:rPr>
          <w:rStyle w:val="Voetnootmarkering"/>
          <w:sz w:val="16"/>
          <w:szCs w:val="16"/>
        </w:rPr>
        <w:footnoteRef/>
      </w:r>
      <w:r w:rsidRPr="00FD7577">
        <w:rPr>
          <w:sz w:val="16"/>
          <w:szCs w:val="16"/>
          <w:lang w:val="nl-NL"/>
        </w:rPr>
        <w:t xml:space="preserve"> Zie </w:t>
      </w:r>
      <w:hyperlink r:id="rId1" w:history="1">
        <w:r w:rsidR="003E2AA7" w:rsidRPr="0079603A">
          <w:rPr>
            <w:rStyle w:val="Hyperlink"/>
            <w:sz w:val="16"/>
            <w:szCs w:val="16"/>
            <w:lang w:val="nl-NL"/>
          </w:rPr>
          <w:t>https://www.cpb.nl/system/files/cpbmedia/CPB_Raming-centraal-economisch-plan-2026.pdf</w:t>
        </w:r>
      </w:hyperlink>
      <w:r w:rsidR="003E2AA7">
        <w:rPr>
          <w:sz w:val="16"/>
          <w:szCs w:val="16"/>
          <w:lang w:val="nl-NL"/>
        </w:rPr>
        <w:t xml:space="preserve">. </w:t>
      </w:r>
    </w:p>
  </w:footnote>
  <w:footnote w:id="2">
    <w:p w14:paraId="2BED6383" w14:textId="28816908" w:rsidR="00B90DB7" w:rsidRPr="00FD7577" w:rsidRDefault="00B90DB7">
      <w:pPr>
        <w:pStyle w:val="Voetnoottekst"/>
        <w:rPr>
          <w:sz w:val="16"/>
          <w:szCs w:val="16"/>
          <w:lang w:val="nl-NL"/>
        </w:rPr>
      </w:pPr>
      <w:r w:rsidRPr="00FD7577">
        <w:rPr>
          <w:rStyle w:val="Voetnootmarkering"/>
          <w:sz w:val="16"/>
          <w:szCs w:val="16"/>
        </w:rPr>
        <w:footnoteRef/>
      </w:r>
      <w:r w:rsidRPr="00FD7577">
        <w:rPr>
          <w:sz w:val="16"/>
          <w:szCs w:val="16"/>
          <w:lang w:val="nl-NL"/>
        </w:rPr>
        <w:t xml:space="preserve"> Zie </w:t>
      </w:r>
      <w:hyperlink r:id="rId2" w:history="1">
        <w:r w:rsidRPr="00FD7577">
          <w:rPr>
            <w:rStyle w:val="Hyperlink"/>
            <w:sz w:val="16"/>
            <w:szCs w:val="16"/>
            <w:lang w:val="nl-NL"/>
          </w:rPr>
          <w:t>https://www.ecb.europa.eu/press/projections/html/ecb.projections202603_ecbstaff~ebe291cd3d.en.html</w:t>
        </w:r>
      </w:hyperlink>
      <w:r w:rsidRPr="00FD7577">
        <w:rPr>
          <w:sz w:val="16"/>
          <w:szCs w:val="16"/>
          <w:lang w:val="nl-NL"/>
        </w:rPr>
        <w:t xml:space="preserve"> </w:t>
      </w:r>
    </w:p>
  </w:footnote>
  <w:footnote w:id="3">
    <w:p w14:paraId="34C09DF7" w14:textId="6B2C7B54" w:rsidR="00351AEB" w:rsidRPr="00B31B1C" w:rsidRDefault="00351AEB">
      <w:pPr>
        <w:pStyle w:val="Voetnoottekst"/>
        <w:rPr>
          <w:sz w:val="16"/>
          <w:szCs w:val="16"/>
          <w:lang w:val="nl-NL"/>
        </w:rPr>
      </w:pPr>
      <w:r w:rsidRPr="00B31B1C">
        <w:rPr>
          <w:rStyle w:val="Voetnootmarkering"/>
          <w:sz w:val="16"/>
          <w:szCs w:val="16"/>
        </w:rPr>
        <w:footnoteRef/>
      </w:r>
      <w:r w:rsidRPr="00B31B1C">
        <w:rPr>
          <w:sz w:val="16"/>
          <w:szCs w:val="16"/>
          <w:lang w:val="nl-NL"/>
        </w:rPr>
        <w:t xml:space="preserve"> </w:t>
      </w:r>
      <w:r>
        <w:rPr>
          <w:sz w:val="16"/>
          <w:szCs w:val="16"/>
          <w:lang w:val="nl-NL"/>
        </w:rPr>
        <w:t>In de al</w:t>
      </w:r>
      <w:r w:rsidR="00C0609B">
        <w:rPr>
          <w:sz w:val="16"/>
          <w:szCs w:val="16"/>
          <w:lang w:val="nl-NL"/>
        </w:rPr>
        <w:t>ternatieve scenario</w:t>
      </w:r>
      <w:r w:rsidR="00C7696A">
        <w:rPr>
          <w:sz w:val="16"/>
          <w:szCs w:val="16"/>
          <w:lang w:val="nl-NL"/>
        </w:rPr>
        <w:t>’</w:t>
      </w:r>
      <w:r w:rsidR="00C0609B">
        <w:rPr>
          <w:sz w:val="16"/>
          <w:szCs w:val="16"/>
          <w:lang w:val="nl-NL"/>
        </w:rPr>
        <w:t xml:space="preserve">s </w:t>
      </w:r>
      <w:r w:rsidR="00C7696A">
        <w:rPr>
          <w:sz w:val="16"/>
          <w:szCs w:val="16"/>
          <w:lang w:val="nl-NL"/>
        </w:rPr>
        <w:t>zijn tweede ronde effecten</w:t>
      </w:r>
      <w:r w:rsidR="00CB4C56">
        <w:rPr>
          <w:sz w:val="16"/>
          <w:szCs w:val="16"/>
          <w:lang w:val="nl-NL"/>
        </w:rPr>
        <w:t xml:space="preserve"> van de prijsschokken op de economische groei slechts beperkt meegenomen</w:t>
      </w:r>
      <w:r w:rsidR="00DB3564">
        <w:rPr>
          <w:sz w:val="16"/>
          <w:szCs w:val="16"/>
          <w:lang w:val="nl-NL"/>
        </w:rPr>
        <w:t>.</w:t>
      </w:r>
      <w:r w:rsidRPr="00B31B1C">
        <w:rPr>
          <w:sz w:val="16"/>
          <w:szCs w:val="16"/>
          <w:lang w:val="nl-NL"/>
        </w:rPr>
        <w:t xml:space="preserve"> </w:t>
      </w:r>
    </w:p>
  </w:footnote>
  <w:footnote w:id="4">
    <w:p w14:paraId="1A3FB111" w14:textId="77777777" w:rsidR="00257283" w:rsidRPr="00FD7577" w:rsidRDefault="00257283" w:rsidP="00257283">
      <w:pPr>
        <w:pStyle w:val="Voetnoottekst"/>
        <w:rPr>
          <w:sz w:val="16"/>
          <w:szCs w:val="16"/>
          <w:lang w:val="nl-NL"/>
        </w:rPr>
      </w:pPr>
      <w:r w:rsidRPr="00FD7577">
        <w:rPr>
          <w:rStyle w:val="Voetnootmarkering"/>
          <w:sz w:val="16"/>
          <w:szCs w:val="16"/>
        </w:rPr>
        <w:footnoteRef/>
      </w:r>
      <w:r w:rsidRPr="00FD7577">
        <w:rPr>
          <w:sz w:val="16"/>
          <w:szCs w:val="16"/>
          <w:lang w:val="nl-NL"/>
        </w:rPr>
        <w:t xml:space="preserve"> Zie </w:t>
      </w:r>
      <w:hyperlink r:id="rId3" w:history="1">
        <w:r w:rsidRPr="00FD7577">
          <w:rPr>
            <w:rStyle w:val="Hyperlink"/>
            <w:sz w:val="16"/>
            <w:szCs w:val="16"/>
            <w:lang w:val="nl-NL"/>
          </w:rPr>
          <w:t>https://www.dnb.nl/media/qgalhjub/85566_2500359_dnb_brochure-fs-monitor_nl_tg_pdfa-1.pdf</w:t>
        </w:r>
      </w:hyperlink>
      <w:r w:rsidRPr="00FD7577">
        <w:rPr>
          <w:sz w:val="16"/>
          <w:szCs w:val="16"/>
          <w:lang w:val="nl-NL"/>
        </w:rPr>
        <w:t>.</w:t>
      </w:r>
    </w:p>
  </w:footnote>
  <w:footnote w:id="5">
    <w:p w14:paraId="18789A11" w14:textId="77777777" w:rsidR="00257283" w:rsidRPr="00FD7577" w:rsidRDefault="00257283" w:rsidP="00257283">
      <w:pPr>
        <w:pStyle w:val="Voetnoottekst"/>
        <w:rPr>
          <w:sz w:val="16"/>
          <w:szCs w:val="16"/>
          <w:lang w:val="nl-NL"/>
        </w:rPr>
      </w:pPr>
      <w:r w:rsidRPr="00FD7577">
        <w:rPr>
          <w:rStyle w:val="Voetnootmarkering"/>
          <w:sz w:val="16"/>
          <w:szCs w:val="16"/>
        </w:rPr>
        <w:footnoteRef/>
      </w:r>
      <w:r w:rsidRPr="00FD7577">
        <w:rPr>
          <w:sz w:val="16"/>
          <w:szCs w:val="16"/>
          <w:lang w:val="nl-NL"/>
        </w:rPr>
        <w:t xml:space="preserve"> Zie </w:t>
      </w:r>
      <w:hyperlink r:id="rId4" w:history="1">
        <w:r w:rsidRPr="00FD7577">
          <w:rPr>
            <w:rStyle w:val="Hyperlink"/>
            <w:sz w:val="16"/>
            <w:szCs w:val="16"/>
            <w:lang w:val="nl-NL"/>
          </w:rPr>
          <w:t>https://www.cpb.nl/system/files/cpbmedia/CPB-publicatie-toegankelijkheidsmonitor-koopwoningmarkt_0.pdf</w:t>
        </w:r>
      </w:hyperlink>
      <w:r w:rsidRPr="00FD7577">
        <w:rPr>
          <w:sz w:val="16"/>
          <w:szCs w:val="16"/>
          <w:lang w:val="nl-NL"/>
        </w:rPr>
        <w:t xml:space="preserve">. </w:t>
      </w:r>
    </w:p>
  </w:footnote>
  <w:footnote w:id="6">
    <w:p w14:paraId="65BB3D30" w14:textId="5520BD76" w:rsidR="00257283" w:rsidRPr="00FD7577" w:rsidRDefault="00257283" w:rsidP="00257283">
      <w:pPr>
        <w:pStyle w:val="Voetnoottekst"/>
        <w:rPr>
          <w:sz w:val="16"/>
          <w:szCs w:val="16"/>
          <w:lang w:val="nl-NL"/>
        </w:rPr>
      </w:pPr>
      <w:r w:rsidRPr="00FD7577">
        <w:rPr>
          <w:rStyle w:val="Voetnootmarkering"/>
          <w:sz w:val="16"/>
          <w:szCs w:val="16"/>
        </w:rPr>
        <w:footnoteRef/>
      </w:r>
      <w:r w:rsidRPr="00FD7577">
        <w:rPr>
          <w:sz w:val="16"/>
          <w:szCs w:val="16"/>
          <w:lang w:val="nl-NL"/>
        </w:rPr>
        <w:t xml:space="preserve"> Zie </w:t>
      </w:r>
      <w:r w:rsidR="00B43EDD" w:rsidRPr="00B43EDD">
        <w:rPr>
          <w:sz w:val="16"/>
          <w:szCs w:val="16"/>
          <w:lang w:val="nl-NL"/>
        </w:rPr>
        <w:t>https://www.cpb.nl/system/files/cpbmedia/CPB_publicatie-perspectief-op-de-woningmarkt.pdf</w:t>
      </w:r>
      <w:r w:rsidR="00B43EDD" w:rsidRPr="00B43EDD" w:rsidDel="00B43EDD">
        <w:rPr>
          <w:sz w:val="16"/>
          <w:szCs w:val="16"/>
          <w:lang w:val="nl-NL"/>
        </w:rPr>
        <w:t xml:space="preserve"> </w:t>
      </w:r>
      <w:r w:rsidR="00B43EDD">
        <w:rPr>
          <w:sz w:val="16"/>
          <w:szCs w:val="16"/>
          <w:lang w:val="nl-NL"/>
        </w:rPr>
        <w:t xml:space="preserve">. </w:t>
      </w:r>
    </w:p>
  </w:footnote>
  <w:footnote w:id="7">
    <w:p w14:paraId="0F61F041" w14:textId="2CCAE7C0" w:rsidR="00FD7577" w:rsidRPr="00FD7577" w:rsidRDefault="00FD7577">
      <w:pPr>
        <w:pStyle w:val="Voetnoottekst"/>
        <w:rPr>
          <w:sz w:val="16"/>
          <w:szCs w:val="16"/>
          <w:lang w:val="nl-NL"/>
        </w:rPr>
      </w:pPr>
      <w:r w:rsidRPr="00FD7577">
        <w:rPr>
          <w:rStyle w:val="Voetnootmarkering"/>
          <w:sz w:val="16"/>
          <w:szCs w:val="16"/>
        </w:rPr>
        <w:footnoteRef/>
      </w:r>
      <w:r w:rsidRPr="00FD7577">
        <w:rPr>
          <w:sz w:val="16"/>
          <w:szCs w:val="16"/>
          <w:lang w:val="nl-NL"/>
        </w:rPr>
        <w:t xml:space="preserve"> Zie </w:t>
      </w:r>
      <w:hyperlink r:id="rId5" w:history="1">
        <w:r w:rsidR="00B31B1C" w:rsidRPr="00784A71">
          <w:rPr>
            <w:rStyle w:val="Hyperlink"/>
            <w:sz w:val="16"/>
            <w:szCs w:val="16"/>
            <w:lang w:val="nl-NL"/>
          </w:rPr>
          <w:t>https://www.imf.org/-/media/files/publications/cr/2024/english/1nldea2024003.pdf</w:t>
        </w:r>
      </w:hyperlink>
      <w:r w:rsidR="00B31B1C">
        <w:rPr>
          <w:sz w:val="16"/>
          <w:szCs w:val="16"/>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371004506">
    <w:abstractNumId w:val="8"/>
  </w:num>
  <w:num w:numId="2" w16cid:durableId="852189795">
    <w:abstractNumId w:val="6"/>
  </w:num>
  <w:num w:numId="3" w16cid:durableId="1089544697">
    <w:abstractNumId w:val="5"/>
  </w:num>
  <w:num w:numId="4" w16cid:durableId="1676491711">
    <w:abstractNumId w:val="4"/>
  </w:num>
  <w:num w:numId="5" w16cid:durableId="403338947">
    <w:abstractNumId w:val="7"/>
  </w:num>
  <w:num w:numId="6" w16cid:durableId="181821510">
    <w:abstractNumId w:val="3"/>
  </w:num>
  <w:num w:numId="7" w16cid:durableId="1925607467">
    <w:abstractNumId w:val="2"/>
  </w:num>
  <w:num w:numId="8" w16cid:durableId="1680081995">
    <w:abstractNumId w:val="1"/>
  </w:num>
  <w:num w:numId="9" w16cid:durableId="23378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744"/>
    <w:rsid w:val="000316CE"/>
    <w:rsid w:val="000340E1"/>
    <w:rsid w:val="00034616"/>
    <w:rsid w:val="00035DED"/>
    <w:rsid w:val="00053753"/>
    <w:rsid w:val="00056B12"/>
    <w:rsid w:val="0006063C"/>
    <w:rsid w:val="00060971"/>
    <w:rsid w:val="000A1A57"/>
    <w:rsid w:val="000B2768"/>
    <w:rsid w:val="000B27F8"/>
    <w:rsid w:val="000B7741"/>
    <w:rsid w:val="000E060D"/>
    <w:rsid w:val="0010010A"/>
    <w:rsid w:val="00103F03"/>
    <w:rsid w:val="001051BA"/>
    <w:rsid w:val="00107793"/>
    <w:rsid w:val="0012592E"/>
    <w:rsid w:val="0014611C"/>
    <w:rsid w:val="00146D23"/>
    <w:rsid w:val="0015074B"/>
    <w:rsid w:val="00160257"/>
    <w:rsid w:val="00165CB4"/>
    <w:rsid w:val="0017637A"/>
    <w:rsid w:val="001833D5"/>
    <w:rsid w:val="0018478E"/>
    <w:rsid w:val="001A19D5"/>
    <w:rsid w:val="001B3CFF"/>
    <w:rsid w:val="001C1CA2"/>
    <w:rsid w:val="001D69D6"/>
    <w:rsid w:val="0020151C"/>
    <w:rsid w:val="00210C18"/>
    <w:rsid w:val="00215B78"/>
    <w:rsid w:val="00225F83"/>
    <w:rsid w:val="002303B2"/>
    <w:rsid w:val="002312C8"/>
    <w:rsid w:val="00257283"/>
    <w:rsid w:val="00263B13"/>
    <w:rsid w:val="00291CB3"/>
    <w:rsid w:val="0029639D"/>
    <w:rsid w:val="00297164"/>
    <w:rsid w:val="002A7FD1"/>
    <w:rsid w:val="002C45E0"/>
    <w:rsid w:val="002C7254"/>
    <w:rsid w:val="002E20F3"/>
    <w:rsid w:val="002E6103"/>
    <w:rsid w:val="002F46F8"/>
    <w:rsid w:val="002F63C4"/>
    <w:rsid w:val="00301179"/>
    <w:rsid w:val="0032171B"/>
    <w:rsid w:val="003255D6"/>
    <w:rsid w:val="00326F90"/>
    <w:rsid w:val="00332C0C"/>
    <w:rsid w:val="00351AEB"/>
    <w:rsid w:val="00357F84"/>
    <w:rsid w:val="003603A0"/>
    <w:rsid w:val="003672E5"/>
    <w:rsid w:val="003727ED"/>
    <w:rsid w:val="00375654"/>
    <w:rsid w:val="00386CD4"/>
    <w:rsid w:val="0039150C"/>
    <w:rsid w:val="003A492C"/>
    <w:rsid w:val="003C428C"/>
    <w:rsid w:val="003D20FE"/>
    <w:rsid w:val="003D5C39"/>
    <w:rsid w:val="003D7A45"/>
    <w:rsid w:val="003E2AA7"/>
    <w:rsid w:val="003F2E38"/>
    <w:rsid w:val="004023FE"/>
    <w:rsid w:val="00416231"/>
    <w:rsid w:val="0041710E"/>
    <w:rsid w:val="00427562"/>
    <w:rsid w:val="00435EE8"/>
    <w:rsid w:val="004572DF"/>
    <w:rsid w:val="00477107"/>
    <w:rsid w:val="004847F8"/>
    <w:rsid w:val="004A0D8D"/>
    <w:rsid w:val="004B244B"/>
    <w:rsid w:val="004D436E"/>
    <w:rsid w:val="004F1D18"/>
    <w:rsid w:val="004F6CC5"/>
    <w:rsid w:val="00534168"/>
    <w:rsid w:val="00534BD3"/>
    <w:rsid w:val="00561F96"/>
    <w:rsid w:val="00573935"/>
    <w:rsid w:val="005A0E38"/>
    <w:rsid w:val="005A1743"/>
    <w:rsid w:val="005A384E"/>
    <w:rsid w:val="005A6447"/>
    <w:rsid w:val="005B4F10"/>
    <w:rsid w:val="005C0E74"/>
    <w:rsid w:val="005E3ADE"/>
    <w:rsid w:val="005F63A7"/>
    <w:rsid w:val="00607398"/>
    <w:rsid w:val="00607EED"/>
    <w:rsid w:val="00613ECD"/>
    <w:rsid w:val="006261B0"/>
    <w:rsid w:val="00643F7A"/>
    <w:rsid w:val="006537C0"/>
    <w:rsid w:val="006676A1"/>
    <w:rsid w:val="00670DDA"/>
    <w:rsid w:val="00686237"/>
    <w:rsid w:val="00696F8B"/>
    <w:rsid w:val="006A410F"/>
    <w:rsid w:val="006C5DAB"/>
    <w:rsid w:val="006D5381"/>
    <w:rsid w:val="006F580E"/>
    <w:rsid w:val="00704A09"/>
    <w:rsid w:val="00726980"/>
    <w:rsid w:val="00733472"/>
    <w:rsid w:val="00737250"/>
    <w:rsid w:val="00754D5F"/>
    <w:rsid w:val="007C2AB9"/>
    <w:rsid w:val="007C50EE"/>
    <w:rsid w:val="007D04E9"/>
    <w:rsid w:val="007D3251"/>
    <w:rsid w:val="007E4C9F"/>
    <w:rsid w:val="00844824"/>
    <w:rsid w:val="0085630A"/>
    <w:rsid w:val="008718AC"/>
    <w:rsid w:val="00872FB1"/>
    <w:rsid w:val="0089262C"/>
    <w:rsid w:val="008A0140"/>
    <w:rsid w:val="008A4E0D"/>
    <w:rsid w:val="008B14AE"/>
    <w:rsid w:val="008C2CC2"/>
    <w:rsid w:val="008E4009"/>
    <w:rsid w:val="008E61AB"/>
    <w:rsid w:val="008F2750"/>
    <w:rsid w:val="008F6AEB"/>
    <w:rsid w:val="00931443"/>
    <w:rsid w:val="00945112"/>
    <w:rsid w:val="009934D1"/>
    <w:rsid w:val="009B2DAE"/>
    <w:rsid w:val="009C66D3"/>
    <w:rsid w:val="009E5ACB"/>
    <w:rsid w:val="00A0290A"/>
    <w:rsid w:val="00A03BD0"/>
    <w:rsid w:val="00A07D3E"/>
    <w:rsid w:val="00A12E42"/>
    <w:rsid w:val="00A2514B"/>
    <w:rsid w:val="00A63C07"/>
    <w:rsid w:val="00A82295"/>
    <w:rsid w:val="00AA1D8D"/>
    <w:rsid w:val="00AA576D"/>
    <w:rsid w:val="00AB02E0"/>
    <w:rsid w:val="00AB67CF"/>
    <w:rsid w:val="00AC3233"/>
    <w:rsid w:val="00AC6AED"/>
    <w:rsid w:val="00AE6315"/>
    <w:rsid w:val="00AF2E1E"/>
    <w:rsid w:val="00AF38C8"/>
    <w:rsid w:val="00B1403D"/>
    <w:rsid w:val="00B2350A"/>
    <w:rsid w:val="00B30338"/>
    <w:rsid w:val="00B31B1C"/>
    <w:rsid w:val="00B32978"/>
    <w:rsid w:val="00B33BC7"/>
    <w:rsid w:val="00B41A27"/>
    <w:rsid w:val="00B43EDD"/>
    <w:rsid w:val="00B47730"/>
    <w:rsid w:val="00B50C55"/>
    <w:rsid w:val="00B55B4B"/>
    <w:rsid w:val="00B63FFF"/>
    <w:rsid w:val="00B6674B"/>
    <w:rsid w:val="00B747AA"/>
    <w:rsid w:val="00B80E37"/>
    <w:rsid w:val="00B90DB7"/>
    <w:rsid w:val="00BA3046"/>
    <w:rsid w:val="00BB3EA2"/>
    <w:rsid w:val="00BC070A"/>
    <w:rsid w:val="00BC3FAF"/>
    <w:rsid w:val="00BC5AAB"/>
    <w:rsid w:val="00BD5987"/>
    <w:rsid w:val="00BE3018"/>
    <w:rsid w:val="00C0609B"/>
    <w:rsid w:val="00C143B4"/>
    <w:rsid w:val="00C156E5"/>
    <w:rsid w:val="00C21CCD"/>
    <w:rsid w:val="00C67590"/>
    <w:rsid w:val="00C7261A"/>
    <w:rsid w:val="00C7696A"/>
    <w:rsid w:val="00CB0664"/>
    <w:rsid w:val="00CB2825"/>
    <w:rsid w:val="00CB4C56"/>
    <w:rsid w:val="00CC307B"/>
    <w:rsid w:val="00CC5E77"/>
    <w:rsid w:val="00CC6C21"/>
    <w:rsid w:val="00CD7621"/>
    <w:rsid w:val="00CF0942"/>
    <w:rsid w:val="00CF1E9D"/>
    <w:rsid w:val="00D05135"/>
    <w:rsid w:val="00D05443"/>
    <w:rsid w:val="00D07268"/>
    <w:rsid w:val="00D100C2"/>
    <w:rsid w:val="00D10F11"/>
    <w:rsid w:val="00D14089"/>
    <w:rsid w:val="00D2505E"/>
    <w:rsid w:val="00D51C82"/>
    <w:rsid w:val="00D6144A"/>
    <w:rsid w:val="00D6295A"/>
    <w:rsid w:val="00D67A9A"/>
    <w:rsid w:val="00D714D7"/>
    <w:rsid w:val="00DA2110"/>
    <w:rsid w:val="00DB3564"/>
    <w:rsid w:val="00DC0979"/>
    <w:rsid w:val="00DE42E1"/>
    <w:rsid w:val="00DE5607"/>
    <w:rsid w:val="00DF26FC"/>
    <w:rsid w:val="00E05490"/>
    <w:rsid w:val="00E24C7C"/>
    <w:rsid w:val="00E262E0"/>
    <w:rsid w:val="00E32364"/>
    <w:rsid w:val="00E56E21"/>
    <w:rsid w:val="00E61C13"/>
    <w:rsid w:val="00E61C2A"/>
    <w:rsid w:val="00E9400C"/>
    <w:rsid w:val="00EB208E"/>
    <w:rsid w:val="00EB6B80"/>
    <w:rsid w:val="00EC1B6B"/>
    <w:rsid w:val="00EE1497"/>
    <w:rsid w:val="00EF6098"/>
    <w:rsid w:val="00F037D8"/>
    <w:rsid w:val="00F10430"/>
    <w:rsid w:val="00F20366"/>
    <w:rsid w:val="00F246EC"/>
    <w:rsid w:val="00F33494"/>
    <w:rsid w:val="00F43BFA"/>
    <w:rsid w:val="00F52FF6"/>
    <w:rsid w:val="00F55219"/>
    <w:rsid w:val="00FB434F"/>
    <w:rsid w:val="00FC108B"/>
    <w:rsid w:val="00FC693F"/>
    <w:rsid w:val="00FC7D4E"/>
    <w:rsid w:val="00FD7577"/>
    <w:rsid w:val="00FE1398"/>
    <w:rsid w:val="00FE6881"/>
    <w:rsid w:val="00FF3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062061"/>
  <w14:defaultImageDpi w14:val="330"/>
  <w15:docId w15:val="{9D14306D-8154-4CAC-AC9C-E1744669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Calibri" w:hAnsi="Calibri"/>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Voetnoottekst">
    <w:name w:val="footnote text"/>
    <w:basedOn w:val="Standaard"/>
    <w:link w:val="VoetnoottekstChar"/>
    <w:uiPriority w:val="99"/>
    <w:semiHidden/>
    <w:unhideWhenUsed/>
    <w:rsid w:val="00257283"/>
    <w:pPr>
      <w:spacing w:after="0" w:line="240" w:lineRule="auto"/>
    </w:pPr>
    <w:rPr>
      <w:rFonts w:asciiTheme="minorHAnsi" w:hAnsiTheme="minorHAnsi"/>
      <w:sz w:val="20"/>
      <w:szCs w:val="20"/>
    </w:rPr>
  </w:style>
  <w:style w:type="character" w:customStyle="1" w:styleId="VoetnoottekstChar">
    <w:name w:val="Voetnoottekst Char"/>
    <w:basedOn w:val="Standaardalinea-lettertype"/>
    <w:link w:val="Voetnoottekst"/>
    <w:uiPriority w:val="99"/>
    <w:semiHidden/>
    <w:rsid w:val="00257283"/>
    <w:rPr>
      <w:sz w:val="20"/>
      <w:szCs w:val="20"/>
    </w:rPr>
  </w:style>
  <w:style w:type="character" w:styleId="Voetnootmarkering">
    <w:name w:val="footnote reference"/>
    <w:basedOn w:val="Standaardalinea-lettertype"/>
    <w:uiPriority w:val="99"/>
    <w:semiHidden/>
    <w:unhideWhenUsed/>
    <w:rsid w:val="00257283"/>
    <w:rPr>
      <w:vertAlign w:val="superscript"/>
    </w:rPr>
  </w:style>
  <w:style w:type="character" w:styleId="Hyperlink">
    <w:name w:val="Hyperlink"/>
    <w:basedOn w:val="Standaardalinea-lettertype"/>
    <w:uiPriority w:val="99"/>
    <w:unhideWhenUsed/>
    <w:rsid w:val="00257283"/>
    <w:rPr>
      <w:color w:val="0000FF" w:themeColor="hyperlink"/>
      <w:u w:val="single"/>
    </w:rPr>
  </w:style>
  <w:style w:type="character" w:styleId="Onopgelostemelding">
    <w:name w:val="Unresolved Mention"/>
    <w:basedOn w:val="Standaardalinea-lettertype"/>
    <w:uiPriority w:val="99"/>
    <w:semiHidden/>
    <w:unhideWhenUsed/>
    <w:rsid w:val="00FC7D4E"/>
    <w:rPr>
      <w:color w:val="605E5C"/>
      <w:shd w:val="clear" w:color="auto" w:fill="E1DFDD"/>
    </w:rPr>
  </w:style>
  <w:style w:type="paragraph" w:styleId="Revisie">
    <w:name w:val="Revision"/>
    <w:hidden/>
    <w:uiPriority w:val="99"/>
    <w:semiHidden/>
    <w:rsid w:val="00AB67CF"/>
    <w:pPr>
      <w:spacing w:after="0" w:line="240" w:lineRule="auto"/>
    </w:pPr>
    <w:rPr>
      <w:rFonts w:ascii="Calibri" w:hAnsi="Calibri"/>
    </w:rPr>
  </w:style>
  <w:style w:type="character" w:styleId="Verwijzingopmerking">
    <w:name w:val="annotation reference"/>
    <w:basedOn w:val="Standaardalinea-lettertype"/>
    <w:uiPriority w:val="99"/>
    <w:semiHidden/>
    <w:unhideWhenUsed/>
    <w:rsid w:val="00DF26FC"/>
    <w:rPr>
      <w:sz w:val="16"/>
      <w:szCs w:val="16"/>
    </w:rPr>
  </w:style>
  <w:style w:type="paragraph" w:styleId="Tekstopmerking">
    <w:name w:val="annotation text"/>
    <w:basedOn w:val="Standaard"/>
    <w:link w:val="TekstopmerkingChar"/>
    <w:uiPriority w:val="99"/>
    <w:unhideWhenUsed/>
    <w:rsid w:val="00DF26FC"/>
    <w:pPr>
      <w:spacing w:line="240" w:lineRule="auto"/>
    </w:pPr>
    <w:rPr>
      <w:sz w:val="20"/>
      <w:szCs w:val="20"/>
    </w:rPr>
  </w:style>
  <w:style w:type="character" w:customStyle="1" w:styleId="TekstopmerkingChar">
    <w:name w:val="Tekst opmerking Char"/>
    <w:basedOn w:val="Standaardalinea-lettertype"/>
    <w:link w:val="Tekstopmerking"/>
    <w:uiPriority w:val="99"/>
    <w:rsid w:val="00DF26FC"/>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DF26FC"/>
    <w:rPr>
      <w:b/>
      <w:bCs/>
    </w:rPr>
  </w:style>
  <w:style w:type="character" w:customStyle="1" w:styleId="OnderwerpvanopmerkingChar">
    <w:name w:val="Onderwerp van opmerking Char"/>
    <w:basedOn w:val="TekstopmerkingChar"/>
    <w:link w:val="Onderwerpvanopmerking"/>
    <w:uiPriority w:val="99"/>
    <w:semiHidden/>
    <w:rsid w:val="00DF26FC"/>
    <w:rPr>
      <w:rFonts w:ascii="Calibri" w:hAnsi="Calibri"/>
      <w:b/>
      <w:bCs/>
      <w:sz w:val="20"/>
      <w:szCs w:val="20"/>
    </w:rPr>
  </w:style>
  <w:style w:type="character" w:styleId="GevolgdeHyperlink">
    <w:name w:val="FollowedHyperlink"/>
    <w:basedOn w:val="Standaardalinea-lettertype"/>
    <w:uiPriority w:val="99"/>
    <w:semiHidden/>
    <w:unhideWhenUsed/>
    <w:rsid w:val="004771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nb.nl/media/qgalhjub/85566_2500359_dnb_brochure-fs-monitor_nl_tg_pdfa-1.pdf" TargetMode="External"/><Relationship Id="rId2" Type="http://schemas.openxmlformats.org/officeDocument/2006/relationships/hyperlink" Target="https://www.ecb.europa.eu/press/projections/html/ecb.projections202603_ecbstaff~ebe291cd3d.en.html" TargetMode="External"/><Relationship Id="rId1" Type="http://schemas.openxmlformats.org/officeDocument/2006/relationships/hyperlink" Target="https://www.cpb.nl/system/files/cpbmedia/CPB_Raming-centraal-economisch-plan-2026.pdf" TargetMode="External"/><Relationship Id="rId5" Type="http://schemas.openxmlformats.org/officeDocument/2006/relationships/hyperlink" Target="https://www.imf.org/-/media/files/publications/cr/2024/english/1nldea2024003.pdf" TargetMode="External"/><Relationship Id="rId4" Type="http://schemas.openxmlformats.org/officeDocument/2006/relationships/hyperlink" Target="https://www.cpb.nl/system/files/cpbmedia/CPB-publicatie-toegankelijkheidsmonitor-koopwoningmarkt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9ecbd628-0072-405d-8567-32c6750b0d3e}" enabled="0" method="" siteId="{9ecbd628-0072-405d-8567-32c6750b0d3e}" removed="1"/>
</clbl:labelList>
</file>

<file path=docProps/app.xml><?xml version="1.0" encoding="utf-8"?>
<ap:Properties xmlns:vt="http://schemas.openxmlformats.org/officeDocument/2006/docPropsVTypes" xmlns:ap="http://schemas.openxmlformats.org/officeDocument/2006/extended-properties">
  <ap:Pages>4</ap:Pages>
  <ap:Words>1266</ap:Words>
  <ap:Characters>6968</ap:Characters>
  <ap:DocSecurity>4</ap:DocSecurity>
  <ap:Lines>58</ap:Lines>
  <ap:Paragraphs>16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2026-04-13T13:48:00.0000000Z</dcterms:created>
  <dcterms:modified xsi:type="dcterms:W3CDTF">2026-04-13T13:48:00.0000000Z</dcterms:modified>
  <category/>
  <version/>
</coreProperties>
</file>