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80F" w:rsidP="00C8580F" w:rsidRDefault="00C8580F" w14:paraId="7B089DDE" w14:textId="333637D4">
      <w:r>
        <w:t>Op 23 maart 2026 vond in uw Kamer een wetgevingsoverleg plaats waar het wetsvoorstel voor de Cyberbeveiligingswet (</w:t>
      </w:r>
      <w:r w:rsidRPr="00567231">
        <w:t>36764</w:t>
      </w:r>
      <w:r>
        <w:t>) en het wetsvoorstel voor de Wet weerbaarheid kritieke entiteiten (</w:t>
      </w:r>
      <w:r w:rsidRPr="00567231">
        <w:t>3676</w:t>
      </w:r>
      <w:r>
        <w:t xml:space="preserve">5) gezamenlijk zijn behandeld. </w:t>
      </w:r>
    </w:p>
    <w:p w:rsidR="001273C4" w:rsidP="00EF0D71" w:rsidRDefault="001273C4" w14:paraId="0E70EBCB" w14:textId="77777777">
      <w:pPr>
        <w:pStyle w:val="Geenafstand"/>
        <w:ind w:right="311"/>
      </w:pPr>
    </w:p>
    <w:p w:rsidR="001273C4" w:rsidP="00C8580F" w:rsidRDefault="001273C4" w14:paraId="6C7DBFFA" w14:textId="41CFD19B">
      <w:r>
        <w:t xml:space="preserve">Het lid </w:t>
      </w:r>
      <w:proofErr w:type="spellStart"/>
      <w:r w:rsidRPr="00895FD4">
        <w:t>Kathmann</w:t>
      </w:r>
      <w:proofErr w:type="spellEnd"/>
      <w:r w:rsidRPr="00895FD4">
        <w:t xml:space="preserve"> </w:t>
      </w:r>
      <w:r>
        <w:t>(</w:t>
      </w:r>
      <w:r w:rsidRPr="00895FD4">
        <w:t>GroenLinks-PvdA</w:t>
      </w:r>
      <w:r>
        <w:t xml:space="preserve">) heeft voor het wetgevingsoverleg een amendement op het wetsvoorstel voor de Wet weerbaarheid kritieke entiteiten ingediend met </w:t>
      </w:r>
      <w:r w:rsidR="00116E3C">
        <w:t xml:space="preserve">het </w:t>
      </w:r>
      <w:r>
        <w:t xml:space="preserve">nummer 10, </w:t>
      </w:r>
      <w:r w:rsidRPr="001273C4">
        <w:t>waarin wordt geregeld dat de bevoegdheid, thans opgenomen in artikel</w:t>
      </w:r>
      <w:r>
        <w:t xml:space="preserve"> 13 van het concept van het Besluit weerbaarheid kritieke entiteiten, wordt overgeheveld naar de Wet weerbaarheid kritieke entiteiten. Haar amendement voorziet ook in een inspanningsverplichting voor de betrokken vakminister</w:t>
      </w:r>
      <w:r w:rsidRPr="008653CD" w:rsidR="008653CD">
        <w:t xml:space="preserve"> om de bedrijfscontinuïteit van de betrokken entiteit te waarborgen</w:t>
      </w:r>
      <w:r>
        <w:t xml:space="preserve">. Tijdens het wetgevingsoverleg heb ik aangegeven dat amendement met inspanningsverplichting te ontraden, maar een amendement zonder inspanningsverplichting aan het oordeel van uw Kamer te kunnen laten. Daarop heeft het lid op 30 maart 2026 een nieuw amendement ingediend </w:t>
      </w:r>
      <w:r w:rsidR="00116E3C">
        <w:t>over de hiervoor bedoelde bevoegdheid</w:t>
      </w:r>
      <w:r>
        <w:t xml:space="preserve">, maar dan zonder de inspanningsverplichting. Dat amendement heeft het nummer 13. </w:t>
      </w:r>
    </w:p>
    <w:p w:rsidR="001273C4" w:rsidP="00C8580F" w:rsidRDefault="001273C4" w14:paraId="7C6C90B9" w14:textId="77777777"/>
    <w:p w:rsidR="001273C4" w:rsidP="00C8580F" w:rsidRDefault="007F0721" w14:paraId="7AFF89AC" w14:textId="592516F2">
      <w:r w:rsidRPr="007F0721">
        <w:t>Op 31 maart 2026 heeft het lid Van den Berg (JA21) amendementen ingediend op het wetsvoorstel voor de Wet weerbaarheid kritieke entiteiten.</w:t>
      </w:r>
      <w:r w:rsidR="00ED1C29">
        <w:t xml:space="preserve"> Zijn amendementen hebben de nummers 14, 15, 16 en 17.</w:t>
      </w:r>
    </w:p>
    <w:p w:rsidR="00A82DD8" w:rsidP="00C8580F" w:rsidRDefault="00A82DD8" w14:paraId="4DCE1FE5" w14:textId="77777777"/>
    <w:p w:rsidR="00A82DD8" w:rsidP="00C8580F" w:rsidRDefault="00A82DD8" w14:paraId="5EFE8994" w14:textId="4B79FF8E">
      <w:r>
        <w:t>Op 7 april 2026 heeft het lid Faber (PVV) een amendement ingediend ter vervanging van het amendement met het nummer 9 vanwege een wijziging in de toelichting.</w:t>
      </w:r>
    </w:p>
    <w:p w:rsidR="007F0721" w:rsidP="00C8580F" w:rsidRDefault="007F0721" w14:paraId="5A2016C8" w14:textId="77777777"/>
    <w:p w:rsidRPr="00EF0D71" w:rsidR="00EF0D71" w:rsidP="00C8580F" w:rsidRDefault="00EF0D71" w14:paraId="23427846" w14:textId="79971592">
      <w:r w:rsidRPr="00EF0D71">
        <w:t xml:space="preserve">Middels deze brief informeer ik uw Kamer over de appreciatie op de </w:t>
      </w:r>
      <w:r w:rsidR="00B5162B">
        <w:t xml:space="preserve">hiervoor bedoelde </w:t>
      </w:r>
      <w:r w:rsidRPr="00EF0D71">
        <w:t xml:space="preserve">amendementen op het wetsvoorstel voor de Wet weerbaarheid kritieke entiteiten. </w:t>
      </w:r>
    </w:p>
    <w:p w:rsidR="00EF0D71" w:rsidP="00EF0D71" w:rsidRDefault="00EF0D71" w14:paraId="400117B6" w14:textId="77777777">
      <w:pPr>
        <w:pStyle w:val="Geenafstand"/>
        <w:ind w:right="311"/>
        <w:rPr>
          <w:b/>
          <w:bCs/>
        </w:rPr>
      </w:pPr>
    </w:p>
    <w:p w:rsidRPr="00EF0D71" w:rsidR="00EF0D71" w:rsidP="00EF0D71" w:rsidRDefault="00EF0D71" w14:paraId="31B18DD8" w14:textId="157BCC2F">
      <w:pPr>
        <w:pStyle w:val="Geenafstand"/>
        <w:ind w:right="311"/>
        <w:rPr>
          <w:b/>
          <w:bCs/>
        </w:rPr>
      </w:pPr>
      <w:r w:rsidRPr="00EF0D71">
        <w:rPr>
          <w:b/>
          <w:bCs/>
        </w:rPr>
        <w:t xml:space="preserve">Amendement met nr. </w:t>
      </w:r>
      <w:r w:rsidR="001273C4">
        <w:rPr>
          <w:b/>
          <w:bCs/>
        </w:rPr>
        <w:t>10</w:t>
      </w:r>
      <w:r w:rsidRPr="00EF0D71">
        <w:rPr>
          <w:b/>
          <w:bCs/>
        </w:rPr>
        <w:t xml:space="preserve"> – ontraden</w:t>
      </w:r>
    </w:p>
    <w:p w:rsidRPr="00AE68EE" w:rsidR="00AE68EE" w:rsidP="00C8580F" w:rsidRDefault="00AE68EE" w14:paraId="6270DB38" w14:textId="77777777"/>
    <w:p w:rsidRPr="00AE68EE" w:rsidR="00EF0D71" w:rsidP="00C8580F" w:rsidRDefault="00080779" w14:paraId="60E3D68D" w14:textId="07BFC18C">
      <w:r w:rsidRPr="00AE68EE">
        <w:t xml:space="preserve">Zoals ik tijdens het wetgevingsoverleg heb aangegeven, ontraad ik dit </w:t>
      </w:r>
      <w:r w:rsidRPr="00AE68EE" w:rsidR="001273C4">
        <w:t>amendement. Het voorgestelde artikel 15a, vierde lid, van de Wet weerbaarheid kritieke entiteiten voorziet in een inspanningsverplichting voor de vakminister</w:t>
      </w:r>
      <w:r w:rsidRPr="00AE68EE" w:rsidR="008653CD">
        <w:t xml:space="preserve"> om de bedrijfscontinuïteit van de betrokken entiteit te waarborgen</w:t>
      </w:r>
      <w:r w:rsidRPr="00AE68EE" w:rsidR="001273C4">
        <w:t>. Daardoor verschuift de verantwoordelijkheid voor de vervanging van producten en diensten van de entiteit naar de vakminister. Dit kan ook mogelijk leiden tot calculerend gedrag van de betrokken entiteit.</w:t>
      </w:r>
    </w:p>
    <w:p w:rsidRPr="00AE68EE" w:rsidR="00EF0D71" w:rsidP="00EF0D71" w:rsidRDefault="00EF0D71" w14:paraId="5AA6775C" w14:textId="1002E177">
      <w:pPr>
        <w:pStyle w:val="Geenafstand"/>
        <w:ind w:right="311"/>
        <w:rPr>
          <w:b/>
          <w:bCs/>
        </w:rPr>
      </w:pPr>
      <w:r w:rsidRPr="00AE68EE">
        <w:rPr>
          <w:b/>
          <w:bCs/>
        </w:rPr>
        <w:lastRenderedPageBreak/>
        <w:t xml:space="preserve">Amendement met nr. </w:t>
      </w:r>
      <w:r w:rsidRPr="00AE68EE" w:rsidR="001273C4">
        <w:rPr>
          <w:b/>
          <w:bCs/>
        </w:rPr>
        <w:t>13</w:t>
      </w:r>
      <w:r w:rsidRPr="00AE68EE">
        <w:rPr>
          <w:b/>
          <w:bCs/>
        </w:rPr>
        <w:t xml:space="preserve"> –</w:t>
      </w:r>
      <w:r w:rsidRPr="00AE68EE" w:rsidR="001273C4">
        <w:rPr>
          <w:b/>
          <w:bCs/>
        </w:rPr>
        <w:t xml:space="preserve"> </w:t>
      </w:r>
      <w:r w:rsidRPr="00AE68EE">
        <w:rPr>
          <w:b/>
          <w:bCs/>
        </w:rPr>
        <w:t xml:space="preserve">oordeel Kamer </w:t>
      </w:r>
    </w:p>
    <w:p w:rsidRPr="00AE68EE" w:rsidR="00EF0D71" w:rsidP="00C8580F" w:rsidRDefault="00514C30" w14:paraId="705B65F6" w14:textId="29CF5554">
      <w:r w:rsidRPr="00AE68EE">
        <w:t xml:space="preserve">Ik heb </w:t>
      </w:r>
      <w:r w:rsidRPr="00AE68EE" w:rsidR="00116E3C">
        <w:t xml:space="preserve">er </w:t>
      </w:r>
      <w:r w:rsidRPr="00AE68EE">
        <w:t xml:space="preserve">geen bezwaar </w:t>
      </w:r>
      <w:r w:rsidRPr="00AE68EE" w:rsidR="00116E3C">
        <w:t xml:space="preserve">tegen dat </w:t>
      </w:r>
      <w:r w:rsidRPr="00AE68EE" w:rsidR="001273C4">
        <w:t xml:space="preserve">de bevoegdheid, thans opgenomen in artikel 13 van het concept van het Besluit weerbaarheid kritieke entiteiten, wordt overgeheveld naar de Wet weerbaarheid kritieke entiteiten. </w:t>
      </w:r>
      <w:bookmarkStart w:name="_Hlk226641972" w:id="0"/>
      <w:r w:rsidRPr="00AE68EE" w:rsidR="001273C4">
        <w:t xml:space="preserve">Ik laat het oordeel op dit amendement dan ook aan uw Kamer. </w:t>
      </w:r>
      <w:bookmarkEnd w:id="0"/>
    </w:p>
    <w:p w:rsidRPr="00AE68EE" w:rsidR="00EF0D71" w:rsidP="00EF0D71" w:rsidRDefault="00EF0D71" w14:paraId="6F082CB8" w14:textId="77777777">
      <w:pPr>
        <w:pStyle w:val="Geenafstand"/>
        <w:ind w:right="311"/>
      </w:pPr>
    </w:p>
    <w:p w:rsidRPr="00AE68EE" w:rsidR="00EF0D71" w:rsidP="00EF0D71" w:rsidRDefault="00EF0D71" w14:paraId="406EF8D2" w14:textId="3F3F5805">
      <w:pPr>
        <w:pStyle w:val="Geenafstand"/>
        <w:ind w:right="311"/>
        <w:rPr>
          <w:b/>
          <w:bCs/>
        </w:rPr>
      </w:pPr>
      <w:r w:rsidRPr="00AE68EE">
        <w:rPr>
          <w:b/>
          <w:bCs/>
        </w:rPr>
        <w:t xml:space="preserve">Amendement met nr. </w:t>
      </w:r>
      <w:r w:rsidRPr="00AE68EE" w:rsidR="007F0721">
        <w:rPr>
          <w:b/>
          <w:bCs/>
        </w:rPr>
        <w:t>14</w:t>
      </w:r>
      <w:r w:rsidRPr="00AE68EE">
        <w:rPr>
          <w:b/>
          <w:bCs/>
        </w:rPr>
        <w:t xml:space="preserve"> – ontraden</w:t>
      </w:r>
    </w:p>
    <w:p w:rsidRPr="00AE68EE" w:rsidR="003735AD" w:rsidP="00C8580F" w:rsidRDefault="00116E3C" w14:paraId="6BFAA5C4" w14:textId="3EB865CC">
      <w:bookmarkStart w:name="_Hlk226034597" w:id="1"/>
      <w:r w:rsidRPr="00AE68EE">
        <w:t>Ik ontraad dit amendement om de volgende redenen. Artikel 7 van de Wet weerbaarheid kritieke entiteiten voorziet in de mogelijkheid om</w:t>
      </w:r>
      <w:r w:rsidRPr="00AE68EE" w:rsidR="00ED1C29">
        <w:t xml:space="preserve"> </w:t>
      </w:r>
      <w:r w:rsidRPr="00AE68EE">
        <w:t xml:space="preserve">aanvullende sectoren, </w:t>
      </w:r>
      <w:proofErr w:type="spellStart"/>
      <w:r w:rsidRPr="00AE68EE">
        <w:t>subsectoren</w:t>
      </w:r>
      <w:proofErr w:type="spellEnd"/>
      <w:r w:rsidRPr="00AE68EE">
        <w:t xml:space="preserve"> en categorieën van entiteiten </w:t>
      </w:r>
      <w:r w:rsidRPr="00AE68EE" w:rsidR="00ED1C29">
        <w:t>aan te wijzen</w:t>
      </w:r>
      <w:r w:rsidRPr="00AE68EE">
        <w:t xml:space="preserve">. </w:t>
      </w:r>
      <w:r w:rsidRPr="00AE68EE" w:rsidR="00891D04">
        <w:t>Vervolgens kunnen</w:t>
      </w:r>
      <w:r w:rsidRPr="00AE68EE" w:rsidR="0069654D">
        <w:t xml:space="preserve"> daarbinnen kritieke entiteiten worden aangewezen. </w:t>
      </w:r>
      <w:r w:rsidRPr="00AE68EE" w:rsidR="00891D04">
        <w:t>De zorgplicht en de meldplicht uit de Wet weerbaarheid kritieke entiteiten gelden vanaf 10 maanden na de aanwijzing van een entiteit als kritieke entiteit</w:t>
      </w:r>
      <w:r w:rsidRPr="00AE68EE">
        <w:t>.</w:t>
      </w:r>
      <w:r w:rsidRPr="00AE68EE" w:rsidR="003735AD">
        <w:t xml:space="preserve"> </w:t>
      </w:r>
      <w:r w:rsidRPr="00AE68EE" w:rsidR="0069654D">
        <w:t xml:space="preserve">De aanwijzing van een sector, </w:t>
      </w:r>
      <w:proofErr w:type="spellStart"/>
      <w:r w:rsidRPr="00AE68EE" w:rsidR="0069654D">
        <w:t>subsector</w:t>
      </w:r>
      <w:proofErr w:type="spellEnd"/>
      <w:r w:rsidRPr="00AE68EE" w:rsidR="0069654D">
        <w:t xml:space="preserve"> of categorie van entiteiten bij algemene maatregel van bestuur</w:t>
      </w:r>
      <w:r w:rsidRPr="00AE68EE" w:rsidR="00891D04">
        <w:t xml:space="preserve"> in plaats van bij ministeriële regeling</w:t>
      </w:r>
      <w:r w:rsidRPr="00AE68EE" w:rsidR="0069654D">
        <w:t xml:space="preserve">, waarna daarbinnen kritieke entiteiten kunnen worden aangewezen, </w:t>
      </w:r>
      <w:r w:rsidRPr="00AE68EE" w:rsidR="00891D04">
        <w:t xml:space="preserve">waarop vervolgens na 10 maanden de zorgplicht en de meldplicht gelden, </w:t>
      </w:r>
      <w:r w:rsidRPr="00AE68EE" w:rsidR="0069654D">
        <w:t>beperkt de flexibiliteit om snel in te kunnen spelen op nieuwe ontwikkelingen en dreigingen.</w:t>
      </w:r>
    </w:p>
    <w:bookmarkEnd w:id="1"/>
    <w:p w:rsidRPr="00AE68EE" w:rsidR="00EF0D71" w:rsidP="00EF0D71" w:rsidRDefault="00EF0D71" w14:paraId="35A6CA2A" w14:textId="77777777">
      <w:pPr>
        <w:pStyle w:val="Geenafstand"/>
        <w:ind w:right="311"/>
        <w:rPr>
          <w:b/>
          <w:bCs/>
        </w:rPr>
      </w:pPr>
    </w:p>
    <w:p w:rsidRPr="00AE68EE" w:rsidR="007F0721" w:rsidP="007F0721" w:rsidRDefault="007F0721" w14:paraId="1A74D1E5" w14:textId="3EAEE339">
      <w:pPr>
        <w:pStyle w:val="Geenafstand"/>
        <w:ind w:right="311"/>
        <w:rPr>
          <w:b/>
          <w:bCs/>
        </w:rPr>
      </w:pPr>
      <w:r w:rsidRPr="00AE68EE">
        <w:rPr>
          <w:b/>
          <w:bCs/>
        </w:rPr>
        <w:t>Amendement met nr. 15 – ontraden</w:t>
      </w:r>
    </w:p>
    <w:p w:rsidRPr="00AE68EE" w:rsidR="00FD13DF" w:rsidP="00C8580F" w:rsidRDefault="00FD13DF" w14:paraId="7425621F" w14:textId="17E950A5">
      <w:r w:rsidRPr="00AE68EE">
        <w:t xml:space="preserve">Ik ontraad dit amendement om de volgende redenen. Dit amendement voorziet in twee dwingende grondslagen om regels te stellen over het door twee of meer kritieke entiteiten gezamenlijk uitvoeren van de risicobeoordeling en het gezamenlijk beschrijven van maatregelen in het kader van de zorgplicht. Dit amendement leidt tot het risico dat kritieke entiteiten worden beperkt in hun vrijheid en flexibiliteit om naar eigen inzicht een risicobeoordeling gezamenlijk uit te voeren en om de maatregelen in het kader van de zorgplicht gezamenlijk te beschrijven. De voorgestelde bepalingen kunnen dus bedrijven en organisaties </w:t>
      </w:r>
      <w:r w:rsidRPr="00AE68EE" w:rsidR="00D536C9">
        <w:t xml:space="preserve">juist </w:t>
      </w:r>
      <w:r w:rsidRPr="00AE68EE">
        <w:t>in de we</w:t>
      </w:r>
      <w:r w:rsidRPr="00AE68EE" w:rsidR="00B1713E">
        <w:t>g</w:t>
      </w:r>
      <w:r w:rsidRPr="00AE68EE">
        <w:t xml:space="preserve"> zitten en zorgen voor extra regeldruk.  </w:t>
      </w:r>
    </w:p>
    <w:p w:rsidRPr="00AE68EE" w:rsidR="00C8580F" w:rsidP="00C8580F" w:rsidRDefault="00C8580F" w14:paraId="78B49B42" w14:textId="77777777"/>
    <w:p w:rsidRPr="00AE68EE" w:rsidR="00F26492" w:rsidP="00C8580F" w:rsidRDefault="00FD13DF" w14:paraId="67065EA5" w14:textId="759A3424">
      <w:r w:rsidRPr="00AE68EE">
        <w:t>De Wet weerbaarheid kritieke entiteiten sluit het door meerdere kritieke entiteiten gezamenlijk opstellen van een risicobeoordeling en een beschrijving van de maatregelen in het kader van de zorgplicht niet uit. Ik onderschrijf het belang van deze mogelijkheid en zal dan ook, samen met de betrokken vakministers, deze mogelijkheid in de communicatie over de wet expliciet onder de aandacht brengen. Hierbij geldt wel, zoals het lid oo</w:t>
      </w:r>
      <w:r w:rsidRPr="00AE68EE" w:rsidR="00FC5FCB">
        <w:t>k heeft aangegeven in de toelichting van zijn amendement</w:t>
      </w:r>
      <w:r w:rsidRPr="00AE68EE">
        <w:t xml:space="preserve">, dat </w:t>
      </w:r>
      <w:r w:rsidRPr="00AE68EE" w:rsidR="00FC5FCB">
        <w:t>elke kritieke entiteit</w:t>
      </w:r>
      <w:r w:rsidRPr="00AE68EE">
        <w:t xml:space="preserve"> afzonderlijk moet voldoen aan </w:t>
      </w:r>
      <w:r w:rsidRPr="00AE68EE" w:rsidR="00FC5FCB">
        <w:t xml:space="preserve">de verplichtingen van de </w:t>
      </w:r>
      <w:r w:rsidRPr="00AE68EE" w:rsidR="00B1713E">
        <w:t>w</w:t>
      </w:r>
      <w:r w:rsidRPr="00AE68EE" w:rsidR="00FC5FCB">
        <w:t>et</w:t>
      </w:r>
      <w:r w:rsidRPr="00AE68EE">
        <w:t>.</w:t>
      </w:r>
    </w:p>
    <w:p w:rsidRPr="00AE68EE" w:rsidR="00AE7DE6" w:rsidP="00EF0D71" w:rsidRDefault="00AE7DE6" w14:paraId="51732362" w14:textId="77777777">
      <w:pPr>
        <w:pStyle w:val="Geenafstand"/>
        <w:ind w:right="311"/>
        <w:rPr>
          <w:b/>
          <w:bCs/>
        </w:rPr>
      </w:pPr>
    </w:p>
    <w:p w:rsidRPr="00AE68EE" w:rsidR="007F0721" w:rsidP="007F0721" w:rsidRDefault="007F0721" w14:paraId="1D66EA7E" w14:textId="0A8EF90A">
      <w:pPr>
        <w:pStyle w:val="Geenafstand"/>
        <w:ind w:right="311"/>
        <w:rPr>
          <w:b/>
          <w:bCs/>
        </w:rPr>
      </w:pPr>
      <w:r w:rsidRPr="00AE68EE">
        <w:rPr>
          <w:b/>
          <w:bCs/>
        </w:rPr>
        <w:t>Amendement met nr. 16 – ontraden</w:t>
      </w:r>
    </w:p>
    <w:p w:rsidRPr="00AE68EE" w:rsidR="007F0721" w:rsidP="00C8580F" w:rsidRDefault="007F0721" w14:paraId="200BFD2D" w14:textId="4BE8F675">
      <w:r w:rsidRPr="00AE68EE">
        <w:t xml:space="preserve">Ik begrijp de wens om de Tweede Kamer en de Eerste Kamer te informeren over de uitvoering van de Wet weerbaarheid kritieke entiteiten, maar moet dit amendement ontraden om de volgende redenen. </w:t>
      </w:r>
    </w:p>
    <w:p w:rsidRPr="00AE68EE" w:rsidR="00C8580F" w:rsidP="007F0721" w:rsidRDefault="00C8580F" w14:paraId="19B2BAE0" w14:textId="77777777">
      <w:pPr>
        <w:pStyle w:val="Geenafstand"/>
        <w:ind w:right="311"/>
      </w:pPr>
    </w:p>
    <w:p w:rsidR="007F0721" w:rsidP="00C8580F" w:rsidRDefault="007F0721" w14:paraId="1DB8D9D9" w14:textId="209D755B">
      <w:r w:rsidRPr="00AE68EE">
        <w:t>Artikel 34 van de Wet weerbaarheid kritieke entiteiten beoogt de vertrouwelijkheid van vertrouwelijke gegevens te waarborgen.</w:t>
      </w:r>
      <w:r w:rsidRPr="007F0721">
        <w:t xml:space="preserve"> Deze gegevens mogen uitsluitend onder strikte voorwaarden worden gedeeld. </w:t>
      </w:r>
    </w:p>
    <w:p w:rsidRPr="007F0721" w:rsidR="00C8580F" w:rsidP="00C8580F" w:rsidRDefault="00C8580F" w14:paraId="3FD9D972" w14:textId="77777777"/>
    <w:p w:rsidR="004101C8" w:rsidP="00C8580F" w:rsidRDefault="007F0721" w14:paraId="41789B43" w14:textId="38ED8E69">
      <w:r w:rsidRPr="007F0721">
        <w:t xml:space="preserve">Voor een vertrouwelijke </w:t>
      </w:r>
      <w:r w:rsidR="00BE099B">
        <w:t xml:space="preserve">geaggregeerde </w:t>
      </w:r>
      <w:r w:rsidRPr="007F0721">
        <w:t xml:space="preserve">kennisgeving </w:t>
      </w:r>
      <w:r w:rsidR="00BE099B">
        <w:t xml:space="preserve">aan de Eerste Kamer en de Tweede Kamer </w:t>
      </w:r>
      <w:r w:rsidRPr="007F0721">
        <w:t xml:space="preserve">is </w:t>
      </w:r>
      <w:r w:rsidR="00BE099B">
        <w:t>een gedetailleer</w:t>
      </w:r>
      <w:r w:rsidR="00926863">
        <w:t xml:space="preserve">de </w:t>
      </w:r>
      <w:r w:rsidRPr="007F0721">
        <w:t>registratie van vertrouwelijke gegevens noodzakelijk.</w:t>
      </w:r>
      <w:r w:rsidR="00926863">
        <w:t xml:space="preserve"> </w:t>
      </w:r>
      <w:r w:rsidRPr="007F0721">
        <w:t xml:space="preserve">Elke (extra) handeling met deze vertrouwelijke gegevens – zoals registratie of verstrekking – brengt </w:t>
      </w:r>
      <w:r w:rsidR="00926863">
        <w:t xml:space="preserve">echter </w:t>
      </w:r>
      <w:r w:rsidRPr="007F0721">
        <w:t xml:space="preserve">risico’s met zich mee voor de bescherming die artikel 34 van de Wet weerbaarheid kritieke entiteiten juist </w:t>
      </w:r>
      <w:r w:rsidRPr="007F0721">
        <w:lastRenderedPageBreak/>
        <w:t>beoogt. Een actieve kennisgevingsverplichting</w:t>
      </w:r>
      <w:r w:rsidRPr="00926863" w:rsidR="00926863">
        <w:t xml:space="preserve"> </w:t>
      </w:r>
      <w:r w:rsidR="004101C8">
        <w:t xml:space="preserve">– ook </w:t>
      </w:r>
      <w:r w:rsidRPr="007F0721" w:rsidR="004101C8">
        <w:t xml:space="preserve">in geaggregeerde vorm </w:t>
      </w:r>
      <w:r w:rsidR="004101C8">
        <w:t xml:space="preserve">– </w:t>
      </w:r>
      <w:r w:rsidRPr="007F0721" w:rsidR="00926863">
        <w:t>met</w:t>
      </w:r>
      <w:r w:rsidR="004101C8">
        <w:t xml:space="preserve"> </w:t>
      </w:r>
      <w:r w:rsidRPr="007F0721" w:rsidR="00926863">
        <w:t>betrekking tot vertrouwelijke gegevens</w:t>
      </w:r>
      <w:r w:rsidRPr="007F0721">
        <w:t xml:space="preserve"> verhoogt deze risico’s, omdat </w:t>
      </w:r>
      <w:r w:rsidR="00BE099B">
        <w:t xml:space="preserve">daarmee ten aanzien van de vertrouwelijke gegevens een groot aantal aanvullende verwerkingen nodig zijn. Bovendien kan het hiervoor nodig zijn dat ze </w:t>
      </w:r>
      <w:r w:rsidRPr="007F0721">
        <w:t xml:space="preserve">de beveiligde omgeving van de bevoegde autoriteiten, het centrale contactpunt en de </w:t>
      </w:r>
      <w:r w:rsidR="00C8580F">
        <w:t>m</w:t>
      </w:r>
      <w:r w:rsidRPr="007F0721">
        <w:t xml:space="preserve">inister van Justitie en Veiligheid moeten verlaten. </w:t>
      </w:r>
    </w:p>
    <w:p w:rsidR="00C8580F" w:rsidP="00C8580F" w:rsidRDefault="00C8580F" w14:paraId="2ED1071A" w14:textId="77777777"/>
    <w:p w:rsidR="00C8580F" w:rsidP="00C8580F" w:rsidRDefault="007F0721" w14:paraId="55B54D2C" w14:textId="50614E83">
      <w:r w:rsidRPr="007F0721">
        <w:t xml:space="preserve">Daarnaast leidt de registratie van de toepassing van artikel 34 van de Wet weerbaarheid kritieke entiteiten tot hoge uitvoeringslasten en -kosten voor de bevoegde autoriteiten, het centrale contactpunt en de Minister van Justitie en Veiligheid. </w:t>
      </w:r>
      <w:bookmarkStart w:name="_Hlk226101060" w:id="2"/>
      <w:r w:rsidRPr="007F0721">
        <w:t xml:space="preserve">De huidige systemen voor informatieverstrekking </w:t>
      </w:r>
      <w:r w:rsidR="004101C8">
        <w:t>zijn</w:t>
      </w:r>
      <w:r w:rsidRPr="007F0721">
        <w:t xml:space="preserve"> niet ingericht op een dergelijke administratieve verplichting, wat extra ontwerp- en uitvoeringshandelingen met zich meebrengt.</w:t>
      </w:r>
      <w:r w:rsidRPr="00BE099B" w:rsidR="00BE099B">
        <w:t xml:space="preserve"> Daarnaast kunnen deze administratieve verplichtingen, zeker in het geval van incidenten waar snelle informatie-uitwisseling noodzakelijk is, voor ongewenste vertraging zorgen in de uitvoering van de taken van de bevoegde autoriteit, het centrale contactpunt en de </w:t>
      </w:r>
      <w:r w:rsidR="00C8580F">
        <w:t>m</w:t>
      </w:r>
      <w:r w:rsidRPr="00BE099B" w:rsidR="00BE099B">
        <w:t>inister van Justitie en Veiligheid.</w:t>
      </w:r>
      <w:bookmarkEnd w:id="2"/>
    </w:p>
    <w:p w:rsidRPr="007F0721" w:rsidR="00C8580F" w:rsidP="00C8580F" w:rsidRDefault="00C8580F" w14:paraId="57DBAC8B" w14:textId="77777777"/>
    <w:p w:rsidRPr="00AE68EE" w:rsidR="00EF0D71" w:rsidP="00C8580F" w:rsidRDefault="007F0721" w14:paraId="0A8F534A" w14:textId="5F5E75C7">
      <w:r w:rsidRPr="007F0721">
        <w:t xml:space="preserve">Bovendien geldt dat </w:t>
      </w:r>
      <w:r w:rsidR="004101C8">
        <w:t xml:space="preserve">bij de verstrekking van vertrouwelijke gegevens het verband met </w:t>
      </w:r>
      <w:r w:rsidRPr="004101C8" w:rsidR="004101C8">
        <w:t>incidenten, dreigingen of maatregelen</w:t>
      </w:r>
      <w:r w:rsidR="004101C8">
        <w:t>,</w:t>
      </w:r>
      <w:r w:rsidRPr="004101C8" w:rsidR="004101C8">
        <w:t xml:space="preserve"> </w:t>
      </w:r>
      <w:r w:rsidR="004101C8">
        <w:t xml:space="preserve">die </w:t>
      </w:r>
      <w:r w:rsidRPr="007F0721" w:rsidR="004101C8">
        <w:t xml:space="preserve">de nationale veiligheid en openbare veiligheid </w:t>
      </w:r>
      <w:r w:rsidR="004101C8">
        <w:t xml:space="preserve">in ernstige mate raken, </w:t>
      </w:r>
      <w:r w:rsidRPr="007F0721">
        <w:t xml:space="preserve">niet altijd bekend </w:t>
      </w:r>
      <w:r w:rsidR="004101C8">
        <w:t>is</w:t>
      </w:r>
      <w:r w:rsidRPr="007F0721">
        <w:t>. Dat hangt namelijk af van de context van de gegevens</w:t>
      </w:r>
      <w:r w:rsidRPr="00AE68EE">
        <w:t>. Het voor alle gegevens uitlopen van deze informatie brengt een disproportionele uitvoeringslast met zich mee.</w:t>
      </w:r>
    </w:p>
    <w:p w:rsidRPr="00AE68EE" w:rsidR="00A00F4E" w:rsidP="00C8580F" w:rsidRDefault="00A00F4E" w14:paraId="1D3A5DFE" w14:textId="08AA7661">
      <w:r w:rsidRPr="00AE68EE">
        <w:t>Daarnaast leid</w:t>
      </w:r>
      <w:r w:rsidRPr="00AE68EE" w:rsidR="00BE099B">
        <w:t>en</w:t>
      </w:r>
      <w:r w:rsidRPr="00AE68EE">
        <w:t xml:space="preserve"> </w:t>
      </w:r>
      <w:r w:rsidRPr="00AE68EE" w:rsidR="00B1713E">
        <w:t xml:space="preserve">de voorgestelde bepalingen tot een grote </w:t>
      </w:r>
      <w:r w:rsidRPr="00AE68EE">
        <w:t xml:space="preserve">belasting en regeldruk om uitvoering te geven aan de </w:t>
      </w:r>
      <w:r w:rsidRPr="00AE68EE" w:rsidR="00B1713E">
        <w:t>verplichtingen</w:t>
      </w:r>
      <w:r w:rsidRPr="00AE68EE">
        <w:t>, inhoudend</w:t>
      </w:r>
      <w:r w:rsidRPr="00AE68EE" w:rsidR="00B1713E">
        <w:t xml:space="preserve">e het driemaal per jaar informeren van de Tweede Kamer en de Eerste Kamer. </w:t>
      </w:r>
    </w:p>
    <w:p w:rsidRPr="00AE68EE" w:rsidR="007F0721" w:rsidP="007F0721" w:rsidRDefault="007F0721" w14:paraId="5C314DED" w14:textId="77777777">
      <w:pPr>
        <w:pStyle w:val="Geenafstand"/>
        <w:ind w:right="311"/>
        <w:rPr>
          <w:b/>
          <w:bCs/>
        </w:rPr>
      </w:pPr>
    </w:p>
    <w:p w:rsidRPr="00AE68EE" w:rsidR="007F0721" w:rsidP="007F0721" w:rsidRDefault="007F0721" w14:paraId="41B227B1" w14:textId="69E8612A">
      <w:pPr>
        <w:pStyle w:val="Geenafstand"/>
        <w:ind w:right="311"/>
        <w:rPr>
          <w:b/>
          <w:bCs/>
        </w:rPr>
      </w:pPr>
      <w:r w:rsidRPr="00AE68EE">
        <w:rPr>
          <w:b/>
          <w:bCs/>
        </w:rPr>
        <w:t xml:space="preserve">Amendement met nr. 17 – </w:t>
      </w:r>
      <w:r w:rsidR="009769E7">
        <w:rPr>
          <w:b/>
          <w:bCs/>
        </w:rPr>
        <w:t>oordeel Kamer</w:t>
      </w:r>
      <w:r w:rsidRPr="00AE68EE">
        <w:rPr>
          <w:b/>
          <w:bCs/>
        </w:rPr>
        <w:t xml:space="preserve"> </w:t>
      </w:r>
    </w:p>
    <w:p w:rsidR="00A456E9" w:rsidP="00A456E9" w:rsidRDefault="009769E7" w14:paraId="787A9DD5" w14:textId="495C9704">
      <w:r w:rsidRPr="009769E7">
        <w:t xml:space="preserve">Ik laat het oordeel op dit amendement aan uw Kamer. </w:t>
      </w:r>
    </w:p>
    <w:p w:rsidRPr="00AE68EE" w:rsidR="00FB78DE" w:rsidP="00A456E9" w:rsidRDefault="00FB78DE" w14:paraId="16967E58" w14:textId="2EB8895E">
      <w:pPr>
        <w:rPr>
          <w:b/>
          <w:bCs/>
        </w:rPr>
      </w:pPr>
      <w:r w:rsidRPr="00AE68EE">
        <w:rPr>
          <w:b/>
          <w:bCs/>
        </w:rPr>
        <w:t xml:space="preserve">Amendement met nr. 18 – ontraden </w:t>
      </w:r>
    </w:p>
    <w:p w:rsidRPr="008B1198" w:rsidR="00FB78DE" w:rsidP="00C8580F" w:rsidRDefault="00FB78DE" w14:paraId="2679B150" w14:textId="6447D070">
      <w:r w:rsidRPr="00AE68EE">
        <w:t>Het amendement met het nummer 18 vervangt het amendement met het nummer 9 en wijzigt de toelichting bij het amendement. Tijdens het wetgevingsoverleg heb ik het amendement met het nummer 9 ontraden en ik ontraad ook het vervangend amendement met het nummer 18.</w:t>
      </w:r>
    </w:p>
    <w:p w:rsidR="00FB78DE" w:rsidP="00491D05" w:rsidRDefault="00FB78DE" w14:paraId="074C5646" w14:textId="77777777">
      <w:pPr>
        <w:pStyle w:val="Geenafstand"/>
        <w:ind w:right="311"/>
        <w:rPr>
          <w:color w:val="000000" w:themeColor="text1"/>
        </w:rPr>
      </w:pPr>
    </w:p>
    <w:p w:rsidR="007257F7" w:rsidP="00EF0D71" w:rsidRDefault="007257F7" w14:paraId="0DBC9D8D" w14:textId="43970FF6">
      <w:pPr>
        <w:pStyle w:val="Geenafstand"/>
        <w:ind w:right="311"/>
        <w:rPr>
          <w:b/>
          <w:bCs/>
        </w:rPr>
      </w:pPr>
    </w:p>
    <w:p w:rsidRPr="00EF0D71" w:rsidR="00EF0D71" w:rsidP="00EF0D71" w:rsidRDefault="00EF0D71" w14:paraId="6A845613" w14:textId="7907A736">
      <w:pPr>
        <w:pStyle w:val="Geenafstand"/>
        <w:ind w:right="311"/>
      </w:pPr>
      <w:r w:rsidRPr="00EF0D71">
        <w:t>De Minister van Justitie en Veiligheid,</w:t>
      </w:r>
    </w:p>
    <w:p w:rsidRPr="00EF0D71" w:rsidR="00EF0D71" w:rsidP="00EF0D71" w:rsidRDefault="00EF0D71" w14:paraId="71E70B7D" w14:textId="77777777">
      <w:pPr>
        <w:pStyle w:val="Geenafstand"/>
        <w:ind w:right="311"/>
      </w:pPr>
    </w:p>
    <w:p w:rsidRPr="00EF0D71" w:rsidR="00EF0D71" w:rsidP="00EF0D71" w:rsidRDefault="00EF0D71" w14:paraId="47B0AC87" w14:textId="77777777">
      <w:pPr>
        <w:pStyle w:val="Geenafstand"/>
        <w:ind w:right="311"/>
      </w:pPr>
    </w:p>
    <w:p w:rsidRPr="00EF0D71" w:rsidR="00EF0D71" w:rsidP="00EF0D71" w:rsidRDefault="00EF0D71" w14:paraId="5FD78318" w14:textId="77777777">
      <w:pPr>
        <w:pStyle w:val="Geenafstand"/>
        <w:ind w:right="311"/>
      </w:pPr>
    </w:p>
    <w:p w:rsidRPr="00EF0D71" w:rsidR="00EF0D71" w:rsidP="00EF0D71" w:rsidRDefault="00EF0D71" w14:paraId="69CD1791" w14:textId="77777777">
      <w:pPr>
        <w:pStyle w:val="Geenafstand"/>
        <w:ind w:right="311"/>
      </w:pPr>
    </w:p>
    <w:p w:rsidRPr="00EF0D71" w:rsidR="00EF0D71" w:rsidP="00EF0D71" w:rsidRDefault="00EF0D71" w14:paraId="1417B1E6" w14:textId="5F232A7D">
      <w:pPr>
        <w:pStyle w:val="Geenafstand"/>
        <w:ind w:right="311"/>
      </w:pPr>
      <w:r w:rsidRPr="00EF0D71">
        <w:t>D.M. van Weel</w:t>
      </w:r>
    </w:p>
    <w:p w:rsidR="007E3129" w:rsidP="00EF0D71" w:rsidRDefault="007E3129" w14:paraId="4625B598" w14:textId="77777777">
      <w:pPr>
        <w:pStyle w:val="Geenafstand"/>
        <w:ind w:right="311"/>
        <w:rPr>
          <w:b/>
          <w:bCs/>
        </w:rPr>
      </w:pPr>
    </w:p>
    <w:p w:rsidRPr="00144B41" w:rsidR="007E3129" w:rsidP="007E3129" w:rsidRDefault="007E3129" w14:paraId="2FB464FB" w14:textId="77777777">
      <w:pPr>
        <w:pStyle w:val="Geenafstand"/>
        <w:rPr>
          <w:b/>
          <w:bCs/>
        </w:rPr>
      </w:pPr>
    </w:p>
    <w:p w:rsidR="007E3129" w:rsidP="007E3129" w:rsidRDefault="007E3129" w14:paraId="3692C614" w14:textId="77777777">
      <w:pPr>
        <w:pStyle w:val="Geenafstand"/>
      </w:pPr>
    </w:p>
    <w:p w:rsidR="0013358A" w:rsidRDefault="0013358A" w14:paraId="17F10A45" w14:textId="1BF525F5"/>
    <w:sectPr w:rsidR="0013358A" w:rsidSect="00C8580F">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BA27" w14:textId="77777777" w:rsidR="00AE7CAD" w:rsidRDefault="00AE7CAD">
      <w:pPr>
        <w:spacing w:line="240" w:lineRule="auto"/>
      </w:pPr>
      <w:r>
        <w:separator/>
      </w:r>
    </w:p>
  </w:endnote>
  <w:endnote w:type="continuationSeparator" w:id="0">
    <w:p w14:paraId="09900B4E" w14:textId="77777777" w:rsidR="00AE7CAD" w:rsidRDefault="00AE7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1E44" w14:textId="77777777" w:rsidR="00AE7CAD" w:rsidRDefault="00AE7CAD">
      <w:pPr>
        <w:spacing w:line="240" w:lineRule="auto"/>
      </w:pPr>
      <w:r>
        <w:separator/>
      </w:r>
    </w:p>
  </w:footnote>
  <w:footnote w:type="continuationSeparator" w:id="0">
    <w:p w14:paraId="5D095DED" w14:textId="77777777" w:rsidR="00AE7CAD" w:rsidRDefault="00AE7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08AC" w14:textId="77777777" w:rsidR="0013358A" w:rsidRDefault="00D416EF">
    <w:r>
      <w:rPr>
        <w:noProof/>
      </w:rPr>
      <mc:AlternateContent>
        <mc:Choice Requires="wps">
          <w:drawing>
            <wp:anchor distT="0" distB="0" distL="0" distR="0" simplePos="0" relativeHeight="251652096" behindDoc="0" locked="1" layoutInCell="1" allowOverlap="1" wp14:anchorId="067F801B" wp14:editId="64624B4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3A5D51" w14:textId="77777777" w:rsidR="00D416EF" w:rsidRDefault="00D416EF"/>
                      </w:txbxContent>
                    </wps:txbx>
                    <wps:bodyPr vert="horz" wrap="square" lIns="0" tIns="0" rIns="0" bIns="0" anchor="t" anchorCtr="0"/>
                  </wps:wsp>
                </a:graphicData>
              </a:graphic>
            </wp:anchor>
          </w:drawing>
        </mc:Choice>
        <mc:Fallback>
          <w:pict>
            <v:shapetype w14:anchorId="067F801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23A5D51" w14:textId="77777777" w:rsidR="00D416EF" w:rsidRDefault="00D416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9EE9080" wp14:editId="402A50B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B94A95" w14:textId="76880E54" w:rsidR="0013358A" w:rsidRDefault="00D416EF" w:rsidP="00AD4559">
                          <w:pPr>
                            <w:pStyle w:val="Referentiegegevensbold"/>
                          </w:pPr>
                          <w:r>
                            <w:t>Directie Wetgeving en Juridische Zaken</w:t>
                          </w:r>
                        </w:p>
                        <w:p w14:paraId="096F1691" w14:textId="77777777" w:rsidR="0013358A" w:rsidRDefault="00D416EF">
                          <w:pPr>
                            <w:pStyle w:val="Referentiegegevens"/>
                          </w:pPr>
                          <w:r>
                            <w:t>Sector staats- en bestuursrecht</w:t>
                          </w:r>
                        </w:p>
                        <w:p w14:paraId="05C16364" w14:textId="77777777" w:rsidR="0013358A" w:rsidRDefault="0013358A">
                          <w:pPr>
                            <w:pStyle w:val="WitregelW2"/>
                          </w:pPr>
                        </w:p>
                        <w:p w14:paraId="670E94F8" w14:textId="77777777" w:rsidR="0013358A" w:rsidRDefault="00D416EF">
                          <w:pPr>
                            <w:pStyle w:val="Referentiegegevensbold"/>
                          </w:pPr>
                          <w:r>
                            <w:t>Datum</w:t>
                          </w:r>
                        </w:p>
                        <w:p w14:paraId="3575DD4A" w14:textId="2045C49F" w:rsidR="0013358A" w:rsidRDefault="00C8580F">
                          <w:pPr>
                            <w:pStyle w:val="Referentiegegevens"/>
                          </w:pPr>
                          <w:r>
                            <w:rPr>
                              <w:lang w:val="nl"/>
                            </w:rPr>
                            <w:t>9</w:t>
                          </w:r>
                          <w:r w:rsidR="00B77DA2">
                            <w:rPr>
                              <w:lang w:val="nl"/>
                            </w:rPr>
                            <w:t xml:space="preserve"> april 2026</w:t>
                          </w:r>
                        </w:p>
                        <w:p w14:paraId="05B728A4" w14:textId="77777777" w:rsidR="0013358A" w:rsidRDefault="0013358A">
                          <w:pPr>
                            <w:pStyle w:val="WitregelW1"/>
                          </w:pPr>
                        </w:p>
                        <w:p w14:paraId="5E9EDD5D" w14:textId="77777777" w:rsidR="0013358A" w:rsidRDefault="00D416EF">
                          <w:pPr>
                            <w:pStyle w:val="Referentiegegevensbold"/>
                          </w:pPr>
                          <w:r>
                            <w:t>Onze referentie</w:t>
                          </w:r>
                        </w:p>
                        <w:p w14:paraId="0F9F250F" w14:textId="77777777" w:rsidR="0013358A" w:rsidRDefault="00D416EF">
                          <w:pPr>
                            <w:pStyle w:val="Referentiegegevens"/>
                          </w:pPr>
                          <w:r>
                            <w:t>7472079</w:t>
                          </w:r>
                        </w:p>
                      </w:txbxContent>
                    </wps:txbx>
                    <wps:bodyPr vert="horz" wrap="square" lIns="0" tIns="0" rIns="0" bIns="0" anchor="t" anchorCtr="0"/>
                  </wps:wsp>
                </a:graphicData>
              </a:graphic>
            </wp:anchor>
          </w:drawing>
        </mc:Choice>
        <mc:Fallback>
          <w:pict>
            <v:shape w14:anchorId="29EE908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2B94A95" w14:textId="76880E54" w:rsidR="0013358A" w:rsidRDefault="00D416EF" w:rsidP="00AD4559">
                    <w:pPr>
                      <w:pStyle w:val="Referentiegegevensbold"/>
                    </w:pPr>
                    <w:r>
                      <w:t>Directie Wetgeving en Juridische Zaken</w:t>
                    </w:r>
                  </w:p>
                  <w:p w14:paraId="096F1691" w14:textId="77777777" w:rsidR="0013358A" w:rsidRDefault="00D416EF">
                    <w:pPr>
                      <w:pStyle w:val="Referentiegegevens"/>
                    </w:pPr>
                    <w:r>
                      <w:t>Sector staats- en bestuursrecht</w:t>
                    </w:r>
                  </w:p>
                  <w:p w14:paraId="05C16364" w14:textId="77777777" w:rsidR="0013358A" w:rsidRDefault="0013358A">
                    <w:pPr>
                      <w:pStyle w:val="WitregelW2"/>
                    </w:pPr>
                  </w:p>
                  <w:p w14:paraId="670E94F8" w14:textId="77777777" w:rsidR="0013358A" w:rsidRDefault="00D416EF">
                    <w:pPr>
                      <w:pStyle w:val="Referentiegegevensbold"/>
                    </w:pPr>
                    <w:r>
                      <w:t>Datum</w:t>
                    </w:r>
                  </w:p>
                  <w:p w14:paraId="3575DD4A" w14:textId="2045C49F" w:rsidR="0013358A" w:rsidRDefault="00C8580F">
                    <w:pPr>
                      <w:pStyle w:val="Referentiegegevens"/>
                    </w:pPr>
                    <w:r>
                      <w:rPr>
                        <w:lang w:val="nl"/>
                      </w:rPr>
                      <w:t>9</w:t>
                    </w:r>
                    <w:r w:rsidR="00B77DA2">
                      <w:rPr>
                        <w:lang w:val="nl"/>
                      </w:rPr>
                      <w:t xml:space="preserve"> april 2026</w:t>
                    </w:r>
                  </w:p>
                  <w:p w14:paraId="05B728A4" w14:textId="77777777" w:rsidR="0013358A" w:rsidRDefault="0013358A">
                    <w:pPr>
                      <w:pStyle w:val="WitregelW1"/>
                    </w:pPr>
                  </w:p>
                  <w:p w14:paraId="5E9EDD5D" w14:textId="77777777" w:rsidR="0013358A" w:rsidRDefault="00D416EF">
                    <w:pPr>
                      <w:pStyle w:val="Referentiegegevensbold"/>
                    </w:pPr>
                    <w:r>
                      <w:t>Onze referentie</w:t>
                    </w:r>
                  </w:p>
                  <w:p w14:paraId="0F9F250F" w14:textId="77777777" w:rsidR="0013358A" w:rsidRDefault="00D416EF">
                    <w:pPr>
                      <w:pStyle w:val="Referentiegegevens"/>
                    </w:pPr>
                    <w:r>
                      <w:t>7472079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266A078" wp14:editId="2626F35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840D9B" w14:textId="77777777" w:rsidR="00D416EF" w:rsidRDefault="00D416EF"/>
                      </w:txbxContent>
                    </wps:txbx>
                    <wps:bodyPr vert="horz" wrap="square" lIns="0" tIns="0" rIns="0" bIns="0" anchor="t" anchorCtr="0"/>
                  </wps:wsp>
                </a:graphicData>
              </a:graphic>
            </wp:anchor>
          </w:drawing>
        </mc:Choice>
        <mc:Fallback>
          <w:pict>
            <v:shape w14:anchorId="3266A07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7840D9B" w14:textId="77777777" w:rsidR="00D416EF" w:rsidRDefault="00D416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F51F89E" wp14:editId="46BB9F1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3FD818" w14:textId="764D2924" w:rsidR="0013358A" w:rsidRDefault="00D416EF">
                          <w:pPr>
                            <w:pStyle w:val="Referentiegegevens"/>
                          </w:pPr>
                          <w:r>
                            <w:t xml:space="preserve">Pagina </w:t>
                          </w:r>
                          <w:r>
                            <w:fldChar w:fldCharType="begin"/>
                          </w:r>
                          <w:r>
                            <w:instrText>PAGE</w:instrText>
                          </w:r>
                          <w:r>
                            <w:fldChar w:fldCharType="separate"/>
                          </w:r>
                          <w:r w:rsidR="001273C4">
                            <w:rPr>
                              <w:noProof/>
                            </w:rPr>
                            <w:t>2</w:t>
                          </w:r>
                          <w:r>
                            <w:fldChar w:fldCharType="end"/>
                          </w:r>
                          <w:r>
                            <w:t xml:space="preserve"> van </w:t>
                          </w:r>
                          <w:r>
                            <w:fldChar w:fldCharType="begin"/>
                          </w:r>
                          <w:r>
                            <w:instrText>NUMPAGES</w:instrText>
                          </w:r>
                          <w:r>
                            <w:fldChar w:fldCharType="separate"/>
                          </w:r>
                          <w:r w:rsidR="004621B2">
                            <w:rPr>
                              <w:noProof/>
                            </w:rPr>
                            <w:t>1</w:t>
                          </w:r>
                          <w:r>
                            <w:fldChar w:fldCharType="end"/>
                          </w:r>
                        </w:p>
                      </w:txbxContent>
                    </wps:txbx>
                    <wps:bodyPr vert="horz" wrap="square" lIns="0" tIns="0" rIns="0" bIns="0" anchor="t" anchorCtr="0"/>
                  </wps:wsp>
                </a:graphicData>
              </a:graphic>
            </wp:anchor>
          </w:drawing>
        </mc:Choice>
        <mc:Fallback>
          <w:pict>
            <v:shape w14:anchorId="3F51F89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43FD818" w14:textId="764D2924" w:rsidR="0013358A" w:rsidRDefault="00D416EF">
                    <w:pPr>
                      <w:pStyle w:val="Referentiegegevens"/>
                    </w:pPr>
                    <w:r>
                      <w:t xml:space="preserve">Pagina </w:t>
                    </w:r>
                    <w:r>
                      <w:fldChar w:fldCharType="begin"/>
                    </w:r>
                    <w:r>
                      <w:instrText>PAGE</w:instrText>
                    </w:r>
                    <w:r>
                      <w:fldChar w:fldCharType="separate"/>
                    </w:r>
                    <w:r w:rsidR="001273C4">
                      <w:rPr>
                        <w:noProof/>
                      </w:rPr>
                      <w:t>2</w:t>
                    </w:r>
                    <w:r>
                      <w:fldChar w:fldCharType="end"/>
                    </w:r>
                    <w:r>
                      <w:t xml:space="preserve"> van </w:t>
                    </w:r>
                    <w:r>
                      <w:fldChar w:fldCharType="begin"/>
                    </w:r>
                    <w:r>
                      <w:instrText>NUMPAGES</w:instrText>
                    </w:r>
                    <w:r>
                      <w:fldChar w:fldCharType="separate"/>
                    </w:r>
                    <w:r w:rsidR="004621B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E54C" w14:textId="77777777" w:rsidR="0013358A" w:rsidRDefault="00D416EF">
    <w:pPr>
      <w:spacing w:after="6377" w:line="14" w:lineRule="exact"/>
    </w:pPr>
    <w:r>
      <w:rPr>
        <w:noProof/>
      </w:rPr>
      <mc:AlternateContent>
        <mc:Choice Requires="wps">
          <w:drawing>
            <wp:anchor distT="0" distB="0" distL="0" distR="0" simplePos="0" relativeHeight="251656192" behindDoc="0" locked="1" layoutInCell="1" allowOverlap="1" wp14:anchorId="26D2F918" wp14:editId="06AAC8F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915FBC" w14:textId="77777777" w:rsidR="0013358A" w:rsidRDefault="00D416EF">
                          <w:pPr>
                            <w:spacing w:line="240" w:lineRule="auto"/>
                          </w:pPr>
                          <w:r>
                            <w:rPr>
                              <w:noProof/>
                            </w:rPr>
                            <w:drawing>
                              <wp:inline distT="0" distB="0" distL="0" distR="0" wp14:anchorId="711729A0" wp14:editId="20A4D60A">
                                <wp:extent cx="467995" cy="1583865"/>
                                <wp:effectExtent l="0" t="0" r="0" b="0"/>
                                <wp:docPr id="152593173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6D2F91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4915FBC" w14:textId="77777777" w:rsidR="0013358A" w:rsidRDefault="00D416EF">
                    <w:pPr>
                      <w:spacing w:line="240" w:lineRule="auto"/>
                    </w:pPr>
                    <w:r>
                      <w:rPr>
                        <w:noProof/>
                      </w:rPr>
                      <w:drawing>
                        <wp:inline distT="0" distB="0" distL="0" distR="0" wp14:anchorId="711729A0" wp14:editId="20A4D60A">
                          <wp:extent cx="467995" cy="1583865"/>
                          <wp:effectExtent l="0" t="0" r="0" b="0"/>
                          <wp:docPr id="152593173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ED5F62" wp14:editId="0D712BC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FDABE8" w14:textId="77777777" w:rsidR="0013358A" w:rsidRDefault="00D416EF">
                          <w:pPr>
                            <w:spacing w:line="240" w:lineRule="auto"/>
                          </w:pPr>
                          <w:r>
                            <w:rPr>
                              <w:noProof/>
                            </w:rPr>
                            <w:drawing>
                              <wp:inline distT="0" distB="0" distL="0" distR="0" wp14:anchorId="6EB3FB4C" wp14:editId="09BC7F42">
                                <wp:extent cx="2339975" cy="1582834"/>
                                <wp:effectExtent l="0" t="0" r="0" b="0"/>
                                <wp:docPr id="15676569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ED5F6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FDABE8" w14:textId="77777777" w:rsidR="0013358A" w:rsidRDefault="00D416EF">
                    <w:pPr>
                      <w:spacing w:line="240" w:lineRule="auto"/>
                    </w:pPr>
                    <w:r>
                      <w:rPr>
                        <w:noProof/>
                      </w:rPr>
                      <w:drawing>
                        <wp:inline distT="0" distB="0" distL="0" distR="0" wp14:anchorId="6EB3FB4C" wp14:editId="09BC7F42">
                          <wp:extent cx="2339975" cy="1582834"/>
                          <wp:effectExtent l="0" t="0" r="0" b="0"/>
                          <wp:docPr id="15676569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A8A6AA" wp14:editId="660EA4E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1D03E3" w14:textId="77777777" w:rsidR="0013358A" w:rsidRDefault="00D416E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9A8A6A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1D03E3" w14:textId="77777777" w:rsidR="0013358A" w:rsidRDefault="00D416E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D8B690" wp14:editId="46E0963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79E617" w14:textId="77777777" w:rsidR="00997BC2" w:rsidRDefault="004621B2" w:rsidP="004621B2">
                          <w:r w:rsidRPr="004621B2">
                            <w:t>Aan de Voorzitter van de Tweede Kamer</w:t>
                          </w:r>
                        </w:p>
                        <w:p w14:paraId="21370CD7" w14:textId="4413C7A5" w:rsidR="0013358A" w:rsidRDefault="004621B2" w:rsidP="004621B2">
                          <w:r w:rsidRPr="004621B2">
                            <w:t>der Staten-Generaal</w:t>
                          </w:r>
                        </w:p>
                        <w:p w14:paraId="4FE9E09B" w14:textId="77777777" w:rsidR="00AD4559" w:rsidRDefault="00AD4559" w:rsidP="004621B2">
                          <w:r w:rsidRPr="00AD4559">
                            <w:t xml:space="preserve">Postbus 20018 </w:t>
                          </w:r>
                        </w:p>
                        <w:p w14:paraId="320101B3" w14:textId="64454160" w:rsidR="00AD4559" w:rsidRDefault="00AD4559" w:rsidP="004621B2">
                          <w:r w:rsidRPr="00AD4559">
                            <w:t>2500 EA DEN HAAG</w:t>
                          </w:r>
                        </w:p>
                      </w:txbxContent>
                    </wps:txbx>
                    <wps:bodyPr vert="horz" wrap="square" lIns="0" tIns="0" rIns="0" bIns="0" anchor="t" anchorCtr="0"/>
                  </wps:wsp>
                </a:graphicData>
              </a:graphic>
            </wp:anchor>
          </w:drawing>
        </mc:Choice>
        <mc:Fallback>
          <w:pict>
            <v:shape w14:anchorId="5AD8B69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179E617" w14:textId="77777777" w:rsidR="00997BC2" w:rsidRDefault="004621B2" w:rsidP="004621B2">
                    <w:r w:rsidRPr="004621B2">
                      <w:t>Aan de Voorzitter van de Tweede Kamer</w:t>
                    </w:r>
                  </w:p>
                  <w:p w14:paraId="21370CD7" w14:textId="4413C7A5" w:rsidR="0013358A" w:rsidRDefault="004621B2" w:rsidP="004621B2">
                    <w:r w:rsidRPr="004621B2">
                      <w:t>der Staten-Generaal</w:t>
                    </w:r>
                  </w:p>
                  <w:p w14:paraId="4FE9E09B" w14:textId="77777777" w:rsidR="00AD4559" w:rsidRDefault="00AD4559" w:rsidP="004621B2">
                    <w:r w:rsidRPr="00AD4559">
                      <w:t xml:space="preserve">Postbus 20018 </w:t>
                    </w:r>
                  </w:p>
                  <w:p w14:paraId="320101B3" w14:textId="64454160" w:rsidR="00AD4559" w:rsidRDefault="00AD4559" w:rsidP="004621B2">
                    <w:r w:rsidRPr="00AD4559">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0EEB483" wp14:editId="508FCFD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3358A" w14:paraId="215F75C3" w14:textId="77777777">
                            <w:trPr>
                              <w:trHeight w:val="240"/>
                            </w:trPr>
                            <w:tc>
                              <w:tcPr>
                                <w:tcW w:w="1140" w:type="dxa"/>
                              </w:tcPr>
                              <w:p w14:paraId="524B3DB7" w14:textId="77777777" w:rsidR="0013358A" w:rsidRDefault="00D416EF">
                                <w:r>
                                  <w:t>Datum</w:t>
                                </w:r>
                              </w:p>
                            </w:tc>
                            <w:tc>
                              <w:tcPr>
                                <w:tcW w:w="5918" w:type="dxa"/>
                              </w:tcPr>
                              <w:p w14:paraId="2B8B7DA2" w14:textId="22DC7E1C" w:rsidR="0013358A" w:rsidRDefault="00C8580F">
                                <w:r>
                                  <w:rPr>
                                    <w:lang w:val="nl"/>
                                  </w:rPr>
                                  <w:t>9</w:t>
                                </w:r>
                                <w:r w:rsidR="00B77DA2">
                                  <w:rPr>
                                    <w:lang w:val="nl"/>
                                  </w:rPr>
                                  <w:t xml:space="preserve"> april 2026</w:t>
                                </w:r>
                              </w:p>
                            </w:tc>
                          </w:tr>
                          <w:tr w:rsidR="0013358A" w14:paraId="7C34DE1E" w14:textId="77777777">
                            <w:trPr>
                              <w:trHeight w:val="240"/>
                            </w:trPr>
                            <w:tc>
                              <w:tcPr>
                                <w:tcW w:w="1140" w:type="dxa"/>
                              </w:tcPr>
                              <w:p w14:paraId="66357F5F" w14:textId="77777777" w:rsidR="0013358A" w:rsidRDefault="00D416EF">
                                <w:r>
                                  <w:t>Betreft</w:t>
                                </w:r>
                              </w:p>
                            </w:tc>
                            <w:tc>
                              <w:tcPr>
                                <w:tcW w:w="5918" w:type="dxa"/>
                              </w:tcPr>
                              <w:p w14:paraId="2D644EEE" w14:textId="7525C274" w:rsidR="0013358A" w:rsidRDefault="007E3129">
                                <w:r>
                                  <w:t xml:space="preserve">Appreciatie amendementen wetsvoorstel </w:t>
                                </w:r>
                                <w:r w:rsidR="00EF0D71">
                                  <w:t>Wet weerbaarheid kritieke entiteiten</w:t>
                                </w:r>
                                <w:r>
                                  <w:t xml:space="preserve"> (3676</w:t>
                                </w:r>
                                <w:r w:rsidR="00EF0D71">
                                  <w:t>5</w:t>
                                </w:r>
                                <w:r>
                                  <w:t>)</w:t>
                                </w:r>
                              </w:p>
                            </w:tc>
                          </w:tr>
                        </w:tbl>
                        <w:p w14:paraId="133A270D" w14:textId="77777777" w:rsidR="00D416EF" w:rsidRDefault="00D416EF"/>
                      </w:txbxContent>
                    </wps:txbx>
                    <wps:bodyPr vert="horz" wrap="square" lIns="0" tIns="0" rIns="0" bIns="0" anchor="t" anchorCtr="0"/>
                  </wps:wsp>
                </a:graphicData>
              </a:graphic>
            </wp:anchor>
          </w:drawing>
        </mc:Choice>
        <mc:Fallback>
          <w:pict>
            <v:shape w14:anchorId="30EEB48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3358A" w14:paraId="215F75C3" w14:textId="77777777">
                      <w:trPr>
                        <w:trHeight w:val="240"/>
                      </w:trPr>
                      <w:tc>
                        <w:tcPr>
                          <w:tcW w:w="1140" w:type="dxa"/>
                        </w:tcPr>
                        <w:p w14:paraId="524B3DB7" w14:textId="77777777" w:rsidR="0013358A" w:rsidRDefault="00D416EF">
                          <w:r>
                            <w:t>Datum</w:t>
                          </w:r>
                        </w:p>
                      </w:tc>
                      <w:tc>
                        <w:tcPr>
                          <w:tcW w:w="5918" w:type="dxa"/>
                        </w:tcPr>
                        <w:p w14:paraId="2B8B7DA2" w14:textId="22DC7E1C" w:rsidR="0013358A" w:rsidRDefault="00C8580F">
                          <w:r>
                            <w:rPr>
                              <w:lang w:val="nl"/>
                            </w:rPr>
                            <w:t>9</w:t>
                          </w:r>
                          <w:r w:rsidR="00B77DA2">
                            <w:rPr>
                              <w:lang w:val="nl"/>
                            </w:rPr>
                            <w:t xml:space="preserve"> april 2026</w:t>
                          </w:r>
                        </w:p>
                      </w:tc>
                    </w:tr>
                    <w:tr w:rsidR="0013358A" w14:paraId="7C34DE1E" w14:textId="77777777">
                      <w:trPr>
                        <w:trHeight w:val="240"/>
                      </w:trPr>
                      <w:tc>
                        <w:tcPr>
                          <w:tcW w:w="1140" w:type="dxa"/>
                        </w:tcPr>
                        <w:p w14:paraId="66357F5F" w14:textId="77777777" w:rsidR="0013358A" w:rsidRDefault="00D416EF">
                          <w:r>
                            <w:t>Betreft</w:t>
                          </w:r>
                        </w:p>
                      </w:tc>
                      <w:tc>
                        <w:tcPr>
                          <w:tcW w:w="5918" w:type="dxa"/>
                        </w:tcPr>
                        <w:p w14:paraId="2D644EEE" w14:textId="7525C274" w:rsidR="0013358A" w:rsidRDefault="007E3129">
                          <w:r>
                            <w:t xml:space="preserve">Appreciatie amendementen wetsvoorstel </w:t>
                          </w:r>
                          <w:r w:rsidR="00EF0D71">
                            <w:t>Wet weerbaarheid kritieke entiteiten</w:t>
                          </w:r>
                          <w:r>
                            <w:t xml:space="preserve"> (3676</w:t>
                          </w:r>
                          <w:r w:rsidR="00EF0D71">
                            <w:t>5</w:t>
                          </w:r>
                          <w:r>
                            <w:t>)</w:t>
                          </w:r>
                        </w:p>
                      </w:tc>
                    </w:tr>
                  </w:tbl>
                  <w:p w14:paraId="133A270D" w14:textId="77777777" w:rsidR="00D416EF" w:rsidRDefault="00D416E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8256B89" wp14:editId="0E9B26F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C0D446" w14:textId="4D2DC515" w:rsidR="0013358A" w:rsidRDefault="00D416EF" w:rsidP="00AD4559">
                          <w:pPr>
                            <w:pStyle w:val="Referentiegegevensbold"/>
                          </w:pPr>
                          <w:r>
                            <w:t>Directie Wetgeving en Juridische Zaken</w:t>
                          </w:r>
                        </w:p>
                        <w:p w14:paraId="079C3EBA" w14:textId="77777777" w:rsidR="0013358A" w:rsidRDefault="00D416EF">
                          <w:pPr>
                            <w:pStyle w:val="Referentiegegevens"/>
                          </w:pPr>
                          <w:r>
                            <w:t>Sector staats- en bestuursrecht</w:t>
                          </w:r>
                        </w:p>
                        <w:p w14:paraId="101F0904" w14:textId="77777777" w:rsidR="0013358A" w:rsidRDefault="0013358A">
                          <w:pPr>
                            <w:pStyle w:val="WitregelW1"/>
                          </w:pPr>
                        </w:p>
                        <w:p w14:paraId="11A98EB6" w14:textId="77777777" w:rsidR="0013358A" w:rsidRPr="00A6790F" w:rsidRDefault="00D416EF">
                          <w:pPr>
                            <w:pStyle w:val="Referentiegegevens"/>
                            <w:rPr>
                              <w:lang w:val="de-DE"/>
                            </w:rPr>
                          </w:pPr>
                          <w:r w:rsidRPr="00A6790F">
                            <w:rPr>
                              <w:lang w:val="de-DE"/>
                            </w:rPr>
                            <w:t>Turfmarkt 147</w:t>
                          </w:r>
                        </w:p>
                        <w:p w14:paraId="30D48EB2" w14:textId="77777777" w:rsidR="0013358A" w:rsidRPr="00AD4559" w:rsidRDefault="00D416EF">
                          <w:pPr>
                            <w:pStyle w:val="Referentiegegevens"/>
                            <w:rPr>
                              <w:lang w:val="de-DE"/>
                            </w:rPr>
                          </w:pPr>
                          <w:r w:rsidRPr="00AD4559">
                            <w:rPr>
                              <w:lang w:val="de-DE"/>
                            </w:rPr>
                            <w:t>2511 DP  Den Haag</w:t>
                          </w:r>
                        </w:p>
                        <w:p w14:paraId="65730D71" w14:textId="77777777" w:rsidR="0013358A" w:rsidRPr="00AD4559" w:rsidRDefault="00D416EF">
                          <w:pPr>
                            <w:pStyle w:val="Referentiegegevens"/>
                            <w:rPr>
                              <w:lang w:val="de-DE"/>
                            </w:rPr>
                          </w:pPr>
                          <w:r w:rsidRPr="00AD4559">
                            <w:rPr>
                              <w:lang w:val="de-DE"/>
                            </w:rPr>
                            <w:t>Postbus 20301</w:t>
                          </w:r>
                        </w:p>
                        <w:p w14:paraId="09D78C89" w14:textId="77777777" w:rsidR="0013358A" w:rsidRPr="00AD4559" w:rsidRDefault="00D416EF">
                          <w:pPr>
                            <w:pStyle w:val="Referentiegegevens"/>
                            <w:rPr>
                              <w:lang w:val="de-DE"/>
                            </w:rPr>
                          </w:pPr>
                          <w:r w:rsidRPr="00AD4559">
                            <w:rPr>
                              <w:lang w:val="de-DE"/>
                            </w:rPr>
                            <w:t>2500 EH  Den Haag</w:t>
                          </w:r>
                        </w:p>
                        <w:p w14:paraId="2D370723" w14:textId="77777777" w:rsidR="0013358A" w:rsidRPr="00AD4559" w:rsidRDefault="00D416EF">
                          <w:pPr>
                            <w:pStyle w:val="Referentiegegevens"/>
                            <w:rPr>
                              <w:lang w:val="de-DE"/>
                            </w:rPr>
                          </w:pPr>
                          <w:r w:rsidRPr="00AD4559">
                            <w:rPr>
                              <w:lang w:val="de-DE"/>
                            </w:rPr>
                            <w:t>www.rijksoverheid.nl/jenv</w:t>
                          </w:r>
                        </w:p>
                        <w:p w14:paraId="5CEEC18D" w14:textId="77777777" w:rsidR="00C07EFA" w:rsidRPr="00A6790F" w:rsidRDefault="00C07EFA">
                          <w:pPr>
                            <w:pStyle w:val="Referentiegegevensbold"/>
                            <w:rPr>
                              <w:lang w:val="de-DE"/>
                            </w:rPr>
                          </w:pPr>
                        </w:p>
                        <w:p w14:paraId="1FD063E2" w14:textId="04236538" w:rsidR="0013358A" w:rsidRDefault="00D416EF">
                          <w:pPr>
                            <w:pStyle w:val="Referentiegegevensbold"/>
                          </w:pPr>
                          <w:r>
                            <w:t>Onze referentie</w:t>
                          </w:r>
                        </w:p>
                        <w:p w14:paraId="18949F22" w14:textId="77777777" w:rsidR="0013358A" w:rsidRDefault="00D416EF">
                          <w:pPr>
                            <w:pStyle w:val="Referentiegegevens"/>
                          </w:pPr>
                          <w:r>
                            <w:t>7472079</w:t>
                          </w:r>
                        </w:p>
                        <w:p w14:paraId="18A9A083" w14:textId="77777777" w:rsidR="0013358A" w:rsidRDefault="0013358A">
                          <w:pPr>
                            <w:pStyle w:val="WitregelW1"/>
                          </w:pPr>
                        </w:p>
                        <w:p w14:paraId="3E7F8E2B" w14:textId="77777777" w:rsidR="0013358A" w:rsidRDefault="00D416EF">
                          <w:pPr>
                            <w:pStyle w:val="Referentiegegevensbold"/>
                          </w:pPr>
                          <w:r>
                            <w:t>Uw referentie</w:t>
                          </w:r>
                        </w:p>
                        <w:p w14:paraId="3E7DD386" w14:textId="4A8DDB63" w:rsidR="0013358A" w:rsidRDefault="00A6790F">
                          <w:pPr>
                            <w:pStyle w:val="Referentiegegevens"/>
                          </w:pPr>
                          <w:sdt>
                            <w:sdtPr>
                              <w:id w:val="376981992"/>
                              <w:dataBinding w:prefixMappings="xmlns:ns0='docgen-assistant'" w:xpath="/ns0:CustomXml[1]/ns0:Variables[1]/ns0:Variable[1]/ns0:Value[1]" w:storeItemID="{69D6EEC8-C9E1-4904-8281-341938F2DEB0}"/>
                              <w:text/>
                            </w:sdtPr>
                            <w:sdtEndPr/>
                            <w:sdtContent>
                              <w:r w:rsidR="001273C4">
                                <w:t>36764</w:t>
                              </w:r>
                            </w:sdtContent>
                          </w:sdt>
                        </w:p>
                      </w:txbxContent>
                    </wps:txbx>
                    <wps:bodyPr vert="horz" wrap="square" lIns="0" tIns="0" rIns="0" bIns="0" anchor="t" anchorCtr="0"/>
                  </wps:wsp>
                </a:graphicData>
              </a:graphic>
            </wp:anchor>
          </w:drawing>
        </mc:Choice>
        <mc:Fallback>
          <w:pict>
            <v:shape w14:anchorId="38256B8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3C0D446" w14:textId="4D2DC515" w:rsidR="0013358A" w:rsidRDefault="00D416EF" w:rsidP="00AD4559">
                    <w:pPr>
                      <w:pStyle w:val="Referentiegegevensbold"/>
                    </w:pPr>
                    <w:r>
                      <w:t>Directie Wetgeving en Juridische Zaken</w:t>
                    </w:r>
                  </w:p>
                  <w:p w14:paraId="079C3EBA" w14:textId="77777777" w:rsidR="0013358A" w:rsidRDefault="00D416EF">
                    <w:pPr>
                      <w:pStyle w:val="Referentiegegevens"/>
                    </w:pPr>
                    <w:r>
                      <w:t>Sector staats- en bestuursrecht</w:t>
                    </w:r>
                  </w:p>
                  <w:p w14:paraId="101F0904" w14:textId="77777777" w:rsidR="0013358A" w:rsidRDefault="0013358A">
                    <w:pPr>
                      <w:pStyle w:val="WitregelW1"/>
                    </w:pPr>
                  </w:p>
                  <w:p w14:paraId="11A98EB6" w14:textId="77777777" w:rsidR="0013358A" w:rsidRPr="00A6790F" w:rsidRDefault="00D416EF">
                    <w:pPr>
                      <w:pStyle w:val="Referentiegegevens"/>
                      <w:rPr>
                        <w:lang w:val="de-DE"/>
                      </w:rPr>
                    </w:pPr>
                    <w:r w:rsidRPr="00A6790F">
                      <w:rPr>
                        <w:lang w:val="de-DE"/>
                      </w:rPr>
                      <w:t>Turfmarkt 147</w:t>
                    </w:r>
                  </w:p>
                  <w:p w14:paraId="30D48EB2" w14:textId="77777777" w:rsidR="0013358A" w:rsidRPr="00AD4559" w:rsidRDefault="00D416EF">
                    <w:pPr>
                      <w:pStyle w:val="Referentiegegevens"/>
                      <w:rPr>
                        <w:lang w:val="de-DE"/>
                      </w:rPr>
                    </w:pPr>
                    <w:r w:rsidRPr="00AD4559">
                      <w:rPr>
                        <w:lang w:val="de-DE"/>
                      </w:rPr>
                      <w:t>2511 DP  Den Haag</w:t>
                    </w:r>
                  </w:p>
                  <w:p w14:paraId="65730D71" w14:textId="77777777" w:rsidR="0013358A" w:rsidRPr="00AD4559" w:rsidRDefault="00D416EF">
                    <w:pPr>
                      <w:pStyle w:val="Referentiegegevens"/>
                      <w:rPr>
                        <w:lang w:val="de-DE"/>
                      </w:rPr>
                    </w:pPr>
                    <w:r w:rsidRPr="00AD4559">
                      <w:rPr>
                        <w:lang w:val="de-DE"/>
                      </w:rPr>
                      <w:t>Postbus 20301</w:t>
                    </w:r>
                  </w:p>
                  <w:p w14:paraId="09D78C89" w14:textId="77777777" w:rsidR="0013358A" w:rsidRPr="00AD4559" w:rsidRDefault="00D416EF">
                    <w:pPr>
                      <w:pStyle w:val="Referentiegegevens"/>
                      <w:rPr>
                        <w:lang w:val="de-DE"/>
                      </w:rPr>
                    </w:pPr>
                    <w:r w:rsidRPr="00AD4559">
                      <w:rPr>
                        <w:lang w:val="de-DE"/>
                      </w:rPr>
                      <w:t>2500 EH  Den Haag</w:t>
                    </w:r>
                  </w:p>
                  <w:p w14:paraId="2D370723" w14:textId="77777777" w:rsidR="0013358A" w:rsidRPr="00AD4559" w:rsidRDefault="00D416EF">
                    <w:pPr>
                      <w:pStyle w:val="Referentiegegevens"/>
                      <w:rPr>
                        <w:lang w:val="de-DE"/>
                      </w:rPr>
                    </w:pPr>
                    <w:r w:rsidRPr="00AD4559">
                      <w:rPr>
                        <w:lang w:val="de-DE"/>
                      </w:rPr>
                      <w:t>www.rijksoverheid.nl/jenv</w:t>
                    </w:r>
                  </w:p>
                  <w:p w14:paraId="5CEEC18D" w14:textId="77777777" w:rsidR="00C07EFA" w:rsidRPr="00A6790F" w:rsidRDefault="00C07EFA">
                    <w:pPr>
                      <w:pStyle w:val="Referentiegegevensbold"/>
                      <w:rPr>
                        <w:lang w:val="de-DE"/>
                      </w:rPr>
                    </w:pPr>
                  </w:p>
                  <w:p w14:paraId="1FD063E2" w14:textId="04236538" w:rsidR="0013358A" w:rsidRDefault="00D416EF">
                    <w:pPr>
                      <w:pStyle w:val="Referentiegegevensbold"/>
                    </w:pPr>
                    <w:r>
                      <w:t>Onze referentie</w:t>
                    </w:r>
                  </w:p>
                  <w:p w14:paraId="18949F22" w14:textId="77777777" w:rsidR="0013358A" w:rsidRDefault="00D416EF">
                    <w:pPr>
                      <w:pStyle w:val="Referentiegegevens"/>
                    </w:pPr>
                    <w:r>
                      <w:t>7472079</w:t>
                    </w:r>
                  </w:p>
                  <w:p w14:paraId="18A9A083" w14:textId="77777777" w:rsidR="0013358A" w:rsidRDefault="0013358A">
                    <w:pPr>
                      <w:pStyle w:val="WitregelW1"/>
                    </w:pPr>
                  </w:p>
                  <w:p w14:paraId="3E7F8E2B" w14:textId="77777777" w:rsidR="0013358A" w:rsidRDefault="00D416EF">
                    <w:pPr>
                      <w:pStyle w:val="Referentiegegevensbold"/>
                    </w:pPr>
                    <w:r>
                      <w:t>Uw referentie</w:t>
                    </w:r>
                  </w:p>
                  <w:p w14:paraId="3E7DD386" w14:textId="4A8DDB63" w:rsidR="0013358A" w:rsidRDefault="00A6790F">
                    <w:pPr>
                      <w:pStyle w:val="Referentiegegevens"/>
                    </w:pPr>
                    <w:sdt>
                      <w:sdtPr>
                        <w:id w:val="376981992"/>
                        <w:dataBinding w:prefixMappings="xmlns:ns0='docgen-assistant'" w:xpath="/ns0:CustomXml[1]/ns0:Variables[1]/ns0:Variable[1]/ns0:Value[1]" w:storeItemID="{69D6EEC8-C9E1-4904-8281-341938F2DEB0}"/>
                        <w:text/>
                      </w:sdtPr>
                      <w:sdtEndPr/>
                      <w:sdtContent>
                        <w:r w:rsidR="001273C4">
                          <w:t>36764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335E92" wp14:editId="5ABFFCC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FFC0DC" w14:textId="77777777" w:rsidR="0013358A" w:rsidRDefault="00D416EF">
                          <w:pPr>
                            <w:pStyle w:val="Referentiegegevens"/>
                          </w:pPr>
                          <w:r>
                            <w:t xml:space="preserve">Pagina </w:t>
                          </w:r>
                          <w:r>
                            <w:fldChar w:fldCharType="begin"/>
                          </w:r>
                          <w:r>
                            <w:instrText>PAGE</w:instrText>
                          </w:r>
                          <w:r>
                            <w:fldChar w:fldCharType="separate"/>
                          </w:r>
                          <w:r w:rsidR="004621B2">
                            <w:rPr>
                              <w:noProof/>
                            </w:rPr>
                            <w:t>1</w:t>
                          </w:r>
                          <w:r>
                            <w:fldChar w:fldCharType="end"/>
                          </w:r>
                          <w:r>
                            <w:t xml:space="preserve"> van </w:t>
                          </w:r>
                          <w:r>
                            <w:fldChar w:fldCharType="begin"/>
                          </w:r>
                          <w:r>
                            <w:instrText>NUMPAGES</w:instrText>
                          </w:r>
                          <w:r>
                            <w:fldChar w:fldCharType="separate"/>
                          </w:r>
                          <w:r w:rsidR="004621B2">
                            <w:rPr>
                              <w:noProof/>
                            </w:rPr>
                            <w:t>1</w:t>
                          </w:r>
                          <w:r>
                            <w:fldChar w:fldCharType="end"/>
                          </w:r>
                        </w:p>
                      </w:txbxContent>
                    </wps:txbx>
                    <wps:bodyPr vert="horz" wrap="square" lIns="0" tIns="0" rIns="0" bIns="0" anchor="t" anchorCtr="0"/>
                  </wps:wsp>
                </a:graphicData>
              </a:graphic>
            </wp:anchor>
          </w:drawing>
        </mc:Choice>
        <mc:Fallback>
          <w:pict>
            <v:shape w14:anchorId="71335E9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BFFC0DC" w14:textId="77777777" w:rsidR="0013358A" w:rsidRDefault="00D416EF">
                    <w:pPr>
                      <w:pStyle w:val="Referentiegegevens"/>
                    </w:pPr>
                    <w:r>
                      <w:t xml:space="preserve">Pagina </w:t>
                    </w:r>
                    <w:r>
                      <w:fldChar w:fldCharType="begin"/>
                    </w:r>
                    <w:r>
                      <w:instrText>PAGE</w:instrText>
                    </w:r>
                    <w:r>
                      <w:fldChar w:fldCharType="separate"/>
                    </w:r>
                    <w:r w:rsidR="004621B2">
                      <w:rPr>
                        <w:noProof/>
                      </w:rPr>
                      <w:t>1</w:t>
                    </w:r>
                    <w:r>
                      <w:fldChar w:fldCharType="end"/>
                    </w:r>
                    <w:r>
                      <w:t xml:space="preserve"> van </w:t>
                    </w:r>
                    <w:r>
                      <w:fldChar w:fldCharType="begin"/>
                    </w:r>
                    <w:r>
                      <w:instrText>NUMPAGES</w:instrText>
                    </w:r>
                    <w:r>
                      <w:fldChar w:fldCharType="separate"/>
                    </w:r>
                    <w:r w:rsidR="004621B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2503961" wp14:editId="2AB5F9B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B63F45" w14:textId="77777777" w:rsidR="00D416EF" w:rsidRDefault="00D416EF"/>
                      </w:txbxContent>
                    </wps:txbx>
                    <wps:bodyPr vert="horz" wrap="square" lIns="0" tIns="0" rIns="0" bIns="0" anchor="t" anchorCtr="0"/>
                  </wps:wsp>
                </a:graphicData>
              </a:graphic>
            </wp:anchor>
          </w:drawing>
        </mc:Choice>
        <mc:Fallback>
          <w:pict>
            <v:shape w14:anchorId="1250396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3B63F45" w14:textId="77777777" w:rsidR="00D416EF" w:rsidRDefault="00D416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441BAB"/>
    <w:multiLevelType w:val="multilevel"/>
    <w:tmpl w:val="04485C2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310AA5BD"/>
    <w:multiLevelType w:val="multilevel"/>
    <w:tmpl w:val="12EC445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53DEC00F"/>
    <w:multiLevelType w:val="multilevel"/>
    <w:tmpl w:val="02854F8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578A202"/>
    <w:multiLevelType w:val="multilevel"/>
    <w:tmpl w:val="602BB80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DBA02EC"/>
    <w:multiLevelType w:val="multilevel"/>
    <w:tmpl w:val="66B174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EA7DCD0"/>
    <w:multiLevelType w:val="multilevel"/>
    <w:tmpl w:val="3CE9D6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15895921">
    <w:abstractNumId w:val="0"/>
  </w:num>
  <w:num w:numId="2" w16cid:durableId="887256303">
    <w:abstractNumId w:val="1"/>
  </w:num>
  <w:num w:numId="3" w16cid:durableId="559749683">
    <w:abstractNumId w:val="2"/>
  </w:num>
  <w:num w:numId="4" w16cid:durableId="1405445927">
    <w:abstractNumId w:val="5"/>
  </w:num>
  <w:num w:numId="5" w16cid:durableId="1322586110">
    <w:abstractNumId w:val="3"/>
  </w:num>
  <w:num w:numId="6" w16cid:durableId="307133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B2"/>
    <w:rsid w:val="000242D4"/>
    <w:rsid w:val="00025654"/>
    <w:rsid w:val="00080779"/>
    <w:rsid w:val="0008146F"/>
    <w:rsid w:val="000A3C82"/>
    <w:rsid w:val="000F4367"/>
    <w:rsid w:val="00116E3C"/>
    <w:rsid w:val="001273C4"/>
    <w:rsid w:val="0013358A"/>
    <w:rsid w:val="00173C89"/>
    <w:rsid w:val="00243DF7"/>
    <w:rsid w:val="00256FEE"/>
    <w:rsid w:val="002B7D91"/>
    <w:rsid w:val="003506A5"/>
    <w:rsid w:val="00370D20"/>
    <w:rsid w:val="003735AD"/>
    <w:rsid w:val="0038238C"/>
    <w:rsid w:val="003B0A1E"/>
    <w:rsid w:val="003C7F03"/>
    <w:rsid w:val="003F07C4"/>
    <w:rsid w:val="004101C8"/>
    <w:rsid w:val="00411853"/>
    <w:rsid w:val="0042696C"/>
    <w:rsid w:val="004621B2"/>
    <w:rsid w:val="00480AEB"/>
    <w:rsid w:val="00491D05"/>
    <w:rsid w:val="004A67A8"/>
    <w:rsid w:val="004F0D39"/>
    <w:rsid w:val="00514C30"/>
    <w:rsid w:val="00533697"/>
    <w:rsid w:val="005847F1"/>
    <w:rsid w:val="00622213"/>
    <w:rsid w:val="0069654D"/>
    <w:rsid w:val="006B5287"/>
    <w:rsid w:val="007257F7"/>
    <w:rsid w:val="007A5745"/>
    <w:rsid w:val="007E3129"/>
    <w:rsid w:val="007F039D"/>
    <w:rsid w:val="007F0721"/>
    <w:rsid w:val="00842351"/>
    <w:rsid w:val="00842E8E"/>
    <w:rsid w:val="008653CD"/>
    <w:rsid w:val="008756F5"/>
    <w:rsid w:val="00891D04"/>
    <w:rsid w:val="00926863"/>
    <w:rsid w:val="0095233D"/>
    <w:rsid w:val="009769E7"/>
    <w:rsid w:val="0098283A"/>
    <w:rsid w:val="00997BC2"/>
    <w:rsid w:val="00A00F4E"/>
    <w:rsid w:val="00A456E9"/>
    <w:rsid w:val="00A57117"/>
    <w:rsid w:val="00A6790F"/>
    <w:rsid w:val="00A82DD8"/>
    <w:rsid w:val="00AD4559"/>
    <w:rsid w:val="00AE68EE"/>
    <w:rsid w:val="00AE7CAD"/>
    <w:rsid w:val="00AE7DE6"/>
    <w:rsid w:val="00B1713E"/>
    <w:rsid w:val="00B44988"/>
    <w:rsid w:val="00B5162B"/>
    <w:rsid w:val="00B5166A"/>
    <w:rsid w:val="00B77DA2"/>
    <w:rsid w:val="00BE099B"/>
    <w:rsid w:val="00C03A5D"/>
    <w:rsid w:val="00C05121"/>
    <w:rsid w:val="00C07EFA"/>
    <w:rsid w:val="00C238E7"/>
    <w:rsid w:val="00C456D3"/>
    <w:rsid w:val="00C8580F"/>
    <w:rsid w:val="00C900EF"/>
    <w:rsid w:val="00C90BC6"/>
    <w:rsid w:val="00CD0E92"/>
    <w:rsid w:val="00CD3DBC"/>
    <w:rsid w:val="00D03332"/>
    <w:rsid w:val="00D416EF"/>
    <w:rsid w:val="00D536C9"/>
    <w:rsid w:val="00D74151"/>
    <w:rsid w:val="00ED1C29"/>
    <w:rsid w:val="00EF0D71"/>
    <w:rsid w:val="00F15B82"/>
    <w:rsid w:val="00F26492"/>
    <w:rsid w:val="00F416E6"/>
    <w:rsid w:val="00F66D95"/>
    <w:rsid w:val="00FB78DE"/>
    <w:rsid w:val="00FC322D"/>
    <w:rsid w:val="00FC5FCB"/>
    <w:rsid w:val="00FD1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312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21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1B2"/>
    <w:rPr>
      <w:rFonts w:ascii="Verdana" w:hAnsi="Verdana"/>
      <w:color w:val="000000"/>
      <w:sz w:val="18"/>
      <w:szCs w:val="18"/>
    </w:rPr>
  </w:style>
  <w:style w:type="character" w:styleId="Onopgelostemelding">
    <w:name w:val="Unresolved Mention"/>
    <w:basedOn w:val="Standaardalinea-lettertype"/>
    <w:uiPriority w:val="99"/>
    <w:semiHidden/>
    <w:unhideWhenUsed/>
    <w:rsid w:val="004621B2"/>
    <w:rPr>
      <w:color w:val="605E5C"/>
      <w:shd w:val="clear" w:color="auto" w:fill="E1DFDD"/>
    </w:rPr>
  </w:style>
  <w:style w:type="paragraph" w:styleId="Geenafstand">
    <w:name w:val="No Spacing"/>
    <w:link w:val="GeenafstandChar"/>
    <w:uiPriority w:val="1"/>
    <w:qFormat/>
    <w:rsid w:val="007E3129"/>
    <w:pPr>
      <w:autoSpaceDN/>
      <w:textAlignment w:val="auto"/>
    </w:pPr>
    <w:rPr>
      <w:rFonts w:ascii="Verdana" w:eastAsiaTheme="minorHAnsi" w:hAnsi="Verdana" w:cstheme="minorBidi"/>
      <w:kern w:val="2"/>
      <w:sz w:val="18"/>
      <w:szCs w:val="22"/>
      <w:lang w:eastAsia="en-US"/>
      <w14:ligatures w14:val="standardContextual"/>
    </w:rPr>
  </w:style>
  <w:style w:type="character" w:customStyle="1" w:styleId="GeenafstandChar">
    <w:name w:val="Geen afstand Char"/>
    <w:basedOn w:val="Standaardalinea-lettertype"/>
    <w:link w:val="Geenafstand"/>
    <w:uiPriority w:val="1"/>
    <w:rsid w:val="007E3129"/>
    <w:rPr>
      <w:rFonts w:ascii="Verdana" w:eastAsiaTheme="minorHAnsi" w:hAnsi="Verdana" w:cstheme="minorBidi"/>
      <w:kern w:val="2"/>
      <w:sz w:val="18"/>
      <w:szCs w:val="22"/>
      <w:lang w:eastAsia="en-US"/>
      <w14:ligatures w14:val="standardContextual"/>
    </w:rPr>
  </w:style>
  <w:style w:type="character" w:styleId="Verwijzingopmerking">
    <w:name w:val="annotation reference"/>
    <w:basedOn w:val="Standaardalinea-lettertype"/>
    <w:uiPriority w:val="99"/>
    <w:semiHidden/>
    <w:unhideWhenUsed/>
    <w:rsid w:val="007F0721"/>
    <w:rPr>
      <w:sz w:val="16"/>
      <w:szCs w:val="16"/>
    </w:rPr>
  </w:style>
  <w:style w:type="paragraph" w:styleId="Tekstopmerking">
    <w:name w:val="annotation text"/>
    <w:basedOn w:val="Standaard"/>
    <w:link w:val="TekstopmerkingChar"/>
    <w:uiPriority w:val="99"/>
    <w:unhideWhenUsed/>
    <w:rsid w:val="007F0721"/>
    <w:pPr>
      <w:spacing w:line="240" w:lineRule="auto"/>
    </w:pPr>
    <w:rPr>
      <w:sz w:val="20"/>
      <w:szCs w:val="20"/>
    </w:rPr>
  </w:style>
  <w:style w:type="character" w:customStyle="1" w:styleId="TekstopmerkingChar">
    <w:name w:val="Tekst opmerking Char"/>
    <w:basedOn w:val="Standaardalinea-lettertype"/>
    <w:link w:val="Tekstopmerking"/>
    <w:uiPriority w:val="99"/>
    <w:rsid w:val="007F072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E7DE6"/>
    <w:rPr>
      <w:b/>
      <w:bCs/>
    </w:rPr>
  </w:style>
  <w:style w:type="character" w:customStyle="1" w:styleId="OnderwerpvanopmerkingChar">
    <w:name w:val="Onderwerp van opmerking Char"/>
    <w:basedOn w:val="TekstopmerkingChar"/>
    <w:link w:val="Onderwerpvanopmerking"/>
    <w:uiPriority w:val="99"/>
    <w:semiHidden/>
    <w:rsid w:val="00AE7DE6"/>
    <w:rPr>
      <w:rFonts w:ascii="Verdana" w:hAnsi="Verdana"/>
      <w:b/>
      <w:bCs/>
      <w:color w:val="000000"/>
    </w:rPr>
  </w:style>
  <w:style w:type="paragraph" w:styleId="Revisie">
    <w:name w:val="Revision"/>
    <w:hidden/>
    <w:uiPriority w:val="99"/>
    <w:semiHidden/>
    <w:rsid w:val="009769E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121">
      <w:bodyDiv w:val="1"/>
      <w:marLeft w:val="0"/>
      <w:marRight w:val="0"/>
      <w:marTop w:val="0"/>
      <w:marBottom w:val="0"/>
      <w:divBdr>
        <w:top w:val="none" w:sz="0" w:space="0" w:color="auto"/>
        <w:left w:val="none" w:sz="0" w:space="0" w:color="auto"/>
        <w:bottom w:val="none" w:sz="0" w:space="0" w:color="auto"/>
        <w:right w:val="none" w:sz="0" w:space="0" w:color="auto"/>
      </w:divBdr>
    </w:div>
    <w:div w:id="479201548">
      <w:bodyDiv w:val="1"/>
      <w:marLeft w:val="0"/>
      <w:marRight w:val="0"/>
      <w:marTop w:val="0"/>
      <w:marBottom w:val="0"/>
      <w:divBdr>
        <w:top w:val="none" w:sz="0" w:space="0" w:color="auto"/>
        <w:left w:val="none" w:sz="0" w:space="0" w:color="auto"/>
        <w:bottom w:val="none" w:sz="0" w:space="0" w:color="auto"/>
        <w:right w:val="none" w:sz="0" w:space="0" w:color="auto"/>
      </w:divBdr>
    </w:div>
    <w:div w:id="1562250630">
      <w:bodyDiv w:val="1"/>
      <w:marLeft w:val="0"/>
      <w:marRight w:val="0"/>
      <w:marTop w:val="0"/>
      <w:marBottom w:val="0"/>
      <w:divBdr>
        <w:top w:val="none" w:sz="0" w:space="0" w:color="auto"/>
        <w:left w:val="none" w:sz="0" w:space="0" w:color="auto"/>
        <w:bottom w:val="none" w:sz="0" w:space="0" w:color="auto"/>
        <w:right w:val="none" w:sz="0" w:space="0" w:color="auto"/>
      </w:divBdr>
    </w:div>
    <w:div w:id="2058504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1181</ap:Words>
  <ap:Characters>6501</ap:Characters>
  <ap:DocSecurity>0</ap:DocSecurity>
  <ap:Lines>54</ap:Lines>
  <ap:Paragraphs>15</ap:Paragraphs>
  <ap:ScaleCrop>false</ap:ScaleCrop>
  <ap:LinksUpToDate>false</ap:LinksUpToDate>
  <ap:CharactersWithSpaces>7667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2026-04-09T14:58:00.0000000Z</dcterms:created>
  <dcterms:modified xsi:type="dcterms:W3CDTF">2026-04-09T15:00:00.0000000Z</dcterms:modified>
  <dc:description>------------------------</dc:description>
  <version/>
  <category/>
</coreProperties>
</file>