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A5D" w:rsidP="00CF2A5D" w:rsidRDefault="00CF2A5D" w14:paraId="0D926212" w14:textId="0C40D494">
      <w:pPr>
        <w:suppressAutoHyphens/>
      </w:pPr>
      <w:r>
        <w:t>AH 1570</w:t>
      </w:r>
    </w:p>
    <w:p w:rsidR="00CF2A5D" w:rsidP="00CF2A5D" w:rsidRDefault="00CF2A5D" w14:paraId="4DB4749F" w14:textId="2F152A00">
      <w:pPr>
        <w:suppressAutoHyphens/>
      </w:pPr>
      <w:r>
        <w:t>2026Z05633</w:t>
      </w:r>
    </w:p>
    <w:p w:rsidR="00CF2A5D" w:rsidP="00CF2A5D" w:rsidRDefault="00CF2A5D" w14:paraId="41F07855" w14:textId="7478CCAA">
      <w:pPr>
        <w:suppressAutoHyphens/>
      </w:pPr>
      <w:r w:rsidRPr="00D25B3E">
        <w:rPr>
          <w:sz w:val="24"/>
          <w:szCs w:val="24"/>
        </w:rPr>
        <w:t>Antwoord van minister Sterk (Langdurige Zorg, Jeugd en Sport) (ontvangen</w:t>
      </w:r>
      <w:r>
        <w:rPr>
          <w:sz w:val="24"/>
          <w:szCs w:val="24"/>
        </w:rPr>
        <w:t xml:space="preserve">  9 april 2026)</w:t>
      </w:r>
    </w:p>
    <w:p w:rsidR="00CF2A5D" w:rsidP="00CF2A5D" w:rsidRDefault="00CF2A5D" w14:paraId="43C8FFF1" w14:textId="77777777">
      <w:pPr>
        <w:suppressAutoHyphens/>
      </w:pPr>
    </w:p>
    <w:p w:rsidR="00CF2A5D" w:rsidP="00CF2A5D" w:rsidRDefault="00CF2A5D" w14:paraId="110F8B42" w14:textId="77777777">
      <w:pPr>
        <w:suppressAutoHyphens/>
      </w:pPr>
      <w:r>
        <w:t>Vraag 1</w:t>
      </w:r>
    </w:p>
    <w:p w:rsidRPr="00A339C0" w:rsidR="00CF2A5D" w:rsidP="00CF2A5D" w:rsidRDefault="00CF2A5D" w14:paraId="1C5E1A20"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Bent u bekend met het Leidse plan om de regels voor jeugdhulp aan te scherpen, met als doel duidelijker af te bakenen wat wel en niet onder jeugdhulp valt, het terugdringen van onterechte doorverwijzingen, en de kosten beter te beheersen? Zo ja, wat is uw oordeel over deze aanpak?</w:t>
      </w:r>
    </w:p>
    <w:p w:rsidR="00CF2A5D" w:rsidP="00CF2A5D" w:rsidRDefault="00CF2A5D" w14:paraId="611D0B79" w14:textId="77777777">
      <w:pPr>
        <w:suppressAutoHyphens/>
        <w:autoSpaceDE w:val="0"/>
        <w:autoSpaceDN w:val="0"/>
        <w:adjustRightInd w:val="0"/>
        <w:spacing w:line="240" w:lineRule="auto"/>
        <w:rPr>
          <w:rFonts w:eastAsia="DejaVuSerifCondensed" w:cs="DejaVuSerifCondensed"/>
          <w:b/>
          <w:bCs/>
          <w:color w:val="000000"/>
          <w:szCs w:val="18"/>
        </w:rPr>
      </w:pPr>
    </w:p>
    <w:p w:rsidRPr="00A339C0" w:rsidR="00CF2A5D" w:rsidP="00CF2A5D" w:rsidRDefault="00CF2A5D" w14:paraId="324E1698"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1</w:t>
      </w:r>
    </w:p>
    <w:p w:rsidRPr="00E46601" w:rsidR="00CF2A5D" w:rsidP="00CF2A5D" w:rsidRDefault="00CF2A5D" w14:paraId="78C5A5CC" w14:textId="77777777">
      <w:pPr>
        <w:suppressAutoHyphens/>
        <w:autoSpaceDE w:val="0"/>
        <w:autoSpaceDN w:val="0"/>
        <w:adjustRightInd w:val="0"/>
        <w:spacing w:line="240" w:lineRule="auto"/>
        <w:rPr>
          <w:rFonts w:eastAsia="DejaVuSerifCondensed" w:cs="DejaVuSerifCondensed"/>
          <w:color w:val="000000"/>
          <w:szCs w:val="18"/>
        </w:rPr>
      </w:pPr>
      <w:r w:rsidRPr="00E46601">
        <w:rPr>
          <w:rFonts w:eastAsia="DejaVuSerifCondensed" w:cs="DejaVuSerifCondensed"/>
          <w:color w:val="000000"/>
          <w:szCs w:val="18"/>
        </w:rPr>
        <w:t>Ja</w:t>
      </w:r>
      <w:r>
        <w:rPr>
          <w:rFonts w:eastAsia="DejaVuSerifCondensed" w:cs="DejaVuSerifCondensed"/>
          <w:color w:val="000000"/>
          <w:szCs w:val="18"/>
        </w:rPr>
        <w:t>, daar ben ik mee bekend</w:t>
      </w:r>
      <w:r w:rsidRPr="00E46601">
        <w:rPr>
          <w:rFonts w:eastAsia="DejaVuSerifCondensed" w:cs="DejaVuSerifCondensed"/>
          <w:color w:val="000000"/>
          <w:szCs w:val="18"/>
        </w:rPr>
        <w:t xml:space="preserve">. Een oordeel over de conceptverordening is in de eerste plaats aan de gemeenteraad van de gemeente Leiden. </w:t>
      </w:r>
      <w:r>
        <w:rPr>
          <w:rFonts w:eastAsia="DejaVuSerifCondensed" w:cs="DejaVuSerifCondensed"/>
          <w:color w:val="000000"/>
          <w:szCs w:val="18"/>
        </w:rPr>
        <w:t>Op landelijk niveau zie ik dat d</w:t>
      </w:r>
      <w:r w:rsidRPr="00E46601">
        <w:rPr>
          <w:rFonts w:eastAsia="DejaVuSerifCondensed" w:cs="DejaVuSerifCondensed"/>
          <w:color w:val="000000"/>
          <w:szCs w:val="18"/>
        </w:rPr>
        <w:t xml:space="preserve">eze beweging in lijn </w:t>
      </w:r>
      <w:r>
        <w:rPr>
          <w:rFonts w:eastAsia="DejaVuSerifCondensed" w:cs="DejaVuSerifCondensed"/>
          <w:color w:val="000000"/>
          <w:szCs w:val="18"/>
        </w:rPr>
        <w:t xml:space="preserve">is </w:t>
      </w:r>
      <w:r w:rsidRPr="00E46601">
        <w:rPr>
          <w:rFonts w:eastAsia="DejaVuSerifCondensed" w:cs="DejaVuSerifCondensed"/>
          <w:color w:val="000000"/>
          <w:szCs w:val="18"/>
        </w:rPr>
        <w:t>met de Hervormingsagenda Jeugd en ik zie verschillende elementen uit het concept</w:t>
      </w:r>
      <w:r>
        <w:rPr>
          <w:rFonts w:eastAsia="DejaVuSerifCondensed" w:cs="DejaVuSerifCondensed"/>
          <w:color w:val="000000"/>
          <w:szCs w:val="18"/>
        </w:rPr>
        <w:t xml:space="preserve"> </w:t>
      </w:r>
      <w:r w:rsidRPr="00E46601">
        <w:rPr>
          <w:rFonts w:eastAsia="DejaVuSerifCondensed" w:cs="DejaVuSerifCondensed"/>
          <w:color w:val="000000"/>
          <w:szCs w:val="18"/>
        </w:rPr>
        <w:t xml:space="preserve">wetsvoorstel Reikwijdte Jeugdwet terug. Bijvoorbeeld het inrichten van een </w:t>
      </w:r>
      <w:r>
        <w:rPr>
          <w:rFonts w:eastAsia="DejaVuSerifCondensed" w:cs="DejaVuSerifCondensed"/>
          <w:color w:val="000000"/>
          <w:szCs w:val="18"/>
        </w:rPr>
        <w:t>s</w:t>
      </w:r>
      <w:r w:rsidRPr="00E46601">
        <w:rPr>
          <w:rFonts w:eastAsia="DejaVuSerifCondensed" w:cs="DejaVuSerifCondensed"/>
          <w:color w:val="000000"/>
          <w:szCs w:val="18"/>
        </w:rPr>
        <w:t xml:space="preserve">tevig </w:t>
      </w:r>
      <w:r>
        <w:rPr>
          <w:rFonts w:eastAsia="DejaVuSerifCondensed" w:cs="DejaVuSerifCondensed"/>
          <w:color w:val="000000"/>
          <w:szCs w:val="18"/>
        </w:rPr>
        <w:t>l</w:t>
      </w:r>
      <w:r w:rsidRPr="00E46601">
        <w:rPr>
          <w:rFonts w:eastAsia="DejaVuSerifCondensed" w:cs="DejaVuSerifCondensed"/>
          <w:color w:val="000000"/>
          <w:szCs w:val="18"/>
        </w:rPr>
        <w:t xml:space="preserve">okaal team met verschillende taken waaronder informatie en advies, toeleiding en het bieden van hulp en het voorliggend maken van jeugdhulp op groepsbasis. </w:t>
      </w:r>
    </w:p>
    <w:p w:rsidR="00CF2A5D" w:rsidP="00CF2A5D" w:rsidRDefault="00CF2A5D" w14:paraId="5176887B"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4B5EBCC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2</w:t>
      </w:r>
    </w:p>
    <w:p w:rsidRPr="00A339C0" w:rsidR="00CF2A5D" w:rsidP="00CF2A5D" w:rsidRDefault="00CF2A5D" w14:paraId="0C7E4125"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Hoe beoordeelt u het voornemen in Leiden om verwijzingen naar jeugdhulp scherper te laten toetsen door gemeentelijke jeugdteams en eerder te kijken naar eigen kracht, het sociale netwerk en andere vormen van ondersteuning, voordat gespecialiseerde jeugdhulp wordt ingezet? Ziet u hierin elementen die landelijk navolging verdienen?</w:t>
      </w:r>
    </w:p>
    <w:p w:rsidR="00CF2A5D" w:rsidP="00CF2A5D" w:rsidRDefault="00CF2A5D" w14:paraId="6295EA27"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2C44BF79"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p>
    <w:p w:rsidRPr="004E2BFD" w:rsidR="00CF2A5D" w:rsidP="00CF2A5D" w:rsidRDefault="00CF2A5D" w14:paraId="64724E9C" w14:textId="77777777">
      <w:pPr>
        <w:suppressAutoHyphens/>
        <w:autoSpaceDE w:val="0"/>
        <w:autoSpaceDN w:val="0"/>
        <w:adjustRightInd w:val="0"/>
        <w:spacing w:line="240" w:lineRule="auto"/>
        <w:rPr>
          <w:rFonts w:eastAsia="DejaVuSerifCondensed" w:cs="DejaVuSerifCondensed"/>
          <w:color w:val="000000"/>
          <w:szCs w:val="18"/>
        </w:rPr>
      </w:pPr>
      <w:r w:rsidRPr="00E46601">
        <w:rPr>
          <w:rFonts w:eastAsia="DejaVuSerifCondensed" w:cs="DejaVuSerifCondensed"/>
          <w:color w:val="000000"/>
          <w:szCs w:val="18"/>
        </w:rPr>
        <w:t>In het conceptwetsvoorstel Reikwijdte Jeugdwet komen verschillende van deze voornemens terug</w:t>
      </w:r>
      <w:r>
        <w:rPr>
          <w:rFonts w:eastAsia="DejaVuSerifCondensed" w:cs="DejaVuSerifCondensed"/>
          <w:color w:val="000000"/>
          <w:szCs w:val="18"/>
        </w:rPr>
        <w:t>, zoals</w:t>
      </w:r>
      <w:r w:rsidRPr="00E46601">
        <w:rPr>
          <w:rFonts w:eastAsia="DejaVuSerifCondensed" w:cs="DejaVuSerifCondensed"/>
          <w:color w:val="000000"/>
          <w:szCs w:val="18"/>
        </w:rPr>
        <w:t xml:space="preserve"> de toets op eigen kracht, mogelijke inzet van het sociale netwerk en inzet van voorliggende voorzieningen. </w:t>
      </w:r>
      <w:r>
        <w:rPr>
          <w:rFonts w:eastAsia="DejaVuSerifCondensed" w:cs="DejaVuSerifCondensed"/>
          <w:color w:val="000000"/>
          <w:szCs w:val="18"/>
        </w:rPr>
        <w:t>Met</w:t>
      </w:r>
      <w:r w:rsidRPr="00E46601">
        <w:rPr>
          <w:rFonts w:eastAsia="DejaVuSerifCondensed" w:cs="DejaVuSerifCondensed"/>
          <w:color w:val="000000"/>
          <w:szCs w:val="18"/>
        </w:rPr>
        <w:t xml:space="preserve"> dit wetsvoorstel word</w:t>
      </w:r>
      <w:r>
        <w:rPr>
          <w:rFonts w:eastAsia="DejaVuSerifCondensed" w:cs="DejaVuSerifCondensed"/>
          <w:color w:val="000000"/>
          <w:szCs w:val="18"/>
        </w:rPr>
        <w:t xml:space="preserve">en </w:t>
      </w:r>
      <w:r w:rsidRPr="00E46601">
        <w:rPr>
          <w:rFonts w:eastAsia="DejaVuSerifCondensed" w:cs="DejaVuSerifCondensed"/>
          <w:color w:val="000000"/>
          <w:szCs w:val="18"/>
        </w:rPr>
        <w:t>gemeente</w:t>
      </w:r>
      <w:r>
        <w:rPr>
          <w:rFonts w:eastAsia="DejaVuSerifCondensed" w:cs="DejaVuSerifCondensed"/>
          <w:color w:val="000000"/>
          <w:szCs w:val="18"/>
        </w:rPr>
        <w:t>n</w:t>
      </w:r>
      <w:r w:rsidRPr="00E46601">
        <w:rPr>
          <w:rFonts w:eastAsia="DejaVuSerifCondensed" w:cs="DejaVuSerifCondensed"/>
          <w:color w:val="000000"/>
          <w:szCs w:val="18"/>
        </w:rPr>
        <w:t xml:space="preserve"> </w:t>
      </w:r>
      <w:r>
        <w:rPr>
          <w:rFonts w:eastAsia="DejaVuSerifCondensed" w:cs="DejaVuSerifCondensed"/>
          <w:color w:val="000000"/>
          <w:szCs w:val="18"/>
        </w:rPr>
        <w:t>verplicht s</w:t>
      </w:r>
      <w:r w:rsidRPr="00E46601">
        <w:rPr>
          <w:rFonts w:eastAsia="DejaVuSerifCondensed" w:cs="DejaVuSerifCondensed"/>
          <w:color w:val="000000"/>
          <w:szCs w:val="18"/>
        </w:rPr>
        <w:t xml:space="preserve">tevige </w:t>
      </w:r>
      <w:r>
        <w:rPr>
          <w:rFonts w:eastAsia="DejaVuSerifCondensed" w:cs="DejaVuSerifCondensed"/>
          <w:color w:val="000000"/>
          <w:szCs w:val="18"/>
        </w:rPr>
        <w:t>l</w:t>
      </w:r>
      <w:r w:rsidRPr="00E46601">
        <w:rPr>
          <w:rFonts w:eastAsia="DejaVuSerifCondensed" w:cs="DejaVuSerifCondensed"/>
          <w:color w:val="000000"/>
          <w:szCs w:val="18"/>
        </w:rPr>
        <w:t>okale teams in</w:t>
      </w:r>
      <w:r>
        <w:rPr>
          <w:rFonts w:eastAsia="DejaVuSerifCondensed" w:cs="DejaVuSerifCondensed"/>
          <w:color w:val="000000"/>
          <w:szCs w:val="18"/>
        </w:rPr>
        <w:t xml:space="preserve"> te </w:t>
      </w:r>
      <w:r w:rsidRPr="00E46601">
        <w:rPr>
          <w:rFonts w:eastAsia="DejaVuSerifCondensed" w:cs="DejaVuSerifCondensed"/>
          <w:color w:val="000000"/>
          <w:szCs w:val="18"/>
        </w:rPr>
        <w:t xml:space="preserve">richten die </w:t>
      </w:r>
      <w:r>
        <w:rPr>
          <w:rFonts w:eastAsia="DejaVuSerifCondensed" w:cs="DejaVuSerifCondensed"/>
          <w:color w:val="000000"/>
          <w:szCs w:val="18"/>
        </w:rPr>
        <w:t>breed kijken</w:t>
      </w:r>
      <w:r w:rsidRPr="00E46601">
        <w:rPr>
          <w:rFonts w:eastAsia="DejaVuSerifCondensed" w:cs="DejaVuSerifCondensed"/>
          <w:color w:val="000000"/>
          <w:szCs w:val="18"/>
        </w:rPr>
        <w:t xml:space="preserve"> naar hulpvragen van gezinnen en jeugdigen en zelf jeugdhulp kunnen bieden. </w:t>
      </w:r>
      <w:r>
        <w:rPr>
          <w:rFonts w:eastAsia="DejaVuSerifCondensed" w:cs="DejaVuSerifCondensed"/>
          <w:color w:val="000000"/>
          <w:szCs w:val="18"/>
        </w:rPr>
        <w:t>Deze teams moeten daarnaast</w:t>
      </w:r>
      <w:r w:rsidRPr="00E46601">
        <w:rPr>
          <w:rFonts w:eastAsia="DejaVuSerifCondensed" w:cs="DejaVuSerifCondensed"/>
          <w:color w:val="000000"/>
          <w:szCs w:val="18"/>
        </w:rPr>
        <w:t xml:space="preserve"> </w:t>
      </w:r>
      <w:r>
        <w:rPr>
          <w:rFonts w:eastAsia="DejaVuSerifCondensed" w:cs="DejaVuSerifCondensed"/>
          <w:color w:val="000000"/>
          <w:szCs w:val="18"/>
        </w:rPr>
        <w:t>zorgvuldig</w:t>
      </w:r>
      <w:r w:rsidRPr="00E46601">
        <w:rPr>
          <w:rFonts w:eastAsia="DejaVuSerifCondensed" w:cs="DejaVuSerifCondensed"/>
          <w:color w:val="000000"/>
          <w:szCs w:val="18"/>
        </w:rPr>
        <w:t xml:space="preserve"> beoordelen of aanvullende jeugdhulp nodig is</w:t>
      </w:r>
      <w:r>
        <w:rPr>
          <w:rFonts w:eastAsia="DejaVuSerifCondensed" w:cs="DejaVuSerifCondensed"/>
          <w:color w:val="000000"/>
          <w:szCs w:val="18"/>
        </w:rPr>
        <w:t>,</w:t>
      </w:r>
      <w:r w:rsidRPr="00E46601">
        <w:rPr>
          <w:rFonts w:eastAsia="DejaVuSerifCondensed" w:cs="DejaVuSerifCondensed"/>
          <w:color w:val="000000"/>
          <w:szCs w:val="18"/>
        </w:rPr>
        <w:t xml:space="preserve"> </w:t>
      </w:r>
      <w:r>
        <w:rPr>
          <w:rFonts w:eastAsia="DejaVuSerifCondensed" w:cs="DejaVuSerifCondensed"/>
          <w:color w:val="000000"/>
          <w:szCs w:val="18"/>
        </w:rPr>
        <w:t>dan wel of</w:t>
      </w:r>
      <w:r w:rsidRPr="00E46601">
        <w:rPr>
          <w:rFonts w:eastAsia="DejaVuSerifCondensed" w:cs="DejaVuSerifCondensed"/>
          <w:color w:val="000000"/>
          <w:szCs w:val="18"/>
        </w:rPr>
        <w:t xml:space="preserve"> een gezin voldoende ondersteuning heeft vanuit het sociale netwerk of</w:t>
      </w:r>
      <w:r>
        <w:rPr>
          <w:rFonts w:eastAsia="DejaVuSerifCondensed" w:cs="DejaVuSerifCondensed"/>
          <w:color w:val="000000"/>
          <w:szCs w:val="18"/>
        </w:rPr>
        <w:t xml:space="preserve"> dat</w:t>
      </w:r>
      <w:r w:rsidRPr="00E46601">
        <w:rPr>
          <w:rFonts w:eastAsia="DejaVuSerifCondensed" w:cs="DejaVuSerifCondensed"/>
          <w:color w:val="000000"/>
          <w:szCs w:val="18"/>
        </w:rPr>
        <w:t xml:space="preserve"> voorzieningen in de pedagogische basis passend zijn</w:t>
      </w:r>
      <w:r>
        <w:rPr>
          <w:rFonts w:eastAsia="DejaVuSerifCondensed" w:cs="DejaVuSerifCondensed"/>
          <w:color w:val="000000"/>
          <w:szCs w:val="18"/>
        </w:rPr>
        <w:t>, die</w:t>
      </w:r>
      <w:r w:rsidRPr="00E46601">
        <w:rPr>
          <w:rFonts w:eastAsia="DejaVuSerifCondensed" w:cs="DejaVuSerifCondensed"/>
          <w:color w:val="000000"/>
          <w:szCs w:val="18"/>
        </w:rPr>
        <w:t xml:space="preserve"> voorliggend </w:t>
      </w:r>
      <w:r>
        <w:rPr>
          <w:rFonts w:eastAsia="DejaVuSerifCondensed" w:cs="DejaVuSerifCondensed"/>
          <w:color w:val="000000"/>
          <w:szCs w:val="18"/>
        </w:rPr>
        <w:t xml:space="preserve">zijn </w:t>
      </w:r>
      <w:r w:rsidRPr="00E46601">
        <w:rPr>
          <w:rFonts w:eastAsia="DejaVuSerifCondensed" w:cs="DejaVuSerifCondensed"/>
          <w:color w:val="000000"/>
          <w:szCs w:val="18"/>
        </w:rPr>
        <w:t>op aanvullende jeugdhulp.</w:t>
      </w:r>
    </w:p>
    <w:p w:rsidR="00CF2A5D" w:rsidP="00CF2A5D" w:rsidRDefault="00CF2A5D" w14:paraId="103EA5B8" w14:textId="77777777">
      <w:pPr>
        <w:suppressAutoHyphens/>
        <w:autoSpaceDE w:val="0"/>
        <w:autoSpaceDN w:val="0"/>
        <w:adjustRightInd w:val="0"/>
        <w:spacing w:line="240" w:lineRule="auto"/>
        <w:rPr>
          <w:rFonts w:eastAsia="DejaVuSerifCondensed" w:cs="DejaVuSerifCondensed"/>
          <w:color w:val="000000"/>
          <w:szCs w:val="18"/>
        </w:rPr>
      </w:pPr>
    </w:p>
    <w:p w:rsidRPr="00A339C0" w:rsidR="00CF2A5D" w:rsidP="00CF2A5D" w:rsidRDefault="00CF2A5D" w14:paraId="4E683EA9"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Vraag 3</w:t>
      </w:r>
    </w:p>
    <w:p w:rsidRPr="00A339C0" w:rsidR="00CF2A5D" w:rsidP="00CF2A5D" w:rsidRDefault="00CF2A5D" w14:paraId="1038C9CA"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lastRenderedPageBreak/>
        <w:t>Deelt u de zorg dat binnen de jeugdhulp fraude en misbruik veelvuldig plaatsvinden, bijvoorbeeld doordat zorgverleners zaken onterecht naar jeugdhulp doorschuiven, zorgtrajecten onnodig verlengen of oneigenlijk declareren, zoals in Leiden expliciet wordt benoemd? Hoe groot acht u dit probleem landelijk?</w:t>
      </w:r>
    </w:p>
    <w:p w:rsidRPr="00A339C0" w:rsidR="00CF2A5D" w:rsidP="00CF2A5D" w:rsidRDefault="00CF2A5D" w14:paraId="6DA20F8A" w14:textId="77777777">
      <w:pPr>
        <w:suppressAutoHyphens/>
        <w:autoSpaceDE w:val="0"/>
        <w:autoSpaceDN w:val="0"/>
        <w:adjustRightInd w:val="0"/>
        <w:spacing w:line="240" w:lineRule="auto"/>
        <w:rPr>
          <w:rFonts w:eastAsia="DejaVuSerifCondensed" w:cs="DejaVuSerifCondensed"/>
          <w:color w:val="000000"/>
          <w:szCs w:val="18"/>
        </w:rPr>
      </w:pPr>
    </w:p>
    <w:p w:rsidRPr="00A339C0" w:rsidR="00CF2A5D" w:rsidP="00CF2A5D" w:rsidRDefault="00CF2A5D" w14:paraId="7D3B1412"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3</w:t>
      </w:r>
    </w:p>
    <w:p w:rsidR="00CF2A5D" w:rsidP="00CF2A5D" w:rsidRDefault="00CF2A5D" w14:paraId="5E7DE8F4" w14:textId="77777777">
      <w:pPr>
        <w:suppressAutoHyphens/>
        <w:autoSpaceDE w:val="0"/>
        <w:autoSpaceDN w:val="0"/>
        <w:adjustRightInd w:val="0"/>
        <w:spacing w:line="240" w:lineRule="auto"/>
        <w:rPr>
          <w:rFonts w:eastAsia="DejaVuSerifCondensed" w:cs="DejaVuSerifCondensed"/>
          <w:color w:val="000000"/>
          <w:szCs w:val="18"/>
        </w:rPr>
      </w:pPr>
      <w:bookmarkStart w:name="_Hlk225929864" w:id="0"/>
      <w:r>
        <w:rPr>
          <w:rFonts w:eastAsia="DejaVuSerifCondensed" w:cs="DejaVuSerifCondensed"/>
          <w:color w:val="000000"/>
          <w:szCs w:val="18"/>
        </w:rPr>
        <w:t>Ik deel de zorg over fraude en misbruik binnen de jeugdhulp</w:t>
      </w:r>
      <w:bookmarkEnd w:id="0"/>
      <w:r>
        <w:rPr>
          <w:rFonts w:eastAsia="DejaVuSerifCondensed" w:cs="DejaVuSerifCondensed"/>
          <w:color w:val="000000"/>
          <w:szCs w:val="18"/>
        </w:rPr>
        <w:t xml:space="preserve">. Fraude en misbruik tasten de betrouwbaarheid en de betaalbaarheid van de jeugdhulp en de zorg in het algemeen aan. Dit is </w:t>
      </w:r>
      <w:r w:rsidRPr="00AB1D26">
        <w:rPr>
          <w:rFonts w:eastAsia="DejaVuSerifCondensed" w:cs="DejaVuSerifCondensed"/>
          <w:color w:val="000000"/>
          <w:szCs w:val="18"/>
        </w:rPr>
        <w:t xml:space="preserve">onaanvaardbaar en moet worden </w:t>
      </w:r>
      <w:r>
        <w:rPr>
          <w:rFonts w:eastAsia="DejaVuSerifCondensed" w:cs="DejaVuSerifCondensed"/>
          <w:color w:val="000000"/>
          <w:szCs w:val="18"/>
        </w:rPr>
        <w:t>voorkomen en effectief worden aangepakt</w:t>
      </w:r>
      <w:r w:rsidRPr="00AB1D26">
        <w:rPr>
          <w:rFonts w:eastAsia="DejaVuSerifCondensed" w:cs="DejaVuSerifCondensed"/>
          <w:color w:val="000000"/>
          <w:szCs w:val="18"/>
        </w:rPr>
        <w:t xml:space="preserve">. </w:t>
      </w:r>
      <w:r>
        <w:rPr>
          <w:rFonts w:eastAsia="DejaVuSerifCondensed" w:cs="DejaVuSerifCondensed"/>
          <w:color w:val="000000"/>
          <w:szCs w:val="18"/>
        </w:rPr>
        <w:t>Met name</w:t>
      </w:r>
      <w:r w:rsidRPr="00AB1D26">
        <w:rPr>
          <w:rFonts w:eastAsia="DejaVuSerifCondensed" w:cs="DejaVuSerifCondensed"/>
          <w:color w:val="000000"/>
          <w:szCs w:val="18"/>
        </w:rPr>
        <w:t xml:space="preserve"> omdat </w:t>
      </w:r>
      <w:r>
        <w:rPr>
          <w:rFonts w:eastAsia="DejaVuSerifCondensed" w:cs="DejaVuSerifCondensed"/>
          <w:color w:val="000000"/>
          <w:szCs w:val="18"/>
        </w:rPr>
        <w:t>jeugdigen</w:t>
      </w:r>
      <w:r w:rsidRPr="00AB1D26">
        <w:rPr>
          <w:rFonts w:eastAsia="DejaVuSerifCondensed" w:cs="DejaVuSerifCondensed"/>
          <w:color w:val="000000"/>
          <w:szCs w:val="18"/>
        </w:rPr>
        <w:t xml:space="preserve"> </w:t>
      </w:r>
      <w:r>
        <w:rPr>
          <w:rFonts w:eastAsia="DejaVuSerifCondensed" w:cs="DejaVuSerifCondensed"/>
          <w:color w:val="000000"/>
          <w:szCs w:val="18"/>
        </w:rPr>
        <w:t xml:space="preserve">hier de dupe van zijn en </w:t>
      </w:r>
      <w:r w:rsidRPr="00AB1D26">
        <w:rPr>
          <w:rFonts w:eastAsia="DejaVuSerifCondensed" w:cs="DejaVuSerifCondensed"/>
          <w:color w:val="000000"/>
          <w:szCs w:val="18"/>
        </w:rPr>
        <w:t xml:space="preserve">als gevolg hiervan </w:t>
      </w:r>
      <w:r>
        <w:rPr>
          <w:rFonts w:eastAsia="DejaVuSerifCondensed" w:cs="DejaVuSerifCondensed"/>
          <w:color w:val="000000"/>
          <w:szCs w:val="18"/>
        </w:rPr>
        <w:t xml:space="preserve">vaak </w:t>
      </w:r>
      <w:r w:rsidRPr="00AB1D26">
        <w:rPr>
          <w:rFonts w:eastAsia="DejaVuSerifCondensed" w:cs="DejaVuSerifCondensed"/>
          <w:color w:val="000000"/>
          <w:szCs w:val="18"/>
        </w:rPr>
        <w:t xml:space="preserve">niet de zorg krijgen die </w:t>
      </w:r>
      <w:r>
        <w:rPr>
          <w:rFonts w:eastAsia="DejaVuSerifCondensed" w:cs="DejaVuSerifCondensed"/>
          <w:color w:val="000000"/>
          <w:szCs w:val="18"/>
        </w:rPr>
        <w:t>nodig is. Geld voor de zorg hoort in de zorg.</w:t>
      </w:r>
    </w:p>
    <w:p w:rsidR="00CF2A5D" w:rsidP="00CF2A5D" w:rsidRDefault="00CF2A5D" w14:paraId="1F5EC092"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110E520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H</w:t>
      </w:r>
      <w:r w:rsidRPr="00605F48">
        <w:rPr>
          <w:rFonts w:eastAsia="DejaVuSerifCondensed" w:cs="DejaVuSerifCondensed"/>
          <w:color w:val="000000"/>
          <w:szCs w:val="18"/>
        </w:rPr>
        <w:t xml:space="preserve">et </w:t>
      </w:r>
      <w:r>
        <w:rPr>
          <w:rFonts w:eastAsia="DejaVuSerifCondensed" w:cs="DejaVuSerifCondensed"/>
          <w:color w:val="000000"/>
          <w:szCs w:val="18"/>
        </w:rPr>
        <w:t xml:space="preserve">is </w:t>
      </w:r>
      <w:r w:rsidRPr="00605F48">
        <w:rPr>
          <w:rFonts w:eastAsia="DejaVuSerifCondensed" w:cs="DejaVuSerifCondensed"/>
          <w:color w:val="000000"/>
          <w:szCs w:val="18"/>
        </w:rPr>
        <w:t xml:space="preserve">niet mogelijk om tot een goed onderbouwde omvang van fraude </w:t>
      </w:r>
      <w:r>
        <w:rPr>
          <w:rFonts w:eastAsia="DejaVuSerifCondensed" w:cs="DejaVuSerifCondensed"/>
          <w:color w:val="000000"/>
          <w:szCs w:val="18"/>
        </w:rPr>
        <w:t xml:space="preserve">in de zorg </w:t>
      </w:r>
      <w:r w:rsidRPr="00605F48">
        <w:rPr>
          <w:rFonts w:eastAsia="DejaVuSerifCondensed" w:cs="DejaVuSerifCondensed"/>
          <w:color w:val="000000"/>
          <w:szCs w:val="18"/>
        </w:rPr>
        <w:t>te komen</w:t>
      </w:r>
      <w:r>
        <w:rPr>
          <w:rFonts w:eastAsia="DejaVuSerifCondensed" w:cs="DejaVuSerifCondensed"/>
          <w:color w:val="000000"/>
          <w:szCs w:val="18"/>
        </w:rPr>
        <w:t xml:space="preserve">. </w:t>
      </w:r>
      <w:bookmarkStart w:name="_Hlk225929900" w:id="1"/>
      <w:r w:rsidRPr="00297F55">
        <w:rPr>
          <w:rFonts w:eastAsia="DejaVuSerifCondensed" w:cs="DejaVuSerifCondensed"/>
          <w:color w:val="000000"/>
          <w:szCs w:val="18"/>
        </w:rPr>
        <w:t xml:space="preserve">De </w:t>
      </w:r>
      <w:r>
        <w:rPr>
          <w:rFonts w:eastAsia="DejaVuSerifCondensed" w:cs="DejaVuSerifCondensed"/>
          <w:color w:val="000000"/>
          <w:szCs w:val="18"/>
        </w:rPr>
        <w:t xml:space="preserve">exacte landelijke </w:t>
      </w:r>
      <w:r w:rsidRPr="00297F55">
        <w:rPr>
          <w:rFonts w:eastAsia="DejaVuSerifCondensed" w:cs="DejaVuSerifCondensed"/>
          <w:color w:val="000000"/>
          <w:szCs w:val="18"/>
        </w:rPr>
        <w:t>omvang van fraude</w:t>
      </w:r>
      <w:r>
        <w:rPr>
          <w:rFonts w:eastAsia="DejaVuSerifCondensed" w:cs="DejaVuSerifCondensed"/>
          <w:color w:val="000000"/>
          <w:szCs w:val="18"/>
        </w:rPr>
        <w:t xml:space="preserve"> en misbruik</w:t>
      </w:r>
      <w:r w:rsidRPr="00297F55">
        <w:rPr>
          <w:rFonts w:eastAsia="DejaVuSerifCondensed" w:cs="DejaVuSerifCondensed"/>
          <w:color w:val="000000"/>
          <w:szCs w:val="18"/>
        </w:rPr>
        <w:t xml:space="preserve"> </w:t>
      </w:r>
      <w:r>
        <w:rPr>
          <w:rFonts w:eastAsia="DejaVuSerifCondensed" w:cs="DejaVuSerifCondensed"/>
          <w:color w:val="000000"/>
          <w:szCs w:val="18"/>
        </w:rPr>
        <w:t xml:space="preserve">binnen de jeugdhulp </w:t>
      </w:r>
      <w:r w:rsidRPr="00297F55">
        <w:rPr>
          <w:rFonts w:eastAsia="DejaVuSerifCondensed" w:cs="DejaVuSerifCondensed"/>
          <w:color w:val="000000"/>
          <w:szCs w:val="18"/>
        </w:rPr>
        <w:t>is niet bekend</w:t>
      </w:r>
      <w:r>
        <w:rPr>
          <w:rFonts w:eastAsia="DejaVuSerifCondensed" w:cs="DejaVuSerifCondensed"/>
          <w:color w:val="000000"/>
          <w:szCs w:val="18"/>
        </w:rPr>
        <w:t>.</w:t>
      </w:r>
      <w:bookmarkEnd w:id="1"/>
      <w:r>
        <w:rPr>
          <w:rFonts w:eastAsia="DejaVuSerifCondensed" w:cs="DejaVuSerifCondensed"/>
          <w:color w:val="000000"/>
          <w:szCs w:val="18"/>
        </w:rPr>
        <w:t xml:space="preserve"> Helaas is wel duidelijk dat het om veel geld gaat en weten we ook dat we nog veel niet in beeld hebben. </w:t>
      </w:r>
    </w:p>
    <w:p w:rsidRPr="006C171D" w:rsidR="00CF2A5D" w:rsidP="00CF2A5D" w:rsidRDefault="00CF2A5D" w14:paraId="6D6E41E4" w14:textId="77777777">
      <w:pPr>
        <w:suppressAutoHyphens/>
        <w:autoSpaceDE w:val="0"/>
        <w:autoSpaceDN w:val="0"/>
        <w:adjustRightInd w:val="0"/>
        <w:spacing w:line="240" w:lineRule="auto"/>
        <w:rPr>
          <w:rFonts w:eastAsia="DejaVuSerifCondensed" w:cs="DejaVuSerifCondensed"/>
          <w:color w:val="000000"/>
          <w:szCs w:val="18"/>
        </w:rPr>
      </w:pPr>
    </w:p>
    <w:p w:rsidRPr="006C171D" w:rsidR="00CF2A5D" w:rsidP="00CF2A5D" w:rsidRDefault="00CF2A5D" w14:paraId="39E2B620" w14:textId="77777777">
      <w:pPr>
        <w:suppressAutoHyphens/>
        <w:autoSpaceDE w:val="0"/>
        <w:autoSpaceDN w:val="0"/>
        <w:adjustRightInd w:val="0"/>
        <w:spacing w:line="240" w:lineRule="auto"/>
        <w:rPr>
          <w:rFonts w:eastAsia="DejaVuSerifCondensed" w:cs="DejaVuSerifCondensed"/>
          <w:color w:val="000000"/>
          <w:szCs w:val="18"/>
        </w:rPr>
      </w:pPr>
      <w:bookmarkStart w:name="_Hlk225930016" w:id="2"/>
      <w:r w:rsidRPr="006C171D">
        <w:rPr>
          <w:rFonts w:eastAsia="DejaVuSerifCondensed" w:cs="DejaVuSerifCondensed"/>
          <w:color w:val="000000"/>
          <w:szCs w:val="18"/>
        </w:rPr>
        <w:t>Het Informatieknooppunt zorgfraude (IKZ) ontving in 2025 in totaal 678 signalen van fraude in de zorg, waarvan er 81 gerelateerd zijn aan de Jeugdwet</w:t>
      </w:r>
      <w:bookmarkEnd w:id="2"/>
      <w:r w:rsidRPr="006C171D">
        <w:rPr>
          <w:rFonts w:eastAsia="DejaVuSerifCondensed" w:cs="DejaVuSerifCondensed"/>
          <w:color w:val="000000"/>
          <w:szCs w:val="18"/>
        </w:rPr>
        <w:t xml:space="preserve">. Voor de interpretatie van deze cijfers is het belangrijk te benoemen dat zij nog </w:t>
      </w:r>
      <w:r w:rsidRPr="00B24E98">
        <w:rPr>
          <w:rFonts w:eastAsia="DejaVuSerifCondensed" w:cs="DejaVuSerifCondensed"/>
          <w:color w:val="000000"/>
          <w:szCs w:val="18"/>
        </w:rPr>
        <w:t>geen volledig beeld geven van de fraude in de jeugdzorg. Oorzaak daarvan is onder andere dat nog</w:t>
      </w:r>
      <w:r w:rsidRPr="003A533D">
        <w:rPr>
          <w:rFonts w:eastAsia="DejaVuSerifCondensed" w:cs="DejaVuSerifCondensed"/>
          <w:color w:val="000000"/>
          <w:szCs w:val="18"/>
        </w:rPr>
        <w:t xml:space="preserve"> niet alle gemeenten zijn aangesloten bij het IKZ en de aangesloten partners nog niet alle signalen </w:t>
      </w:r>
      <w:r>
        <w:rPr>
          <w:rFonts w:eastAsia="DejaVuSerifCondensed" w:cs="DejaVuSerifCondensed"/>
          <w:color w:val="000000"/>
          <w:szCs w:val="18"/>
        </w:rPr>
        <w:t xml:space="preserve">delen </w:t>
      </w:r>
      <w:r w:rsidRPr="003A533D">
        <w:rPr>
          <w:rFonts w:eastAsia="DejaVuSerifCondensed" w:cs="DejaVuSerifCondensed"/>
          <w:color w:val="000000"/>
          <w:szCs w:val="18"/>
        </w:rPr>
        <w:t>met het IKZ. Tot slot wordt binnen de jeugdzorg veel gewerkt met onderaannemers, wat het zicht op wanpraktijken soms belemmert.</w:t>
      </w:r>
    </w:p>
    <w:p w:rsidR="00CF2A5D" w:rsidP="00CF2A5D" w:rsidRDefault="00CF2A5D" w14:paraId="4971AB7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 </w:t>
      </w:r>
    </w:p>
    <w:p w:rsidR="00CF2A5D" w:rsidP="00CF2A5D" w:rsidRDefault="00CF2A5D" w14:paraId="28CCA74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p>
    <w:p w:rsidRPr="00A339C0" w:rsidR="00CF2A5D" w:rsidP="00CF2A5D" w:rsidRDefault="00CF2A5D" w14:paraId="4E3A834B" w14:textId="77777777">
      <w:pPr>
        <w:suppressAutoHyphens/>
        <w:autoSpaceDE w:val="0"/>
        <w:autoSpaceDN w:val="0"/>
        <w:adjustRightInd w:val="0"/>
        <w:spacing w:line="240" w:lineRule="auto"/>
        <w:rPr>
          <w:rFonts w:eastAsia="DejaVuSerifCondensed" w:cs="DejaVuSerifCondensed"/>
          <w:color w:val="000000"/>
          <w:szCs w:val="18"/>
        </w:rPr>
      </w:pPr>
      <w:bookmarkStart w:name="_Hlk225336635" w:id="3"/>
      <w:r w:rsidRPr="00A339C0">
        <w:rPr>
          <w:rFonts w:eastAsia="DejaVuSerifCondensed" w:cs="DejaVuSerifCondensed"/>
          <w:color w:val="000000"/>
          <w:szCs w:val="18"/>
        </w:rPr>
        <w:t>Welk inzicht heeft u op dit moment in de omvang, aard en verspreiding van fraude binnen de jeugdhulp, in het bijzonder rond declaraties, persoonsgebonden budgetten, onnodige verlenging van zorgtrajecten en onjuiste verwijzingen? Kunt u daarbij aangeven waar de grootste blinde vlekken in toezicht en handhaving zitten?</w:t>
      </w:r>
    </w:p>
    <w:p w:rsidRPr="00A339C0" w:rsidR="00CF2A5D" w:rsidP="00CF2A5D" w:rsidRDefault="00CF2A5D" w14:paraId="35CBC40A" w14:textId="77777777">
      <w:pPr>
        <w:suppressAutoHyphens/>
        <w:autoSpaceDE w:val="0"/>
        <w:autoSpaceDN w:val="0"/>
        <w:adjustRightInd w:val="0"/>
        <w:spacing w:line="240" w:lineRule="auto"/>
        <w:rPr>
          <w:rFonts w:eastAsia="DejaVuSerifCondensed" w:cs="DejaVuSerifCondensed"/>
          <w:color w:val="000000"/>
          <w:szCs w:val="18"/>
        </w:rPr>
      </w:pPr>
    </w:p>
    <w:p w:rsidRPr="00A339C0" w:rsidR="00CF2A5D" w:rsidP="00CF2A5D" w:rsidRDefault="00CF2A5D" w14:paraId="652C8DC5"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4</w:t>
      </w:r>
    </w:p>
    <w:p w:rsidR="00CF2A5D" w:rsidP="00CF2A5D" w:rsidRDefault="00CF2A5D" w14:paraId="7947AC1C"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color w:val="000000"/>
          <w:szCs w:val="18"/>
        </w:rPr>
        <w:t xml:space="preserve">Zie het antwoord op vraag 3. Er is geen volledig inzicht in </w:t>
      </w:r>
      <w:r w:rsidRPr="00F07F2E">
        <w:rPr>
          <w:rFonts w:eastAsia="DejaVuSerifCondensed" w:cs="DejaVuSerifCondensed"/>
          <w:szCs w:val="18"/>
        </w:rPr>
        <w:t>de omvang, aard en verspreiding van fraude binnen de jeugdhulp</w:t>
      </w:r>
      <w:r>
        <w:rPr>
          <w:rFonts w:eastAsia="DejaVuSerifCondensed" w:cs="DejaVuSerifCondensed"/>
          <w:color w:val="000000"/>
          <w:szCs w:val="18"/>
        </w:rPr>
        <w:t>.</w:t>
      </w:r>
      <w:r>
        <w:rPr>
          <w:rFonts w:eastAsia="DejaVuSerifCondensed" w:cs="DejaVuSerifCondensed"/>
          <w:szCs w:val="18"/>
        </w:rPr>
        <w:t xml:space="preserve"> </w:t>
      </w:r>
      <w:bookmarkStart w:name="_Hlk225929978" w:id="4"/>
      <w:r>
        <w:rPr>
          <w:rFonts w:eastAsia="DejaVuSerifCondensed" w:cs="DejaVuSerifCondensed"/>
          <w:szCs w:val="18"/>
        </w:rPr>
        <w:t xml:space="preserve">Ik wil hierbij benadrukken dat de uitvoering van de jeugdzorg decentraal is georganiseerd. Dit betekent dat het toezicht op de rechtmatigheid van de gedeclareerde jeugdzorg ook decentraal is belegd. Hierdoor ontbreekt een landelijk totaalbeeld. </w:t>
      </w:r>
    </w:p>
    <w:bookmarkEnd w:id="3"/>
    <w:bookmarkEnd w:id="4"/>
    <w:p w:rsidR="00CF2A5D" w:rsidP="00CF2A5D" w:rsidRDefault="00CF2A5D" w14:paraId="4DA29D71"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727EC7D9" w14:textId="77777777">
      <w:pPr>
        <w:suppressAutoHyphens/>
        <w:autoSpaceDE w:val="0"/>
        <w:autoSpaceDN w:val="0"/>
        <w:adjustRightInd w:val="0"/>
        <w:spacing w:line="240" w:lineRule="auto"/>
        <w:rPr>
          <w:rFonts w:eastAsia="DejaVuSerifCondensed" w:cs="DejaVuSerifCondensed"/>
          <w:color w:val="000000"/>
          <w:szCs w:val="18"/>
        </w:rPr>
      </w:pPr>
      <w:r w:rsidRPr="00331A3C">
        <w:rPr>
          <w:rFonts w:eastAsia="DejaVuSerifCondensed" w:cs="DejaVuSerifCondensed"/>
          <w:color w:val="000000"/>
          <w:szCs w:val="18"/>
        </w:rPr>
        <w:t xml:space="preserve">De cijfers die ik van het IKZ heb ontvangen over 2025 geven de indruk </w:t>
      </w:r>
      <w:r>
        <w:rPr>
          <w:rFonts w:eastAsia="DejaVuSerifCondensed" w:cs="DejaVuSerifCondensed"/>
          <w:color w:val="000000"/>
          <w:szCs w:val="18"/>
        </w:rPr>
        <w:t xml:space="preserve">dat </w:t>
      </w:r>
      <w:r w:rsidRPr="00331A3C">
        <w:rPr>
          <w:rFonts w:eastAsia="DejaVuSerifCondensed" w:cs="DejaVuSerifCondensed"/>
          <w:color w:val="000000"/>
          <w:szCs w:val="18"/>
        </w:rPr>
        <w:t>het onder andere</w:t>
      </w:r>
      <w:r w:rsidRPr="003A533D">
        <w:rPr>
          <w:rFonts w:eastAsia="DejaVuSerifCondensed" w:cs="DejaVuSerifCondensed"/>
          <w:color w:val="000000"/>
          <w:szCs w:val="18"/>
        </w:rPr>
        <w:t xml:space="preserve"> gaat om zorgverwaarlozing/onvoldoende kwaliteit van zorg, spookzorg (valse </w:t>
      </w:r>
      <w:r w:rsidRPr="003A533D">
        <w:rPr>
          <w:rFonts w:eastAsia="DejaVuSerifCondensed" w:cs="DejaVuSerifCondensed"/>
          <w:color w:val="000000"/>
          <w:szCs w:val="18"/>
        </w:rPr>
        <w:lastRenderedPageBreak/>
        <w:t xml:space="preserve">declaraties), upcoding (zwaardere behandeling declareren dan uitgevoerd) en het geven van </w:t>
      </w:r>
      <w:r>
        <w:rPr>
          <w:rFonts w:eastAsia="DejaVuSerifCondensed" w:cs="DejaVuSerifCondensed"/>
          <w:color w:val="000000"/>
          <w:szCs w:val="18"/>
        </w:rPr>
        <w:t xml:space="preserve">een </w:t>
      </w:r>
      <w:r w:rsidRPr="003A533D">
        <w:rPr>
          <w:rFonts w:eastAsia="DejaVuSerifCondensed" w:cs="DejaVuSerifCondensed"/>
          <w:color w:val="000000"/>
          <w:szCs w:val="18"/>
        </w:rPr>
        <w:t>onjuiste voorstelling van zaken</w:t>
      </w:r>
      <w:r w:rsidRPr="00331A3C">
        <w:rPr>
          <w:rFonts w:eastAsia="DejaVuSerifCondensed" w:cs="DejaVuSerifCondensed"/>
          <w:color w:val="000000"/>
          <w:szCs w:val="18"/>
        </w:rPr>
        <w:t xml:space="preserve">. </w:t>
      </w:r>
      <w:r>
        <w:rPr>
          <w:rFonts w:eastAsia="DejaVuSerifCondensed" w:cs="DejaVuSerifCondensed"/>
          <w:color w:val="000000"/>
          <w:szCs w:val="18"/>
        </w:rPr>
        <w:t xml:space="preserve"> </w:t>
      </w:r>
    </w:p>
    <w:p w:rsidR="00CF2A5D" w:rsidP="00CF2A5D" w:rsidRDefault="00CF2A5D" w14:paraId="04C5BAD5"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309D3F8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A339C0" w:rsidR="00CF2A5D" w:rsidP="00CF2A5D" w:rsidRDefault="00CF2A5D" w14:paraId="1B9B79E3"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Welke concrete maatregelen gaat u op korte termijn nemen om fraude in de jeugdhulp keihard aan te pakken, frauderende aanbieders sneller op te sporen en van de markt te weren, onterecht besteed zorggeld terug te vorderen en gemeenten beter in staat te stellen misbruik direct te signaleren en te stoppen? Acht u het daarbij noodzakelijk om gemeenten meer ruimte, beleidsvrijheid, wettelijke bevoegdheden of handhavingsinstrumenten te geven op het gebied van opsporing en handhaving? Zo ja, welke?</w:t>
      </w:r>
    </w:p>
    <w:p w:rsidR="00CF2A5D" w:rsidP="00CF2A5D" w:rsidRDefault="00CF2A5D" w14:paraId="369FAA65" w14:textId="77777777">
      <w:pPr>
        <w:suppressAutoHyphens/>
        <w:autoSpaceDE w:val="0"/>
        <w:autoSpaceDN w:val="0"/>
        <w:adjustRightInd w:val="0"/>
        <w:spacing w:line="240" w:lineRule="auto"/>
        <w:rPr>
          <w:rFonts w:eastAsia="DejaVuSerifCondensed" w:cs="DejaVuSerifCondensed"/>
          <w:b/>
          <w:bCs/>
          <w:color w:val="000000"/>
          <w:szCs w:val="18"/>
        </w:rPr>
      </w:pPr>
    </w:p>
    <w:p w:rsidRPr="00A339C0" w:rsidR="00CF2A5D" w:rsidP="00CF2A5D" w:rsidRDefault="00CF2A5D" w14:paraId="2658AF9F"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5</w:t>
      </w:r>
    </w:p>
    <w:p w:rsidR="00CF2A5D" w:rsidP="00CF2A5D" w:rsidRDefault="00CF2A5D" w14:paraId="335632D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Mijn voorgangers, de minister en staatssecretarissen van VWS, hebben uw Kamer op </w:t>
      </w:r>
      <w:r w:rsidRPr="00297F55">
        <w:rPr>
          <w:rFonts w:eastAsia="DejaVuSerifCondensed" w:cs="DejaVuSerifCondensed"/>
          <w:color w:val="000000"/>
          <w:szCs w:val="18"/>
        </w:rPr>
        <w:t>3 oktober 2025</w:t>
      </w:r>
      <w:r>
        <w:rPr>
          <w:rFonts w:eastAsia="DejaVuSerifCondensed" w:cs="DejaVuSerifCondensed"/>
          <w:color w:val="000000"/>
          <w:szCs w:val="18"/>
        </w:rPr>
        <w:t xml:space="preserve"> geïnformeerd over de aanpak van fraude in de zorg, waaronder de jeugdhulp</w:t>
      </w:r>
      <w:r>
        <w:rPr>
          <w:rStyle w:val="Voetnootmarkering"/>
          <w:rFonts w:eastAsia="DejaVuSerifCondensed" w:cs="DejaVuSerifCondensed"/>
          <w:color w:val="000000"/>
          <w:szCs w:val="18"/>
        </w:rPr>
        <w:footnoteReference w:id="1"/>
      </w:r>
      <w:r>
        <w:rPr>
          <w:rFonts w:eastAsia="DejaVuSerifCondensed" w:cs="DejaVuSerifCondensed"/>
          <w:color w:val="000000"/>
          <w:szCs w:val="18"/>
        </w:rPr>
        <w:t>. De brief omschrijft de maatregelen die reeds genomen zijn of momenteel voorbereid worden om fraude in de zorg tegen te gaan. Ik zal deze hieronder kort samenvatten, waarbij ik specifiek focus op jeugdhulp.</w:t>
      </w:r>
    </w:p>
    <w:p w:rsidR="00CF2A5D" w:rsidP="00CF2A5D" w:rsidRDefault="00CF2A5D" w14:paraId="0CE83D6B"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4488DBE8"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Gemeenten hebben, als inkoper van jeugdzorg, instrumenten om fraude tegen te gaan. Het is aan gemeenten om bij het aangaan van contracten met zorgaanbieders nadere voorwaarden op te nemen</w:t>
      </w:r>
      <w:r w:rsidRPr="00144BD6">
        <w:rPr>
          <w:rFonts w:eastAsia="DejaVuSerifCondensed" w:cs="DejaVuSerifCondensed"/>
          <w:color w:val="000000"/>
          <w:szCs w:val="18"/>
        </w:rPr>
        <w:t>, zoals nadere (kwaliteits-)eisen aan (pgb-) zorgaanbieders en regels voor het tegengaan van misbruik en oneigenlijk gebruik. Dit kan bijvoorbeeld gaan om de mogelijkheid een VOG te eisen, ook voor bestuurders.</w:t>
      </w:r>
      <w:r>
        <w:rPr>
          <w:rFonts w:eastAsia="DejaVuSerifCondensed" w:cs="DejaVuSerifCondensed"/>
          <w:color w:val="000000"/>
          <w:szCs w:val="18"/>
        </w:rPr>
        <w:t xml:space="preserve"> </w:t>
      </w:r>
      <w:r w:rsidRPr="00144BD6">
        <w:rPr>
          <w:rFonts w:eastAsia="DejaVuSerifCondensed" w:cs="DejaVuSerifCondensed"/>
          <w:color w:val="000000"/>
          <w:szCs w:val="18"/>
        </w:rPr>
        <w:t xml:space="preserve">Bij zorgen over de integriteit van een zorgaanbieders </w:t>
      </w:r>
      <w:r>
        <w:rPr>
          <w:rFonts w:eastAsia="DejaVuSerifCondensed" w:cs="DejaVuSerifCondensed"/>
          <w:color w:val="000000"/>
          <w:szCs w:val="18"/>
        </w:rPr>
        <w:t>kunnen gemeenten</w:t>
      </w:r>
      <w:r w:rsidRPr="00144BD6">
        <w:rPr>
          <w:rFonts w:eastAsia="DejaVuSerifCondensed" w:cs="DejaVuSerifCondensed"/>
          <w:color w:val="000000"/>
          <w:szCs w:val="18"/>
        </w:rPr>
        <w:t xml:space="preserve"> een Bibob</w:t>
      </w:r>
      <w:r>
        <w:rPr>
          <w:rFonts w:eastAsia="DejaVuSerifCondensed" w:cs="DejaVuSerifCondensed"/>
          <w:color w:val="000000"/>
          <w:szCs w:val="18"/>
        </w:rPr>
        <w:t xml:space="preserve"> </w:t>
      </w:r>
      <w:r w:rsidRPr="00144BD6">
        <w:rPr>
          <w:rFonts w:eastAsia="DejaVuSerifCondensed" w:cs="DejaVuSerifCondensed"/>
          <w:color w:val="000000"/>
          <w:szCs w:val="18"/>
        </w:rPr>
        <w:t xml:space="preserve">toets </w:t>
      </w:r>
      <w:r>
        <w:rPr>
          <w:rFonts w:eastAsia="DejaVuSerifCondensed" w:cs="DejaVuSerifCondensed"/>
          <w:color w:val="000000"/>
          <w:szCs w:val="18"/>
        </w:rPr>
        <w:t xml:space="preserve">uitvoeren. Naast goed contractmanagement is belangrijk dat de gemeente ook het rechtmatigheidstoezicht op de Jeugdwet professioneel organiseert. </w:t>
      </w:r>
    </w:p>
    <w:p w:rsidR="00CF2A5D" w:rsidP="00CF2A5D" w:rsidRDefault="00CF2A5D" w14:paraId="5169294C"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4A623687" w14:textId="77777777">
      <w:pPr>
        <w:suppressAutoHyphens/>
        <w:autoSpaceDE w:val="0"/>
        <w:autoSpaceDN w:val="0"/>
        <w:adjustRightInd w:val="0"/>
        <w:spacing w:line="240" w:lineRule="auto"/>
        <w:rPr>
          <w:rFonts w:eastAsia="DejaVuSerifCondensed" w:cs="DejaVuSerifCondensed"/>
          <w:color w:val="000000"/>
          <w:szCs w:val="18"/>
        </w:rPr>
      </w:pPr>
      <w:r w:rsidRPr="00F4508B">
        <w:rPr>
          <w:rFonts w:eastAsia="DejaVuSerifCondensed" w:cs="DejaVuSerifCondensed"/>
          <w:color w:val="000000"/>
          <w:szCs w:val="18"/>
        </w:rPr>
        <w:t>De </w:t>
      </w:r>
      <w:bookmarkStart w:name="_Hlk225930119" w:id="5"/>
      <w:r w:rsidRPr="00F4508B">
        <w:rPr>
          <w:rFonts w:eastAsia="DejaVuSerifCondensed" w:cs="DejaVuSerifCondensed"/>
          <w:color w:val="000000"/>
          <w:szCs w:val="18"/>
        </w:rPr>
        <w:t>Wet verbetering beschikbaarheid jeugdzorg</w:t>
      </w:r>
      <w:r>
        <w:rPr>
          <w:rFonts w:eastAsia="DejaVuSerifCondensed" w:cs="DejaVuSerifCondensed"/>
          <w:color w:val="000000"/>
          <w:szCs w:val="18"/>
        </w:rPr>
        <w:t xml:space="preserve"> (Wvbj)</w:t>
      </w:r>
      <w:bookmarkEnd w:id="5"/>
      <w:r w:rsidRPr="00F4508B">
        <w:rPr>
          <w:rFonts w:eastAsia="DejaVuSerifCondensed" w:cs="DejaVuSerifCondensed"/>
          <w:color w:val="000000"/>
          <w:szCs w:val="18"/>
        </w:rPr>
        <w:t>, die op 1 januari 2026 </w:t>
      </w:r>
      <w:r>
        <w:rPr>
          <w:rFonts w:eastAsia="DejaVuSerifCondensed" w:cs="DejaVuSerifCondensed"/>
          <w:color w:val="000000"/>
          <w:szCs w:val="18"/>
        </w:rPr>
        <w:t xml:space="preserve">inwerking is getreden stelt bovendien strengere eisen aan de </w:t>
      </w:r>
      <w:r w:rsidRPr="00F4508B">
        <w:rPr>
          <w:rFonts w:eastAsia="DejaVuSerifCondensed" w:cs="DejaVuSerifCondensed"/>
          <w:color w:val="000000"/>
          <w:szCs w:val="18"/>
        </w:rPr>
        <w:t xml:space="preserve">bestuursstructuur en </w:t>
      </w:r>
      <w:r>
        <w:rPr>
          <w:rFonts w:eastAsia="DejaVuSerifCondensed" w:cs="DejaVuSerifCondensed"/>
          <w:color w:val="000000"/>
          <w:szCs w:val="18"/>
        </w:rPr>
        <w:t xml:space="preserve">een transparante </w:t>
      </w:r>
      <w:r w:rsidRPr="00F4508B">
        <w:rPr>
          <w:rFonts w:eastAsia="DejaVuSerifCondensed" w:cs="DejaVuSerifCondensed"/>
          <w:color w:val="000000"/>
          <w:szCs w:val="18"/>
        </w:rPr>
        <w:t>financiële bedrijfsvoering van jeugdhulpaanbieders en gecertificeerde instellingen door de eis van een intern toezichthouder, transparante financiële bedrijfsvoering en openbare jaarverantwoording</w:t>
      </w:r>
      <w:r>
        <w:rPr>
          <w:rFonts w:eastAsia="DejaVuSerifCondensed" w:cs="DejaVuSerifCondensed"/>
          <w:color w:val="000000"/>
          <w:szCs w:val="18"/>
        </w:rPr>
        <w:t xml:space="preserve">. </w:t>
      </w:r>
    </w:p>
    <w:p w:rsidR="00CF2A5D" w:rsidP="00CF2A5D" w:rsidRDefault="00CF2A5D" w14:paraId="34D2C4CA"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14D45ADE" w14:textId="77777777">
      <w:pPr>
        <w:suppressAutoHyphens/>
        <w:autoSpaceDE w:val="0"/>
        <w:autoSpaceDN w:val="0"/>
        <w:adjustRightInd w:val="0"/>
        <w:spacing w:line="240" w:lineRule="auto"/>
        <w:rPr>
          <w:rFonts w:eastAsia="DejaVuSerifCondensed" w:cs="DejaVuSerifCondensed"/>
          <w:color w:val="000000"/>
          <w:szCs w:val="18"/>
        </w:rPr>
      </w:pPr>
      <w:r w:rsidRPr="004D2160">
        <w:rPr>
          <w:rFonts w:eastAsia="DejaVuSerifCondensed" w:cs="DejaVuSerifCondensed"/>
          <w:color w:val="000000"/>
          <w:szCs w:val="18"/>
        </w:rPr>
        <w:t xml:space="preserve">Ook het wetsvoorstel </w:t>
      </w:r>
      <w:bookmarkStart w:name="_Hlk225930131" w:id="6"/>
      <w:r>
        <w:rPr>
          <w:rFonts w:eastAsia="DejaVuSerifCondensed" w:cs="DejaVuSerifCondensed"/>
          <w:color w:val="000000"/>
          <w:szCs w:val="18"/>
        </w:rPr>
        <w:t xml:space="preserve">Wet </w:t>
      </w:r>
      <w:r w:rsidRPr="004D2160">
        <w:rPr>
          <w:rFonts w:eastAsia="DejaVuSerifCondensed" w:cs="DejaVuSerifCondensed"/>
          <w:color w:val="000000"/>
          <w:szCs w:val="18"/>
        </w:rPr>
        <w:t>integere bedrijfsvoering zorg- en jeugdhulpaanbieders</w:t>
      </w:r>
      <w:r>
        <w:rPr>
          <w:rFonts w:eastAsia="DejaVuSerifCondensed" w:cs="DejaVuSerifCondensed"/>
          <w:color w:val="000000"/>
          <w:szCs w:val="18"/>
        </w:rPr>
        <w:t xml:space="preserve"> (Wibz)</w:t>
      </w:r>
      <w:bookmarkEnd w:id="6"/>
      <w:r w:rsidRPr="004D2160">
        <w:rPr>
          <w:rFonts w:eastAsia="DejaVuSerifCondensed" w:cs="DejaVuSerifCondensed"/>
          <w:color w:val="000000"/>
          <w:szCs w:val="18"/>
        </w:rPr>
        <w:t xml:space="preserve">, dat momenteel </w:t>
      </w:r>
      <w:r>
        <w:rPr>
          <w:rFonts w:eastAsia="DejaVuSerifCondensed" w:cs="DejaVuSerifCondensed"/>
          <w:color w:val="000000"/>
          <w:szCs w:val="18"/>
        </w:rPr>
        <w:t>in voorbereiding is</w:t>
      </w:r>
      <w:r w:rsidRPr="004D2160">
        <w:rPr>
          <w:rFonts w:eastAsia="DejaVuSerifCondensed" w:cs="DejaVuSerifCondensed"/>
          <w:color w:val="000000"/>
          <w:szCs w:val="18"/>
        </w:rPr>
        <w:t xml:space="preserve">, </w:t>
      </w:r>
      <w:r>
        <w:rPr>
          <w:rFonts w:eastAsia="DejaVuSerifCondensed" w:cs="DejaVuSerifCondensed"/>
          <w:color w:val="000000"/>
          <w:szCs w:val="18"/>
        </w:rPr>
        <w:t xml:space="preserve">beoogt extra voorwaarden en verplichting te stellen aan de bedrijfsvoering van aanbieders. De voorwaarden en verplichting hebben betrekking op het uitkeren van winst, het aantrekken of </w:t>
      </w:r>
      <w:r>
        <w:rPr>
          <w:rFonts w:eastAsia="DejaVuSerifCondensed" w:cs="DejaVuSerifCondensed"/>
          <w:color w:val="000000"/>
          <w:szCs w:val="18"/>
        </w:rPr>
        <w:lastRenderedPageBreak/>
        <w:t>terugbetalen van eigen of vreemd vermogen en op van betekenis zijnde transacties met verbonden partijen.</w:t>
      </w:r>
    </w:p>
    <w:p w:rsidR="00CF2A5D" w:rsidP="00CF2A5D" w:rsidRDefault="00CF2A5D" w14:paraId="31AEB630" w14:textId="77777777">
      <w:pPr>
        <w:suppressAutoHyphens/>
        <w:autoSpaceDE w:val="0"/>
        <w:autoSpaceDN w:val="0"/>
        <w:adjustRightInd w:val="0"/>
        <w:spacing w:line="240" w:lineRule="auto"/>
        <w:rPr>
          <w:rFonts w:eastAsia="DejaVuSerifCondensed" w:cs="DejaVuSerifCondensed"/>
          <w:color w:val="000000"/>
          <w:szCs w:val="18"/>
        </w:rPr>
      </w:pPr>
    </w:p>
    <w:p w:rsidR="00CF2A5D" w:rsidP="00CF2A5D" w:rsidRDefault="00CF2A5D" w14:paraId="16902A7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het </w:t>
      </w:r>
      <w:bookmarkStart w:name="_Hlk225930168" w:id="7"/>
      <w:r w:rsidRPr="00DA1CDE">
        <w:rPr>
          <w:rFonts w:eastAsia="DejaVuSerifCondensed" w:cs="DejaVuSerifCondensed"/>
          <w:color w:val="000000"/>
          <w:szCs w:val="18"/>
        </w:rPr>
        <w:t xml:space="preserve">Aanvullend Zorg- en Welzijnsakkoord </w:t>
      </w:r>
      <w:r>
        <w:rPr>
          <w:rFonts w:eastAsia="DejaVuSerifCondensed" w:cs="DejaVuSerifCondensed"/>
          <w:color w:val="000000"/>
          <w:szCs w:val="18"/>
        </w:rPr>
        <w:t>(</w:t>
      </w:r>
      <w:r w:rsidRPr="008F5287">
        <w:rPr>
          <w:rFonts w:eastAsia="DejaVuSerifCondensed" w:cs="DejaVuSerifCondensed"/>
          <w:color w:val="000000"/>
          <w:szCs w:val="18"/>
        </w:rPr>
        <w:t>AZWA</w:t>
      </w:r>
      <w:r>
        <w:rPr>
          <w:rFonts w:eastAsia="DejaVuSerifCondensed" w:cs="DejaVuSerifCondensed"/>
          <w:color w:val="000000"/>
          <w:szCs w:val="18"/>
        </w:rPr>
        <w:t xml:space="preserve">) </w:t>
      </w:r>
      <w:bookmarkEnd w:id="7"/>
      <w:r>
        <w:rPr>
          <w:rFonts w:eastAsia="DejaVuSerifCondensed" w:cs="DejaVuSerifCondensed"/>
          <w:color w:val="000000"/>
          <w:szCs w:val="18"/>
        </w:rPr>
        <w:t xml:space="preserve">zijn </w:t>
      </w:r>
      <w:r w:rsidRPr="008F5287">
        <w:rPr>
          <w:rFonts w:eastAsia="DejaVuSerifCondensed" w:cs="DejaVuSerifCondensed"/>
          <w:color w:val="000000"/>
          <w:szCs w:val="18"/>
        </w:rPr>
        <w:t xml:space="preserve">afspraken </w:t>
      </w:r>
      <w:r>
        <w:rPr>
          <w:rFonts w:eastAsia="DejaVuSerifCondensed" w:cs="DejaVuSerifCondensed"/>
          <w:color w:val="000000"/>
          <w:szCs w:val="18"/>
        </w:rPr>
        <w:t xml:space="preserve">gemaakt over </w:t>
      </w:r>
      <w:r w:rsidRPr="008F5287">
        <w:rPr>
          <w:rFonts w:eastAsia="DejaVuSerifCondensed" w:cs="DejaVuSerifCondensed"/>
          <w:color w:val="000000"/>
          <w:szCs w:val="18"/>
        </w:rPr>
        <w:t xml:space="preserve">een breed, integraal pakket van maatregelen gericht op het voorkomen, stoppen en bestraffen van zorgfraude. </w:t>
      </w:r>
      <w:r>
        <w:rPr>
          <w:rFonts w:eastAsia="DejaVuSerifCondensed" w:cs="DejaVuSerifCondensed"/>
          <w:color w:val="000000"/>
          <w:szCs w:val="18"/>
        </w:rPr>
        <w:t xml:space="preserve">Onder andere is in het AZWA opgenomen dat het (gemeentelijk) toezicht op de jeugdhulp verstevigd en geprofessionaliseerd zal worden en dat hiertoe een stimuleringsprogramma wordt opgezet. </w:t>
      </w:r>
      <w:bookmarkStart w:name="_Hlk225930190" w:id="8"/>
      <w:r>
        <w:rPr>
          <w:rFonts w:eastAsia="DejaVuSerifCondensed" w:cs="DejaVuSerifCondensed"/>
          <w:color w:val="000000"/>
          <w:szCs w:val="18"/>
        </w:rPr>
        <w:t xml:space="preserve">Daarnaast is in het AZWA en de Hervormingsagenda Jeugd afgesproken dat verkend wordt of voor jeugdhulpaanbieders een vergunningsplicht ingevoerd dient te worden. </w:t>
      </w:r>
      <w:bookmarkEnd w:id="8"/>
      <w:r w:rsidRPr="008F5287">
        <w:rPr>
          <w:rFonts w:eastAsia="DejaVuSerifCondensed" w:cs="DejaVuSerifCondensed"/>
          <w:color w:val="000000"/>
          <w:szCs w:val="18"/>
        </w:rPr>
        <w:t>Ik werk samen met branche- en beroepsorganisaties, inkopers van zorg, toezichthouders en opsporingsinstanties hard aan de uitwerking van deze maatregelen. We zetten erop in dat ze zo spoedig mogelijk en zoveel mogelijk effect hebben.</w:t>
      </w:r>
      <w:r>
        <w:rPr>
          <w:rFonts w:eastAsia="DejaVuSerifCondensed" w:cs="DejaVuSerifCondensed"/>
          <w:color w:val="000000"/>
          <w:szCs w:val="18"/>
        </w:rPr>
        <w:t xml:space="preserve"> </w:t>
      </w:r>
    </w:p>
    <w:p w:rsidR="00CF2A5D" w:rsidP="00CF2A5D" w:rsidRDefault="00CF2A5D" w14:paraId="33BA5866" w14:textId="77777777">
      <w:pPr>
        <w:suppressAutoHyphens/>
        <w:autoSpaceDE w:val="0"/>
        <w:autoSpaceDN w:val="0"/>
        <w:adjustRightInd w:val="0"/>
        <w:spacing w:line="240" w:lineRule="auto"/>
        <w:rPr>
          <w:rFonts w:eastAsia="DejaVuSerifCondensed" w:cs="DejaVuSerifCondensed"/>
          <w:color w:val="000000"/>
          <w:szCs w:val="18"/>
        </w:rPr>
      </w:pPr>
    </w:p>
    <w:p w:rsidRPr="003A783C" w:rsidR="00CF2A5D" w:rsidP="00CF2A5D" w:rsidRDefault="00CF2A5D" w14:paraId="0EDDFEE0" w14:textId="77777777">
      <w:pPr>
        <w:suppressAutoHyphens/>
        <w:autoSpaceDE w:val="0"/>
        <w:autoSpaceDN w:val="0"/>
        <w:adjustRightInd w:val="0"/>
        <w:spacing w:line="240" w:lineRule="auto"/>
        <w:rPr>
          <w:rFonts w:eastAsia="DejaVuSerifCondensed" w:cs="DejaVuSerifCondensed"/>
          <w:color w:val="000000"/>
          <w:szCs w:val="18"/>
        </w:rPr>
      </w:pPr>
      <w:r w:rsidRPr="003A783C">
        <w:rPr>
          <w:rFonts w:eastAsia="DejaVuSerifCondensed" w:cs="DejaVuSerifCondensed"/>
          <w:color w:val="000000"/>
          <w:szCs w:val="18"/>
        </w:rPr>
        <w:t xml:space="preserve">In het coalitieakkoord is aanvullend daarop </w:t>
      </w:r>
      <w:r>
        <w:rPr>
          <w:rFonts w:eastAsia="DejaVuSerifCondensed" w:cs="DejaVuSerifCondensed"/>
          <w:color w:val="000000"/>
          <w:szCs w:val="18"/>
        </w:rPr>
        <w:t>over zorgfraude a</w:t>
      </w:r>
      <w:r w:rsidRPr="003A783C">
        <w:rPr>
          <w:rFonts w:eastAsia="DejaVuSerifCondensed" w:cs="DejaVuSerifCondensed"/>
          <w:color w:val="000000"/>
          <w:szCs w:val="18"/>
        </w:rPr>
        <w:t>fgesproken dat</w:t>
      </w:r>
      <w:r>
        <w:rPr>
          <w:rFonts w:eastAsia="DejaVuSerifCondensed" w:cs="DejaVuSerifCondensed"/>
          <w:color w:val="000000"/>
          <w:szCs w:val="18"/>
        </w:rPr>
        <w:t>:</w:t>
      </w:r>
    </w:p>
    <w:p w:rsidR="00CF2A5D" w:rsidP="00CF2A5D" w:rsidRDefault="00CF2A5D" w14:paraId="7587853A"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225930904" w:id="9"/>
      <w:r w:rsidRPr="003A783C">
        <w:rPr>
          <w:rFonts w:ascii="Verdana" w:hAnsi="Verdana" w:eastAsia="DejaVuSerifCondensed" w:cs="DejaVuSerifCondensed"/>
          <w:color w:val="000000"/>
          <w:kern w:val="0"/>
          <w:sz w:val="18"/>
          <w:szCs w:val="18"/>
        </w:rPr>
        <w:t xml:space="preserve">het Informatieknooppunt Zorgfraude (IKZ) </w:t>
      </w:r>
      <w:bookmarkEnd w:id="9"/>
      <w:r w:rsidRPr="003A783C">
        <w:rPr>
          <w:rFonts w:ascii="Verdana" w:hAnsi="Verdana" w:eastAsia="DejaVuSerifCondensed" w:cs="DejaVuSerifCondensed"/>
          <w:color w:val="000000"/>
          <w:kern w:val="0"/>
          <w:sz w:val="18"/>
          <w:szCs w:val="18"/>
        </w:rPr>
        <w:t>meer gegevens kan uitwisselen; er meer strafrechtelijk wordt vervolgd;</w:t>
      </w:r>
    </w:p>
    <w:p w:rsidR="00CF2A5D" w:rsidP="00CF2A5D" w:rsidRDefault="00CF2A5D" w14:paraId="6B0F0890"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fraudeurs niet meer in de zorg mogen werken;</w:t>
      </w:r>
    </w:p>
    <w:p w:rsidR="00CF2A5D" w:rsidP="00CF2A5D" w:rsidRDefault="00CF2A5D" w14:paraId="3AC87E50"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 xml:space="preserve">toezichthouders meer bevoegdheden krijgen, om overnames stil te leggen of op te treden tegen schimmige constructies; </w:t>
      </w:r>
    </w:p>
    <w:p w:rsidR="00CF2A5D" w:rsidP="00CF2A5D" w:rsidRDefault="00CF2A5D" w14:paraId="38A2A299"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de Kamer van Koophandel hogere eisen kan stellen; en</w:t>
      </w:r>
    </w:p>
    <w:p w:rsidR="00CF2A5D" w:rsidP="00CF2A5D" w:rsidRDefault="00CF2A5D" w14:paraId="524491C3" w14:textId="77777777">
      <w:pPr>
        <w:pStyle w:val="Lijstalinea"/>
        <w:numPr>
          <w:ilvl w:val="0"/>
          <w:numId w:val="1"/>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 xml:space="preserve">een Taskforce zorgfraude wordt opgericht. </w:t>
      </w:r>
    </w:p>
    <w:p w:rsidR="00CF2A5D" w:rsidP="00CF2A5D" w:rsidRDefault="00CF2A5D" w14:paraId="2B98B8F0" w14:textId="77777777">
      <w:pPr>
        <w:suppressAutoHyphens/>
      </w:pPr>
    </w:p>
    <w:p w:rsidR="00D838E9" w:rsidRDefault="00D838E9" w14:paraId="1CFB9386" w14:textId="77777777"/>
    <w:sectPr w:rsidR="00D838E9" w:rsidSect="00CF2A5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15DB" w14:textId="77777777" w:rsidR="00CF2A5D" w:rsidRDefault="00CF2A5D" w:rsidP="00CF2A5D">
      <w:pPr>
        <w:spacing w:after="0" w:line="240" w:lineRule="auto"/>
      </w:pPr>
      <w:r>
        <w:separator/>
      </w:r>
    </w:p>
  </w:endnote>
  <w:endnote w:type="continuationSeparator" w:id="0">
    <w:p w14:paraId="56ED8C23" w14:textId="77777777" w:rsidR="00CF2A5D" w:rsidRDefault="00CF2A5D" w:rsidP="00CF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571" w14:textId="77777777" w:rsidR="00CF2A5D" w:rsidRPr="00CF2A5D" w:rsidRDefault="00CF2A5D" w:rsidP="00CF2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FF0F" w14:textId="77777777" w:rsidR="00CF2A5D" w:rsidRPr="00CF2A5D" w:rsidRDefault="00CF2A5D" w:rsidP="00CF2A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25B2" w14:textId="77777777" w:rsidR="00CF2A5D" w:rsidRPr="00CF2A5D" w:rsidRDefault="00CF2A5D" w:rsidP="00CF2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28DD" w14:textId="77777777" w:rsidR="00CF2A5D" w:rsidRDefault="00CF2A5D" w:rsidP="00CF2A5D">
      <w:pPr>
        <w:spacing w:after="0" w:line="240" w:lineRule="auto"/>
      </w:pPr>
      <w:r>
        <w:separator/>
      </w:r>
    </w:p>
  </w:footnote>
  <w:footnote w:type="continuationSeparator" w:id="0">
    <w:p w14:paraId="717AAF9B" w14:textId="77777777" w:rsidR="00CF2A5D" w:rsidRDefault="00CF2A5D" w:rsidP="00CF2A5D">
      <w:pPr>
        <w:spacing w:after="0" w:line="240" w:lineRule="auto"/>
      </w:pPr>
      <w:r>
        <w:continuationSeparator/>
      </w:r>
    </w:p>
  </w:footnote>
  <w:footnote w:id="1">
    <w:p w14:paraId="01406541" w14:textId="77777777" w:rsidR="00CF2A5D" w:rsidRPr="00B8412C" w:rsidRDefault="00CF2A5D" w:rsidP="00CF2A5D">
      <w:pPr>
        <w:autoSpaceDE w:val="0"/>
        <w:autoSpaceDN w:val="0"/>
        <w:adjustRightInd w:val="0"/>
        <w:spacing w:line="240" w:lineRule="auto"/>
        <w:rPr>
          <w:rFonts w:eastAsia="DejaVuSerifCondensed" w:cs="DejaVuSerifCondensed"/>
          <w:color w:val="000000"/>
          <w:sz w:val="16"/>
          <w:szCs w:val="16"/>
        </w:rPr>
      </w:pPr>
      <w:r w:rsidRPr="00B8412C">
        <w:rPr>
          <w:rStyle w:val="Voetnootmarkering"/>
          <w:sz w:val="16"/>
          <w:szCs w:val="16"/>
        </w:rPr>
        <w:footnoteRef/>
      </w:r>
      <w:r w:rsidRPr="00B8412C">
        <w:rPr>
          <w:sz w:val="16"/>
          <w:szCs w:val="16"/>
        </w:rPr>
        <w:t xml:space="preserve"> Tweede Kamer, vergaderjaar 2024–2025, 28 828, nr. 161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E5B9" w14:textId="77777777" w:rsidR="00CF2A5D" w:rsidRPr="00CF2A5D" w:rsidRDefault="00CF2A5D" w:rsidP="00CF2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F747" w14:textId="77777777" w:rsidR="00CF2A5D" w:rsidRPr="00CF2A5D" w:rsidRDefault="00CF2A5D" w:rsidP="00CF2A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6C88" w14:textId="77777777" w:rsidR="00CF2A5D" w:rsidRPr="00CF2A5D" w:rsidRDefault="00CF2A5D" w:rsidP="00CF2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835B1"/>
    <w:multiLevelType w:val="hybridMultilevel"/>
    <w:tmpl w:val="F042C2EC"/>
    <w:lvl w:ilvl="0" w:tplc="0710392A">
      <w:start w:val="1"/>
      <w:numFmt w:val="bullet"/>
      <w:lvlText w:val=""/>
      <w:lvlJc w:val="left"/>
      <w:pPr>
        <w:ind w:left="720" w:hanging="360"/>
      </w:pPr>
      <w:rPr>
        <w:rFonts w:ascii="Symbol" w:hAnsi="Symbol" w:hint="default"/>
      </w:rPr>
    </w:lvl>
    <w:lvl w:ilvl="1" w:tplc="94228B86" w:tentative="1">
      <w:start w:val="1"/>
      <w:numFmt w:val="bullet"/>
      <w:lvlText w:val="o"/>
      <w:lvlJc w:val="left"/>
      <w:pPr>
        <w:ind w:left="1440" w:hanging="360"/>
      </w:pPr>
      <w:rPr>
        <w:rFonts w:ascii="Courier New" w:hAnsi="Courier New" w:cs="Courier New" w:hint="default"/>
      </w:rPr>
    </w:lvl>
    <w:lvl w:ilvl="2" w:tplc="349C8AE6" w:tentative="1">
      <w:start w:val="1"/>
      <w:numFmt w:val="bullet"/>
      <w:lvlText w:val=""/>
      <w:lvlJc w:val="left"/>
      <w:pPr>
        <w:ind w:left="2160" w:hanging="360"/>
      </w:pPr>
      <w:rPr>
        <w:rFonts w:ascii="Wingdings" w:hAnsi="Wingdings" w:hint="default"/>
      </w:rPr>
    </w:lvl>
    <w:lvl w:ilvl="3" w:tplc="386254EA" w:tentative="1">
      <w:start w:val="1"/>
      <w:numFmt w:val="bullet"/>
      <w:lvlText w:val=""/>
      <w:lvlJc w:val="left"/>
      <w:pPr>
        <w:ind w:left="2880" w:hanging="360"/>
      </w:pPr>
      <w:rPr>
        <w:rFonts w:ascii="Symbol" w:hAnsi="Symbol" w:hint="default"/>
      </w:rPr>
    </w:lvl>
    <w:lvl w:ilvl="4" w:tplc="2AE291C0" w:tentative="1">
      <w:start w:val="1"/>
      <w:numFmt w:val="bullet"/>
      <w:lvlText w:val="o"/>
      <w:lvlJc w:val="left"/>
      <w:pPr>
        <w:ind w:left="3600" w:hanging="360"/>
      </w:pPr>
      <w:rPr>
        <w:rFonts w:ascii="Courier New" w:hAnsi="Courier New" w:cs="Courier New" w:hint="default"/>
      </w:rPr>
    </w:lvl>
    <w:lvl w:ilvl="5" w:tplc="02BE6D4C" w:tentative="1">
      <w:start w:val="1"/>
      <w:numFmt w:val="bullet"/>
      <w:lvlText w:val=""/>
      <w:lvlJc w:val="left"/>
      <w:pPr>
        <w:ind w:left="4320" w:hanging="360"/>
      </w:pPr>
      <w:rPr>
        <w:rFonts w:ascii="Wingdings" w:hAnsi="Wingdings" w:hint="default"/>
      </w:rPr>
    </w:lvl>
    <w:lvl w:ilvl="6" w:tplc="734A723C" w:tentative="1">
      <w:start w:val="1"/>
      <w:numFmt w:val="bullet"/>
      <w:lvlText w:val=""/>
      <w:lvlJc w:val="left"/>
      <w:pPr>
        <w:ind w:left="5040" w:hanging="360"/>
      </w:pPr>
      <w:rPr>
        <w:rFonts w:ascii="Symbol" w:hAnsi="Symbol" w:hint="default"/>
      </w:rPr>
    </w:lvl>
    <w:lvl w:ilvl="7" w:tplc="DDF6B3DC" w:tentative="1">
      <w:start w:val="1"/>
      <w:numFmt w:val="bullet"/>
      <w:lvlText w:val="o"/>
      <w:lvlJc w:val="left"/>
      <w:pPr>
        <w:ind w:left="5760" w:hanging="360"/>
      </w:pPr>
      <w:rPr>
        <w:rFonts w:ascii="Courier New" w:hAnsi="Courier New" w:cs="Courier New" w:hint="default"/>
      </w:rPr>
    </w:lvl>
    <w:lvl w:ilvl="8" w:tplc="809C67AA" w:tentative="1">
      <w:start w:val="1"/>
      <w:numFmt w:val="bullet"/>
      <w:lvlText w:val=""/>
      <w:lvlJc w:val="left"/>
      <w:pPr>
        <w:ind w:left="6480" w:hanging="360"/>
      </w:pPr>
      <w:rPr>
        <w:rFonts w:ascii="Wingdings" w:hAnsi="Wingdings" w:hint="default"/>
      </w:rPr>
    </w:lvl>
  </w:abstractNum>
  <w:num w:numId="1" w16cid:durableId="22402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5D"/>
    <w:rsid w:val="00016741"/>
    <w:rsid w:val="00CF2A5D"/>
    <w:rsid w:val="00D83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B3C4"/>
  <w15:chartTrackingRefBased/>
  <w15:docId w15:val="{D50BC31C-4B0F-4693-8BBE-CD34499B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A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2A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2A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2A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2A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2A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A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A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A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A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2A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2A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2A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2A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2A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A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A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A5D"/>
    <w:rPr>
      <w:rFonts w:eastAsiaTheme="majorEastAsia" w:cstheme="majorBidi"/>
      <w:color w:val="272727" w:themeColor="text1" w:themeTint="D8"/>
    </w:rPr>
  </w:style>
  <w:style w:type="paragraph" w:styleId="Titel">
    <w:name w:val="Title"/>
    <w:basedOn w:val="Standaard"/>
    <w:next w:val="Standaard"/>
    <w:link w:val="TitelChar"/>
    <w:uiPriority w:val="10"/>
    <w:qFormat/>
    <w:rsid w:val="00CF2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A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A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A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A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A5D"/>
    <w:rPr>
      <w:i/>
      <w:iCs/>
      <w:color w:val="404040" w:themeColor="text1" w:themeTint="BF"/>
    </w:rPr>
  </w:style>
  <w:style w:type="paragraph" w:styleId="Lijstalinea">
    <w:name w:val="List Paragraph"/>
    <w:basedOn w:val="Standaard"/>
    <w:uiPriority w:val="34"/>
    <w:qFormat/>
    <w:rsid w:val="00CF2A5D"/>
    <w:pPr>
      <w:ind w:left="720"/>
      <w:contextualSpacing/>
    </w:pPr>
  </w:style>
  <w:style w:type="character" w:styleId="Intensievebenadrukking">
    <w:name w:val="Intense Emphasis"/>
    <w:basedOn w:val="Standaardalinea-lettertype"/>
    <w:uiPriority w:val="21"/>
    <w:qFormat/>
    <w:rsid w:val="00CF2A5D"/>
    <w:rPr>
      <w:i/>
      <w:iCs/>
      <w:color w:val="2F5496" w:themeColor="accent1" w:themeShade="BF"/>
    </w:rPr>
  </w:style>
  <w:style w:type="paragraph" w:styleId="Duidelijkcitaat">
    <w:name w:val="Intense Quote"/>
    <w:basedOn w:val="Standaard"/>
    <w:next w:val="Standaard"/>
    <w:link w:val="DuidelijkcitaatChar"/>
    <w:uiPriority w:val="30"/>
    <w:qFormat/>
    <w:rsid w:val="00CF2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2A5D"/>
    <w:rPr>
      <w:i/>
      <w:iCs/>
      <w:color w:val="2F5496" w:themeColor="accent1" w:themeShade="BF"/>
    </w:rPr>
  </w:style>
  <w:style w:type="character" w:styleId="Intensieveverwijzing">
    <w:name w:val="Intense Reference"/>
    <w:basedOn w:val="Standaardalinea-lettertype"/>
    <w:uiPriority w:val="32"/>
    <w:qFormat/>
    <w:rsid w:val="00CF2A5D"/>
    <w:rPr>
      <w:b/>
      <w:bCs/>
      <w:smallCaps/>
      <w:color w:val="2F5496" w:themeColor="accent1" w:themeShade="BF"/>
      <w:spacing w:val="5"/>
    </w:rPr>
  </w:style>
  <w:style w:type="paragraph" w:customStyle="1" w:styleId="Afzendgegevens">
    <w:name w:val="Afzendgegevens"/>
    <w:basedOn w:val="Standaard"/>
    <w:rsid w:val="00CF2A5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F2A5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F2A5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F2A5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F2A5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F2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1241</ap:Words>
  <ap:Characters>6829</ap:Characters>
  <ap:DocSecurity>0</ap:DocSecurity>
  <ap:Lines>56</ap:Lines>
  <ap:Paragraphs>16</ap:Paragraphs>
  <ap:ScaleCrop>false</ap:ScaleCrop>
  <ap:LinksUpToDate>false</ap:LinksUpToDate>
  <ap:CharactersWithSpaces>8054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2026-04-10T07:00:00.0000000Z</dcterms:created>
  <dcterms:modified xsi:type="dcterms:W3CDTF">2026-04-10T07:01:00.0000000Z</dcterms:modified>
  <version/>
  <category/>
</coreProperties>
</file>