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F3F35" w:rsidTr="00D9561B" w14:paraId="3CC9B74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E5039" w14:paraId="602095E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E5039" w14:paraId="5D238845" w14:textId="77777777">
            <w:r>
              <w:t>Postbus 20018</w:t>
            </w:r>
          </w:p>
          <w:p w:rsidR="008E3932" w:rsidP="00D9561B" w:rsidRDefault="00EE5039" w14:paraId="372FB89A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F3F35" w:rsidTr="00FF66F9" w14:paraId="1979593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E5039" w14:paraId="2187DAC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40F1F" w14:paraId="73E0FDE6" w14:textId="66C609EC">
            <w:pPr>
              <w:rPr>
                <w:lang w:eastAsia="en-US"/>
              </w:rPr>
            </w:pPr>
            <w:r>
              <w:rPr>
                <w:lang w:eastAsia="en-US"/>
              </w:rPr>
              <w:t>9 april 2026</w:t>
            </w:r>
          </w:p>
        </w:tc>
      </w:tr>
      <w:tr w:rsidR="003F3F35" w:rsidTr="00FF66F9" w14:paraId="107ADEB2" w14:textId="77777777">
        <w:trPr>
          <w:trHeight w:val="368"/>
        </w:trPr>
        <w:tc>
          <w:tcPr>
            <w:tcW w:w="929" w:type="dxa"/>
          </w:tcPr>
          <w:p w:rsidR="0005404B" w:rsidP="00FF66F9" w:rsidRDefault="00EE5039" w14:paraId="5F5F715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E5039" w14:paraId="6B8CB7FA" w14:textId="477EDFA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Kamerbrief </w:t>
            </w:r>
            <w:r w:rsidR="004978F5">
              <w:rPr>
                <w:lang w:eastAsia="en-US"/>
              </w:rPr>
              <w:t xml:space="preserve">over de uitvoering van de motie van de leden Stoffer (SGP) en Claassen (Groep </w:t>
            </w:r>
            <w:proofErr w:type="spellStart"/>
            <w:r w:rsidR="004978F5">
              <w:rPr>
                <w:lang w:eastAsia="en-US"/>
              </w:rPr>
              <w:t>Markuszower</w:t>
            </w:r>
            <w:proofErr w:type="spellEnd"/>
            <w:r w:rsidR="004978F5">
              <w:rPr>
                <w:lang w:eastAsia="en-US"/>
              </w:rPr>
              <w:t>) m.b.t. nationale basisnormen voor preventie, handhaving en crisisinterventie bij onveilige situaties op universiteiten</w:t>
            </w:r>
          </w:p>
        </w:tc>
      </w:tr>
    </w:tbl>
    <w:p w:rsidR="003F3F35" w:rsidP="00DC23E4" w:rsidRDefault="001C2C36" w14:paraId="54BE034B" w14:textId="77777777">
      <w:pPr>
        <w:spacing w:line="240" w:lineRule="auto"/>
      </w:pPr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844D4" w:rsidR="003F3F35" w:rsidTr="00A421A1" w14:paraId="571B77CF" w14:textId="77777777">
        <w:tc>
          <w:tcPr>
            <w:tcW w:w="2160" w:type="dxa"/>
          </w:tcPr>
          <w:p w:rsidRPr="00F53C9D" w:rsidR="006205C0" w:rsidP="00DC23E4" w:rsidRDefault="00EE5039" w14:paraId="189129AB" w14:textId="77777777">
            <w:pPr>
              <w:pStyle w:val="Colofonkop"/>
              <w:framePr w:hSpace="0" w:wrap="auto" w:hAnchor="text" w:vAnchor="margin" w:xAlign="left" w:yAlign="inline"/>
              <w:spacing w:line="240" w:lineRule="auto"/>
            </w:pPr>
            <w:r>
              <w:t>Hoger Onderwijs en Studiefinanciering</w:t>
            </w:r>
          </w:p>
          <w:p w:rsidR="006205C0" w:rsidP="00DC23E4" w:rsidRDefault="00EE5039" w14:paraId="13F83B4C" w14:textId="77777777">
            <w:pPr>
              <w:pStyle w:val="Huisstijl-Gegeven"/>
              <w:spacing w:after="0" w:line="240" w:lineRule="auto"/>
            </w:pPr>
            <w:r>
              <w:t xml:space="preserve">Rijnstraat 50 </w:t>
            </w:r>
          </w:p>
          <w:p w:rsidR="004425A7" w:rsidP="00DC23E4" w:rsidRDefault="00EE5039" w14:paraId="35079299" w14:textId="77777777">
            <w:pPr>
              <w:pStyle w:val="Huisstijl-Gegeven"/>
              <w:spacing w:after="0" w:line="240" w:lineRule="auto"/>
            </w:pPr>
            <w:r>
              <w:t>Den Haag</w:t>
            </w:r>
          </w:p>
          <w:p w:rsidR="004425A7" w:rsidP="00DC23E4" w:rsidRDefault="00EE5039" w14:paraId="7E8FD610" w14:textId="77777777">
            <w:pPr>
              <w:pStyle w:val="Huisstijl-Gegeven"/>
              <w:spacing w:after="0" w:line="240" w:lineRule="auto"/>
            </w:pPr>
            <w:r>
              <w:t>Postbus 16375</w:t>
            </w:r>
          </w:p>
          <w:p w:rsidR="004425A7" w:rsidP="00DC23E4" w:rsidRDefault="00EE5039" w14:paraId="6F1425E3" w14:textId="77777777">
            <w:pPr>
              <w:pStyle w:val="Huisstijl-Gegeven"/>
              <w:spacing w:after="0" w:line="240" w:lineRule="auto"/>
            </w:pPr>
            <w:r>
              <w:t>2500 BJ Den Haag</w:t>
            </w:r>
          </w:p>
          <w:p w:rsidR="004425A7" w:rsidP="00DC23E4" w:rsidRDefault="00EE5039" w14:paraId="72FE5BE4" w14:textId="77777777">
            <w:pPr>
              <w:pStyle w:val="Huisstijl-Gegeven"/>
              <w:spacing w:after="90" w:line="240" w:lineRule="auto"/>
            </w:pPr>
            <w:r>
              <w:t>www.rijksoverheid.nl</w:t>
            </w:r>
          </w:p>
          <w:p w:rsidRPr="00D86CC6" w:rsidR="006205C0" w:rsidP="00DC23E4" w:rsidRDefault="00EE5039" w14:paraId="23181F5C" w14:textId="77777777">
            <w:pPr>
              <w:spacing w:line="240" w:lineRule="auto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DC23E4" w:rsidRDefault="006205C0" w14:paraId="114376BD" w14:textId="77777777">
            <w:pPr>
              <w:spacing w:line="240" w:lineRule="auto"/>
              <w:rPr>
                <w:sz w:val="13"/>
                <w:szCs w:val="13"/>
              </w:rPr>
            </w:pPr>
          </w:p>
          <w:p w:rsidR="00E40F1F" w:rsidP="00DC23E4" w:rsidRDefault="00E40F1F" w14:paraId="35658008" w14:textId="77777777">
            <w:pPr>
              <w:spacing w:line="240" w:lineRule="auto"/>
              <w:rPr>
                <w:sz w:val="13"/>
                <w:szCs w:val="13"/>
                <w:lang w:val="en-US"/>
              </w:rPr>
            </w:pPr>
          </w:p>
          <w:p w:rsidRPr="00064881" w:rsidR="00E40F1F" w:rsidP="00DC23E4" w:rsidRDefault="00E40F1F" w14:paraId="7FBB7F9C" w14:textId="349E2B29">
            <w:pPr>
              <w:spacing w:line="240" w:lineRule="auto"/>
              <w:rPr>
                <w:sz w:val="13"/>
                <w:szCs w:val="13"/>
                <w:lang w:val="en-US"/>
              </w:rPr>
            </w:pPr>
          </w:p>
        </w:tc>
      </w:tr>
      <w:tr w:rsidRPr="00E844D4" w:rsidR="003F3F35" w:rsidTr="00A421A1" w14:paraId="74A89F17" w14:textId="77777777">
        <w:trPr>
          <w:trHeight w:val="200" w:hRule="exact"/>
        </w:trPr>
        <w:tc>
          <w:tcPr>
            <w:tcW w:w="2160" w:type="dxa"/>
          </w:tcPr>
          <w:p w:rsidRPr="00064881" w:rsidR="006205C0" w:rsidP="00DC23E4" w:rsidRDefault="006205C0" w14:paraId="53D02F04" w14:textId="77777777">
            <w:pPr>
              <w:spacing w:after="90" w:line="240" w:lineRule="auto"/>
              <w:rPr>
                <w:sz w:val="13"/>
                <w:szCs w:val="13"/>
                <w:lang w:val="en-US"/>
              </w:rPr>
            </w:pPr>
          </w:p>
        </w:tc>
      </w:tr>
      <w:tr w:rsidR="003F3F35" w:rsidTr="00A421A1" w14:paraId="3DE2060D" w14:textId="77777777">
        <w:trPr>
          <w:trHeight w:val="450"/>
        </w:trPr>
        <w:tc>
          <w:tcPr>
            <w:tcW w:w="2160" w:type="dxa"/>
          </w:tcPr>
          <w:p w:rsidR="00F51A76" w:rsidP="00DC23E4" w:rsidRDefault="00EE5039" w14:paraId="03EC321D" w14:textId="77777777">
            <w:pPr>
              <w:spacing w:line="240" w:lineRule="auto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DC23E4" w:rsidRDefault="0023385F" w14:paraId="174B46A6" w14:textId="34A7B7A9">
            <w:pPr>
              <w:spacing w:line="240" w:lineRule="auto"/>
              <w:rPr>
                <w:sz w:val="13"/>
                <w:szCs w:val="13"/>
              </w:rPr>
            </w:pPr>
            <w:r w:rsidRPr="0023385F">
              <w:rPr>
                <w:sz w:val="13"/>
                <w:szCs w:val="13"/>
              </w:rPr>
              <w:t>63156357</w:t>
            </w:r>
          </w:p>
        </w:tc>
      </w:tr>
      <w:tr w:rsidR="003F3F35" w:rsidTr="00D130C0" w14:paraId="117E2EAD" w14:textId="77777777">
        <w:trPr>
          <w:trHeight w:val="113"/>
        </w:trPr>
        <w:tc>
          <w:tcPr>
            <w:tcW w:w="2160" w:type="dxa"/>
          </w:tcPr>
          <w:p w:rsidRPr="00C5333A" w:rsidR="006205C0" w:rsidP="00DC23E4" w:rsidRDefault="006205C0" w14:paraId="230EFFF5" w14:textId="4B6ECE7A">
            <w:pPr>
              <w:tabs>
                <w:tab w:val="center" w:pos="1080"/>
              </w:tabs>
              <w:spacing w:line="240" w:lineRule="auto"/>
              <w:rPr>
                <w:sz w:val="13"/>
                <w:szCs w:val="13"/>
              </w:rPr>
            </w:pPr>
          </w:p>
        </w:tc>
      </w:tr>
      <w:tr w:rsidR="003F3F35" w:rsidTr="00D130C0" w14:paraId="6B5F2F02" w14:textId="77777777">
        <w:trPr>
          <w:trHeight w:val="113"/>
        </w:trPr>
        <w:tc>
          <w:tcPr>
            <w:tcW w:w="2160" w:type="dxa"/>
          </w:tcPr>
          <w:p w:rsidRPr="00D74F66" w:rsidR="006205C0" w:rsidP="00DC23E4" w:rsidRDefault="006205C0" w14:paraId="30D16011" w14:textId="77777777">
            <w:pPr>
              <w:spacing w:after="90" w:line="240" w:lineRule="auto"/>
              <w:rPr>
                <w:sz w:val="13"/>
              </w:rPr>
            </w:pPr>
          </w:p>
        </w:tc>
      </w:tr>
    </w:tbl>
    <w:p w:rsidR="00215356" w:rsidP="00DC23E4" w:rsidRDefault="00215356" w14:paraId="3D9B60D4" w14:textId="77777777">
      <w:pPr>
        <w:spacing w:line="240" w:lineRule="auto"/>
      </w:pPr>
    </w:p>
    <w:p w:rsidR="00064881" w:rsidP="0089609E" w:rsidRDefault="00D70A70" w14:paraId="786A7ACF" w14:textId="0C7CA72D">
      <w:pPr>
        <w:contextualSpacing/>
        <w:rPr>
          <w:rFonts w:cs="Arial"/>
          <w:szCs w:val="18"/>
        </w:rPr>
      </w:pPr>
      <w:r>
        <w:rPr>
          <w:rFonts w:cs="Arial"/>
          <w:szCs w:val="18"/>
        </w:rPr>
        <w:t>Op 12 februari 2026 heeft uw Kamer een motie aangenomen die mijn ambtsvoorganger heeft ontraden t</w:t>
      </w:r>
      <w:r w:rsidRPr="00064881" w:rsidR="00064881">
        <w:rPr>
          <w:rFonts w:cs="Arial"/>
          <w:szCs w:val="18"/>
        </w:rPr>
        <w:t xml:space="preserve">ijdens de begrotingsbehandeling van </w:t>
      </w:r>
      <w:r>
        <w:rPr>
          <w:rFonts w:cs="Arial"/>
          <w:szCs w:val="18"/>
        </w:rPr>
        <w:t>OCW</w:t>
      </w:r>
      <w:r w:rsidR="00064881">
        <w:rPr>
          <w:rFonts w:cs="Arial"/>
          <w:szCs w:val="18"/>
        </w:rPr>
        <w:t xml:space="preserve">. </w:t>
      </w:r>
      <w:r>
        <w:t xml:space="preserve">Zoals gebruikelijk laat ik middels deze brief weten op welke wijze ik voornemens ben deze motie uit te voeren. </w:t>
      </w:r>
    </w:p>
    <w:p w:rsidR="00064881" w:rsidP="0089609E" w:rsidRDefault="00064881" w14:paraId="067F4B00" w14:textId="77777777">
      <w:pPr>
        <w:contextualSpacing/>
        <w:rPr>
          <w:rFonts w:cs="Arial"/>
          <w:szCs w:val="18"/>
        </w:rPr>
      </w:pPr>
    </w:p>
    <w:p w:rsidR="00064881" w:rsidP="0089609E" w:rsidRDefault="00064881" w14:paraId="45D9C9E3" w14:textId="70E8CAD8">
      <w:pPr>
        <w:contextualSpacing/>
      </w:pPr>
      <w:r>
        <w:rPr>
          <w:rFonts w:cs="Arial"/>
          <w:szCs w:val="18"/>
        </w:rPr>
        <w:t>De motie</w:t>
      </w:r>
      <w:r w:rsidR="00D70A70">
        <w:rPr>
          <w:rFonts w:cs="Arial"/>
          <w:szCs w:val="18"/>
        </w:rPr>
        <w:t xml:space="preserve">, ingediend door de leden Stoffer (SGP) en Claassen (Groep </w:t>
      </w:r>
      <w:proofErr w:type="spellStart"/>
      <w:r w:rsidR="00D70A70">
        <w:rPr>
          <w:rFonts w:cs="Arial"/>
          <w:szCs w:val="18"/>
        </w:rPr>
        <w:t>Markuszower</w:t>
      </w:r>
      <w:proofErr w:type="spellEnd"/>
      <w:r w:rsidR="00D70A70">
        <w:rPr>
          <w:rFonts w:cs="Arial"/>
          <w:szCs w:val="18"/>
        </w:rPr>
        <w:t>),</w:t>
      </w:r>
      <w:r w:rsidR="006C2348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verzoekt de regering om ‘</w:t>
      </w:r>
      <w:r w:rsidRPr="00064881">
        <w:t>duidelijke nationale basisnormen vast te stellen voor preventie,</w:t>
      </w:r>
      <w:r>
        <w:t xml:space="preserve"> h</w:t>
      </w:r>
      <w:r w:rsidRPr="00064881">
        <w:t>andhaving en crisisinterventie bij onveilige situaties op universiteiten, inclusief</w:t>
      </w:r>
      <w:r>
        <w:t xml:space="preserve"> </w:t>
      </w:r>
      <w:r w:rsidRPr="00064881">
        <w:t>heldere verantwoordelijkheden voor instellingsbesturen en effectieve samenwerking</w:t>
      </w:r>
      <w:r>
        <w:t xml:space="preserve"> </w:t>
      </w:r>
      <w:r w:rsidRPr="00064881">
        <w:t>met lokale autoriteiten, en de Kamer te informeren over implementatie en effectiviteit</w:t>
      </w:r>
      <w:r>
        <w:t>’.</w:t>
      </w:r>
      <w:r w:rsidR="00D70A70">
        <w:rPr>
          <w:rStyle w:val="Voetnootmarkering"/>
          <w:rFonts w:cs="Arial"/>
          <w:szCs w:val="18"/>
        </w:rPr>
        <w:footnoteReference w:id="1"/>
      </w:r>
      <w:r w:rsidR="00D70A70">
        <w:t xml:space="preserve"> </w:t>
      </w:r>
    </w:p>
    <w:p w:rsidR="001351FB" w:rsidP="0089609E" w:rsidRDefault="001351FB" w14:paraId="24044DAC" w14:textId="77777777">
      <w:pPr>
        <w:contextualSpacing/>
      </w:pPr>
    </w:p>
    <w:p w:rsidR="00CF5391" w:rsidP="0089609E" w:rsidRDefault="00A469E5" w14:paraId="68B61278" w14:textId="2E98C651">
      <w:pPr>
        <w:contextualSpacing/>
      </w:pPr>
      <w:r>
        <w:t>M</w:t>
      </w:r>
      <w:r w:rsidR="001351FB">
        <w:t xml:space="preserve">ijn ambtsvoorganger </w:t>
      </w:r>
      <w:r>
        <w:t xml:space="preserve">had </w:t>
      </w:r>
      <w:r w:rsidR="001351FB">
        <w:t>deze motie destijds ontraden</w:t>
      </w:r>
      <w:r>
        <w:t xml:space="preserve"> omdat </w:t>
      </w:r>
      <w:r w:rsidR="00CF5391">
        <w:t xml:space="preserve">er </w:t>
      </w:r>
      <w:r>
        <w:t>al</w:t>
      </w:r>
      <w:r w:rsidR="00CF5391">
        <w:t xml:space="preserve"> door verschillende partijen, waaronder de instellingen en </w:t>
      </w:r>
      <w:r w:rsidR="00E844D4">
        <w:t>het ministerie van OCW</w:t>
      </w:r>
      <w:r w:rsidR="00CF5391">
        <w:t xml:space="preserve">, wordt ingezet op </w:t>
      </w:r>
      <w:r w:rsidR="0089609E">
        <w:t>heldere processen en verantwoordelijkheden en betere samenwerking</w:t>
      </w:r>
      <w:r w:rsidR="001351FB">
        <w:t xml:space="preserve"> en er reeds </w:t>
      </w:r>
      <w:r w:rsidR="00CF5391">
        <w:t xml:space="preserve">gedegen </w:t>
      </w:r>
      <w:r w:rsidR="001351FB">
        <w:t xml:space="preserve">structuren bestaan om de doelen te bereiken die de motie beschrijft. </w:t>
      </w:r>
      <w:r w:rsidR="00957C66">
        <w:br/>
      </w:r>
    </w:p>
    <w:p w:rsidR="0089609E" w:rsidP="0089609E" w:rsidRDefault="006C2348" w14:paraId="5AA472EE" w14:textId="6371096F">
      <w:pPr>
        <w:contextualSpacing/>
        <w:rPr>
          <w:rFonts w:cs="Arial"/>
          <w:szCs w:val="18"/>
        </w:rPr>
      </w:pPr>
      <w:r>
        <w:rPr>
          <w:rFonts w:cs="Arial"/>
          <w:szCs w:val="18"/>
        </w:rPr>
        <w:t>We hebben in Nederland</w:t>
      </w:r>
      <w:r w:rsidR="001351FB">
        <w:rPr>
          <w:rFonts w:cs="Arial"/>
          <w:szCs w:val="18"/>
        </w:rPr>
        <w:t xml:space="preserve"> namelijk</w:t>
      </w:r>
      <w:r>
        <w:rPr>
          <w:rFonts w:cs="Arial"/>
          <w:szCs w:val="18"/>
        </w:rPr>
        <w:t xml:space="preserve"> een gedegen crisisstructuur beschikbaar </w:t>
      </w:r>
      <w:r w:rsidR="00524639">
        <w:rPr>
          <w:rFonts w:cs="Arial"/>
          <w:szCs w:val="18"/>
        </w:rPr>
        <w:t>met duidelijke normen voor opschaling</w:t>
      </w:r>
      <w:r w:rsidR="00BF7D0E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van lokaal, regionaal naar nationaal niveau</w:t>
      </w:r>
      <w:r w:rsidR="00524639">
        <w:rPr>
          <w:rFonts w:cs="Arial"/>
          <w:szCs w:val="18"/>
        </w:rPr>
        <w:t xml:space="preserve"> en waarbij tevens verantwoordelijkheden helder belegd zijn</w:t>
      </w:r>
      <w:r>
        <w:rPr>
          <w:rFonts w:cs="Arial"/>
          <w:szCs w:val="18"/>
        </w:rPr>
        <w:t xml:space="preserve">. </w:t>
      </w:r>
      <w:r w:rsidR="00AE3B5B">
        <w:rPr>
          <w:rFonts w:cs="Arial"/>
          <w:szCs w:val="18"/>
        </w:rPr>
        <w:t xml:space="preserve">In deze brief zal ik allereerst </w:t>
      </w:r>
      <w:r>
        <w:rPr>
          <w:rFonts w:cs="Arial"/>
          <w:szCs w:val="18"/>
        </w:rPr>
        <w:t>ingaan op het instellingsniveau</w:t>
      </w:r>
      <w:r w:rsidR="00AE3B5B">
        <w:rPr>
          <w:rFonts w:cs="Arial"/>
          <w:szCs w:val="18"/>
        </w:rPr>
        <w:t xml:space="preserve">, </w:t>
      </w:r>
      <w:r w:rsidR="00BF7D0E">
        <w:rPr>
          <w:rFonts w:cs="Arial"/>
          <w:szCs w:val="18"/>
        </w:rPr>
        <w:t xml:space="preserve">waarna ik inga op </w:t>
      </w:r>
      <w:r w:rsidR="00AE3B5B">
        <w:rPr>
          <w:rFonts w:cs="Arial"/>
          <w:szCs w:val="18"/>
        </w:rPr>
        <w:t>respectievelijk het lokaal, regionaal en nationaal niveau.</w:t>
      </w:r>
      <w:r w:rsidR="001351FB">
        <w:rPr>
          <w:rFonts w:cs="Arial"/>
          <w:szCs w:val="18"/>
        </w:rPr>
        <w:t xml:space="preserve"> Ook geef ik aan waar ik voor de uitvoering van deze motie een stap extra zet.</w:t>
      </w:r>
      <w:r w:rsidR="00AE3B5B">
        <w:rPr>
          <w:rFonts w:cs="Arial"/>
          <w:szCs w:val="18"/>
        </w:rPr>
        <w:br/>
      </w:r>
    </w:p>
    <w:p w:rsidRPr="00D8396E" w:rsidR="00A23C9E" w:rsidP="0089609E" w:rsidRDefault="0089609E" w14:paraId="20BBDA70" w14:textId="37A2AD18">
      <w:pPr>
        <w:contextualSpacing/>
        <w:rPr>
          <w:szCs w:val="18"/>
        </w:rPr>
      </w:pPr>
      <w:r w:rsidRPr="00F55B3D">
        <w:rPr>
          <w:rFonts w:cs="Arial"/>
          <w:szCs w:val="18"/>
          <w:u w:val="single"/>
        </w:rPr>
        <w:t>Instellingsniveau</w:t>
      </w:r>
      <w:r w:rsidRPr="00F55B3D" w:rsidR="00AE3B5B">
        <w:rPr>
          <w:rFonts w:cs="Arial"/>
          <w:szCs w:val="18"/>
          <w:u w:val="single"/>
        </w:rPr>
        <w:br/>
      </w:r>
      <w:r w:rsidR="00064881">
        <w:t>Instelling</w:t>
      </w:r>
      <w:r w:rsidR="00D70A70">
        <w:t>en</w:t>
      </w:r>
      <w:r w:rsidR="00064881">
        <w:t xml:space="preserve"> zijn verantwoordelijk voor </w:t>
      </w:r>
      <w:r w:rsidR="00D70A70">
        <w:t>een</w:t>
      </w:r>
      <w:r w:rsidR="00064881">
        <w:t xml:space="preserve"> veili</w:t>
      </w:r>
      <w:r w:rsidR="00D70A70">
        <w:t>ge leer- en werkomgeving</w:t>
      </w:r>
      <w:r w:rsidR="00064881">
        <w:t xml:space="preserve">. </w:t>
      </w:r>
      <w:r w:rsidR="00A23C9E">
        <w:t>I</w:t>
      </w:r>
      <w:r w:rsidR="00D70A70">
        <w:t>nstellingsbestuurders zetten zich hier dagelijks voor in</w:t>
      </w:r>
      <w:r w:rsidR="00A23C9E">
        <w:t xml:space="preserve">. </w:t>
      </w:r>
      <w:r w:rsidRPr="00A23C9E" w:rsidR="00A23C9E">
        <w:rPr>
          <w:szCs w:val="18"/>
        </w:rPr>
        <w:t>Gezamenlijk hebben de instellingen de ‘Richtlijn protesten’ opgesteld.</w:t>
      </w:r>
      <w:r w:rsidR="001351FB">
        <w:rPr>
          <w:szCs w:val="18"/>
        </w:rPr>
        <w:t xml:space="preserve"> </w:t>
      </w:r>
      <w:r>
        <w:rPr>
          <w:szCs w:val="18"/>
        </w:rPr>
        <w:t xml:space="preserve">Deze </w:t>
      </w:r>
      <w:r w:rsidR="003635CD">
        <w:rPr>
          <w:szCs w:val="18"/>
        </w:rPr>
        <w:t xml:space="preserve">richtlijn </w:t>
      </w:r>
      <w:r w:rsidR="001351FB">
        <w:rPr>
          <w:szCs w:val="18"/>
        </w:rPr>
        <w:t xml:space="preserve">kan worden </w:t>
      </w:r>
      <w:r w:rsidR="001351FB">
        <w:rPr>
          <w:szCs w:val="18"/>
        </w:rPr>
        <w:lastRenderedPageBreak/>
        <w:t xml:space="preserve">beschouwd als </w:t>
      </w:r>
      <w:r>
        <w:rPr>
          <w:szCs w:val="18"/>
        </w:rPr>
        <w:t xml:space="preserve">een set van </w:t>
      </w:r>
      <w:r w:rsidR="001351FB">
        <w:rPr>
          <w:szCs w:val="18"/>
        </w:rPr>
        <w:t>basisnormen</w:t>
      </w:r>
      <w:r w:rsidR="00A469E5">
        <w:rPr>
          <w:szCs w:val="18"/>
        </w:rPr>
        <w:t>;</w:t>
      </w:r>
      <w:r w:rsidR="001351FB">
        <w:rPr>
          <w:szCs w:val="18"/>
        </w:rPr>
        <w:t xml:space="preserve"> h</w:t>
      </w:r>
      <w:r w:rsidRPr="00A23C9E" w:rsidR="00A23C9E">
        <w:rPr>
          <w:szCs w:val="18"/>
        </w:rPr>
        <w:t>ierin wordt</w:t>
      </w:r>
      <w:r w:rsidR="001351FB">
        <w:rPr>
          <w:szCs w:val="18"/>
        </w:rPr>
        <w:t xml:space="preserve"> namelijk</w:t>
      </w:r>
      <w:r w:rsidRPr="00A23C9E" w:rsidR="00A23C9E">
        <w:rPr>
          <w:szCs w:val="18"/>
        </w:rPr>
        <w:t xml:space="preserve"> beschreven welke uitgangspunten er worden gehanteerd bij protesten.</w:t>
      </w:r>
      <w:r w:rsidRPr="00A23C9E" w:rsidR="00A23C9E">
        <w:rPr>
          <w:rStyle w:val="Voetnootmarkering"/>
          <w:szCs w:val="18"/>
        </w:rPr>
        <w:footnoteReference w:id="2"/>
      </w:r>
      <w:r w:rsidRPr="00A23C9E" w:rsidR="00A23C9E">
        <w:rPr>
          <w:szCs w:val="18"/>
        </w:rPr>
        <w:t xml:space="preserve"> </w:t>
      </w:r>
      <w:r w:rsidR="006C2348">
        <w:rPr>
          <w:szCs w:val="18"/>
        </w:rPr>
        <w:t>Centrale afstemming tussen instellingen over diverse veiligheidsdomeinen heeft tot verschillende handreikingen geleid waarmee</w:t>
      </w:r>
      <w:r w:rsidR="00E844D4">
        <w:rPr>
          <w:szCs w:val="18"/>
        </w:rPr>
        <w:t xml:space="preserve"> de</w:t>
      </w:r>
      <w:r w:rsidR="006C2348">
        <w:rPr>
          <w:szCs w:val="18"/>
        </w:rPr>
        <w:t xml:space="preserve"> eenduidigheid in de aanpak wordt versterkt</w:t>
      </w:r>
      <w:r w:rsidR="00687F00">
        <w:rPr>
          <w:szCs w:val="18"/>
        </w:rPr>
        <w:t>.</w:t>
      </w:r>
      <w:r w:rsidR="006C2348">
        <w:rPr>
          <w:rStyle w:val="Voetnootmarkering"/>
          <w:rFonts w:cs="Arial"/>
          <w:szCs w:val="18"/>
        </w:rPr>
        <w:footnoteReference w:id="3"/>
      </w:r>
      <w:r w:rsidR="006C2348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Mijn ambtsvoorganger heeft </w:t>
      </w:r>
      <w:r w:rsidR="006C2348">
        <w:rPr>
          <w:rFonts w:cs="Arial"/>
          <w:szCs w:val="18"/>
        </w:rPr>
        <w:t xml:space="preserve">uw Kamer </w:t>
      </w:r>
      <w:r>
        <w:rPr>
          <w:rFonts w:cs="Arial"/>
          <w:szCs w:val="18"/>
        </w:rPr>
        <w:t xml:space="preserve">hierover geïnformeerd </w:t>
      </w:r>
      <w:r w:rsidR="00E35CE2">
        <w:rPr>
          <w:rFonts w:cs="Arial"/>
          <w:szCs w:val="18"/>
        </w:rPr>
        <w:t>(</w:t>
      </w:r>
      <w:r w:rsidR="006C2348">
        <w:rPr>
          <w:rFonts w:cs="Arial"/>
          <w:szCs w:val="18"/>
        </w:rPr>
        <w:t xml:space="preserve">bijlage </w:t>
      </w:r>
      <w:r w:rsidR="00E35CE2">
        <w:rPr>
          <w:rFonts w:cs="Arial"/>
          <w:szCs w:val="18"/>
        </w:rPr>
        <w:t xml:space="preserve">bij </w:t>
      </w:r>
      <w:r w:rsidR="006C2348">
        <w:rPr>
          <w:rFonts w:cs="Arial"/>
          <w:szCs w:val="18"/>
        </w:rPr>
        <w:t>de Kamerbrief van d.d. 3 juli 2025</w:t>
      </w:r>
      <w:r w:rsidR="00E35CE2">
        <w:rPr>
          <w:rFonts w:cs="Arial"/>
          <w:szCs w:val="18"/>
        </w:rPr>
        <w:t>)</w:t>
      </w:r>
      <w:r w:rsidR="006C2348">
        <w:rPr>
          <w:rFonts w:cs="Arial"/>
          <w:szCs w:val="18"/>
        </w:rPr>
        <w:t>.</w:t>
      </w:r>
      <w:r w:rsidR="006C2348">
        <w:rPr>
          <w:rStyle w:val="Voetnootmarkering"/>
          <w:rFonts w:cs="Arial"/>
          <w:szCs w:val="18"/>
        </w:rPr>
        <w:footnoteReference w:id="4"/>
      </w:r>
      <w:r w:rsidR="006C2348">
        <w:rPr>
          <w:rFonts w:cs="Arial"/>
          <w:szCs w:val="18"/>
        </w:rPr>
        <w:t xml:space="preserve"> </w:t>
      </w:r>
      <w:r w:rsidR="00586400">
        <w:rPr>
          <w:szCs w:val="18"/>
        </w:rPr>
        <w:t>Ook voeren i</w:t>
      </w:r>
      <w:r w:rsidRPr="00A23C9E" w:rsidR="00A23C9E">
        <w:rPr>
          <w:szCs w:val="18"/>
        </w:rPr>
        <w:t>nstellingen</w:t>
      </w:r>
      <w:r w:rsidR="00586400">
        <w:rPr>
          <w:szCs w:val="18"/>
        </w:rPr>
        <w:t xml:space="preserve"> regelmatig</w:t>
      </w:r>
      <w:r w:rsidRPr="00A23C9E" w:rsidR="00A23C9E">
        <w:rPr>
          <w:szCs w:val="18"/>
        </w:rPr>
        <w:t xml:space="preserve"> risicoanalyses uit om in te schatten welke veiligheidsmaatregelen nodig zijn bij specifieke situaties. Waar nodig worden maatregelen getroffen. </w:t>
      </w:r>
      <w:r w:rsidR="00A23C9E">
        <w:rPr>
          <w:szCs w:val="18"/>
        </w:rPr>
        <w:t xml:space="preserve">Instellingen staan hierbij in nauw contact met de lokale driehoek. </w:t>
      </w:r>
      <w:r w:rsidR="00077749">
        <w:rPr>
          <w:szCs w:val="18"/>
        </w:rPr>
        <w:t xml:space="preserve">Bij </w:t>
      </w:r>
      <w:r w:rsidR="004555A3">
        <w:rPr>
          <w:szCs w:val="18"/>
        </w:rPr>
        <w:t>(</w:t>
      </w:r>
      <w:r w:rsidR="00077749">
        <w:rPr>
          <w:szCs w:val="18"/>
        </w:rPr>
        <w:t>vermoedens van</w:t>
      </w:r>
      <w:r w:rsidR="004555A3">
        <w:rPr>
          <w:szCs w:val="18"/>
        </w:rPr>
        <w:t>)</w:t>
      </w:r>
      <w:r w:rsidR="00077749">
        <w:rPr>
          <w:szCs w:val="18"/>
        </w:rPr>
        <w:t xml:space="preserve"> strafbare feiten doen instellingen aangifte, waarbij het OM gaat over vervolging. </w:t>
      </w:r>
    </w:p>
    <w:p w:rsidR="00064881" w:rsidP="0089609E" w:rsidRDefault="00064881" w14:paraId="78B651E6" w14:textId="339DBB0B">
      <w:pPr>
        <w:contextualSpacing/>
        <w:rPr>
          <w:rFonts w:cs="Arial"/>
          <w:szCs w:val="18"/>
        </w:rPr>
      </w:pPr>
    </w:p>
    <w:p w:rsidRPr="00F55B3D" w:rsidR="00E35CE2" w:rsidP="0089609E" w:rsidRDefault="00E35CE2" w14:paraId="75606FA1" w14:textId="03B321D2">
      <w:pPr>
        <w:contextualSpacing/>
        <w:rPr>
          <w:rFonts w:cs="Arial"/>
          <w:szCs w:val="18"/>
          <w:u w:val="single"/>
        </w:rPr>
      </w:pPr>
      <w:r w:rsidRPr="00F55B3D">
        <w:rPr>
          <w:rFonts w:cs="Arial"/>
          <w:szCs w:val="18"/>
          <w:u w:val="single"/>
        </w:rPr>
        <w:t>Lokaal, regionaal en nationaal niveau</w:t>
      </w:r>
    </w:p>
    <w:p w:rsidR="001351FB" w:rsidP="0089609E" w:rsidRDefault="001351FB" w14:paraId="3F011591" w14:textId="5D79E05A">
      <w:pPr>
        <w:contextualSpacing/>
        <w:rPr>
          <w:rFonts w:cs="Arial"/>
          <w:szCs w:val="18"/>
        </w:rPr>
      </w:pPr>
      <w:r>
        <w:rPr>
          <w:rFonts w:cs="Arial"/>
          <w:szCs w:val="18"/>
        </w:rPr>
        <w:t>De</w:t>
      </w:r>
      <w:r w:rsidRPr="00A23C9E" w:rsidR="00A23C9E">
        <w:rPr>
          <w:rFonts w:cs="Arial"/>
          <w:szCs w:val="18"/>
        </w:rPr>
        <w:t xml:space="preserve"> veiligheidsregio’s</w:t>
      </w:r>
      <w:r w:rsidR="00DC23E4">
        <w:rPr>
          <w:rFonts w:cs="Arial"/>
          <w:szCs w:val="18"/>
        </w:rPr>
        <w:t xml:space="preserve"> hanteren</w:t>
      </w:r>
      <w:r w:rsidRPr="00A23C9E" w:rsidR="00A23C9E">
        <w:rPr>
          <w:rFonts w:cs="Arial"/>
          <w:szCs w:val="18"/>
        </w:rPr>
        <w:t xml:space="preserve"> een landelijk uniforme GRIP-opschalingssystematiek</w:t>
      </w:r>
      <w:r w:rsidR="00A23C9E">
        <w:rPr>
          <w:rStyle w:val="Voetnootmarkering"/>
          <w:rFonts w:cs="Arial"/>
          <w:szCs w:val="18"/>
        </w:rPr>
        <w:footnoteReference w:id="5"/>
      </w:r>
      <w:r w:rsidRPr="00A23C9E" w:rsidR="00A23C9E">
        <w:rPr>
          <w:rFonts w:cs="Arial"/>
          <w:szCs w:val="18"/>
        </w:rPr>
        <w:t xml:space="preserve"> </w:t>
      </w:r>
      <w:r w:rsidR="00DC23E4">
        <w:rPr>
          <w:rFonts w:cs="Arial"/>
          <w:szCs w:val="18"/>
        </w:rPr>
        <w:t>voor de verschillende niveaus van opschaling. Hierbij dien</w:t>
      </w:r>
      <w:r w:rsidR="00A469E5">
        <w:rPr>
          <w:rFonts w:cs="Arial"/>
          <w:szCs w:val="18"/>
        </w:rPr>
        <w:t>t</w:t>
      </w:r>
      <w:r w:rsidR="00DC23E4">
        <w:rPr>
          <w:rFonts w:cs="Arial"/>
          <w:szCs w:val="18"/>
        </w:rPr>
        <w:t xml:space="preserve"> de</w:t>
      </w:r>
      <w:r w:rsidRPr="00A23C9E" w:rsidR="00A23C9E">
        <w:rPr>
          <w:rFonts w:cs="Arial"/>
          <w:szCs w:val="18"/>
        </w:rPr>
        <w:t xml:space="preserve"> Wet veiligheidsregio’s</w:t>
      </w:r>
      <w:r w:rsidR="00F9488A">
        <w:rPr>
          <w:rFonts w:cs="Arial"/>
          <w:szCs w:val="18"/>
        </w:rPr>
        <w:t xml:space="preserve"> </w:t>
      </w:r>
      <w:r w:rsidRPr="00A23C9E" w:rsidR="00A23C9E">
        <w:rPr>
          <w:rFonts w:cs="Arial"/>
          <w:szCs w:val="18"/>
        </w:rPr>
        <w:t>als w</w:t>
      </w:r>
      <w:r w:rsidR="00A23C9E">
        <w:rPr>
          <w:rFonts w:cs="Arial"/>
          <w:szCs w:val="18"/>
        </w:rPr>
        <w:t>ett</w:t>
      </w:r>
      <w:r w:rsidRPr="00A23C9E" w:rsidR="00A23C9E">
        <w:rPr>
          <w:rFonts w:cs="Arial"/>
          <w:szCs w:val="18"/>
        </w:rPr>
        <w:t>elijk kader.</w:t>
      </w:r>
      <w:r w:rsidR="00F9488A">
        <w:rPr>
          <w:rFonts w:cs="Arial"/>
          <w:szCs w:val="18"/>
        </w:rPr>
        <w:t xml:space="preserve"> </w:t>
      </w:r>
      <w:r w:rsidR="00DC23E4">
        <w:rPr>
          <w:rFonts w:cs="Arial"/>
          <w:szCs w:val="18"/>
        </w:rPr>
        <w:t>Lo</w:t>
      </w:r>
      <w:r w:rsidRPr="00A23C9E" w:rsidR="00DC23E4">
        <w:rPr>
          <w:rFonts w:cs="Arial"/>
          <w:szCs w:val="18"/>
        </w:rPr>
        <w:t>kale of regionale crisissituaties, incidenten of</w:t>
      </w:r>
      <w:r w:rsidR="00DC23E4">
        <w:rPr>
          <w:rFonts w:cs="Arial"/>
          <w:szCs w:val="18"/>
        </w:rPr>
        <w:t xml:space="preserve"> </w:t>
      </w:r>
      <w:r w:rsidRPr="00A23C9E" w:rsidR="00DC23E4">
        <w:rPr>
          <w:rFonts w:cs="Arial"/>
          <w:szCs w:val="18"/>
        </w:rPr>
        <w:t xml:space="preserve">gebeurtenissen worden </w:t>
      </w:r>
      <w:r>
        <w:rPr>
          <w:rFonts w:cs="Arial"/>
          <w:szCs w:val="18"/>
        </w:rPr>
        <w:t>normaal</w:t>
      </w:r>
      <w:r w:rsidR="00E35CE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gesproken</w:t>
      </w:r>
      <w:r w:rsidRPr="00A23C9E" w:rsidR="00DC23E4">
        <w:rPr>
          <w:rFonts w:cs="Arial"/>
          <w:szCs w:val="18"/>
        </w:rPr>
        <w:t xml:space="preserve"> opgevangen</w:t>
      </w:r>
      <w:r w:rsidR="00DC23E4">
        <w:rPr>
          <w:rFonts w:cs="Arial"/>
          <w:szCs w:val="18"/>
        </w:rPr>
        <w:t xml:space="preserve"> </w:t>
      </w:r>
      <w:r w:rsidRPr="00A23C9E" w:rsidR="00DC23E4">
        <w:rPr>
          <w:rFonts w:cs="Arial"/>
          <w:szCs w:val="18"/>
        </w:rPr>
        <w:t>door de op dat niveau opererende overheden</w:t>
      </w:r>
      <w:r w:rsidR="00DC23E4">
        <w:rPr>
          <w:rFonts w:cs="Arial"/>
          <w:szCs w:val="18"/>
        </w:rPr>
        <w:t xml:space="preserve"> of organisaties. </w:t>
      </w:r>
      <w:r w:rsidRPr="00A23C9E" w:rsidR="00DC23E4">
        <w:rPr>
          <w:rFonts w:cs="Arial"/>
          <w:szCs w:val="18"/>
        </w:rPr>
        <w:t>A</w:t>
      </w:r>
      <w:r w:rsidR="00DC23E4">
        <w:rPr>
          <w:rFonts w:cs="Arial"/>
          <w:szCs w:val="18"/>
        </w:rPr>
        <w:t>fh</w:t>
      </w:r>
      <w:r w:rsidRPr="00A23C9E" w:rsidR="00DC23E4">
        <w:rPr>
          <w:rFonts w:cs="Arial"/>
          <w:szCs w:val="18"/>
        </w:rPr>
        <w:t>ankelijk van aard en omvang kunnen</w:t>
      </w:r>
      <w:r w:rsidR="00DC23E4">
        <w:rPr>
          <w:rFonts w:cs="Arial"/>
          <w:szCs w:val="18"/>
        </w:rPr>
        <w:t xml:space="preserve"> </w:t>
      </w:r>
      <w:r w:rsidR="00BF7D0E">
        <w:rPr>
          <w:rFonts w:cs="Arial"/>
          <w:szCs w:val="18"/>
        </w:rPr>
        <w:t xml:space="preserve">hierbij </w:t>
      </w:r>
      <w:r w:rsidRPr="00A23C9E" w:rsidR="00DC23E4">
        <w:rPr>
          <w:rFonts w:cs="Arial"/>
          <w:szCs w:val="18"/>
        </w:rPr>
        <w:t>meerdere organisaties worden ingezet (horizontale</w:t>
      </w:r>
      <w:r w:rsidR="00DC23E4">
        <w:rPr>
          <w:rFonts w:cs="Arial"/>
          <w:szCs w:val="18"/>
        </w:rPr>
        <w:t xml:space="preserve"> </w:t>
      </w:r>
      <w:r w:rsidRPr="00A23C9E" w:rsidR="00DC23E4">
        <w:rPr>
          <w:rFonts w:cs="Arial"/>
          <w:szCs w:val="18"/>
        </w:rPr>
        <w:t>en/of verticale opschaling).</w:t>
      </w:r>
      <w:r w:rsidR="00DC23E4">
        <w:rPr>
          <w:rFonts w:cs="Arial"/>
          <w:szCs w:val="18"/>
        </w:rPr>
        <w:t xml:space="preserve"> </w:t>
      </w:r>
      <w:r w:rsidR="00F9488A">
        <w:rPr>
          <w:rFonts w:cs="Arial"/>
          <w:szCs w:val="18"/>
        </w:rPr>
        <w:t xml:space="preserve">Een goed voorbeeld in het kader van </w:t>
      </w:r>
      <w:r w:rsidR="00BF7D0E">
        <w:rPr>
          <w:rFonts w:cs="Arial"/>
          <w:szCs w:val="18"/>
        </w:rPr>
        <w:t xml:space="preserve">protesten </w:t>
      </w:r>
      <w:r w:rsidR="00F9488A">
        <w:rPr>
          <w:rFonts w:cs="Arial"/>
          <w:szCs w:val="18"/>
        </w:rPr>
        <w:t xml:space="preserve">op de instellingen is het </w:t>
      </w:r>
      <w:r w:rsidR="004555A3">
        <w:rPr>
          <w:rFonts w:cs="Arial"/>
          <w:szCs w:val="18"/>
        </w:rPr>
        <w:t xml:space="preserve">(opschalen naar) </w:t>
      </w:r>
      <w:r w:rsidR="00F9488A">
        <w:rPr>
          <w:rFonts w:cs="Arial"/>
          <w:szCs w:val="18"/>
        </w:rPr>
        <w:t xml:space="preserve">GRIP-1 niveau. </w:t>
      </w:r>
      <w:r w:rsidR="00042A69">
        <w:rPr>
          <w:rFonts w:cs="Arial"/>
          <w:szCs w:val="18"/>
        </w:rPr>
        <w:t xml:space="preserve">Dit is wanneer er bij de bestrijding van incidenten </w:t>
      </w:r>
      <w:r w:rsidR="00F9488A">
        <w:rPr>
          <w:rFonts w:cs="Arial"/>
          <w:szCs w:val="18"/>
        </w:rPr>
        <w:t xml:space="preserve">verschillende hulpverleningsdiensten betrokken </w:t>
      </w:r>
      <w:r w:rsidR="000A6B8D">
        <w:rPr>
          <w:rFonts w:cs="Arial"/>
          <w:szCs w:val="18"/>
        </w:rPr>
        <w:t xml:space="preserve">zijn </w:t>
      </w:r>
      <w:r w:rsidR="00F9488A">
        <w:rPr>
          <w:rFonts w:cs="Arial"/>
          <w:szCs w:val="18"/>
        </w:rPr>
        <w:t xml:space="preserve">(bijv. ambulance, politie </w:t>
      </w:r>
      <w:r w:rsidR="000A6B8D">
        <w:rPr>
          <w:rFonts w:cs="Arial"/>
          <w:szCs w:val="18"/>
        </w:rPr>
        <w:t>en/</w:t>
      </w:r>
      <w:r w:rsidR="00F9488A">
        <w:rPr>
          <w:rFonts w:cs="Arial"/>
          <w:szCs w:val="18"/>
        </w:rPr>
        <w:t xml:space="preserve">of de brandweer). </w:t>
      </w:r>
    </w:p>
    <w:p w:rsidR="00E35CE2" w:rsidP="0089609E" w:rsidRDefault="00E35CE2" w14:paraId="115D29BD" w14:textId="0E65AC32">
      <w:pPr>
        <w:contextualSpacing/>
        <w:rPr>
          <w:rFonts w:cs="Arial"/>
          <w:szCs w:val="18"/>
        </w:rPr>
      </w:pPr>
    </w:p>
    <w:p w:rsidRPr="00F55B3D" w:rsidR="00524639" w:rsidP="0089609E" w:rsidRDefault="00524639" w14:paraId="5482E519" w14:textId="3E525AC3">
      <w:pPr>
        <w:contextualSpacing/>
        <w:rPr>
          <w:rFonts w:cs="Arial"/>
          <w:szCs w:val="18"/>
          <w:u w:val="single"/>
        </w:rPr>
      </w:pPr>
      <w:r w:rsidRPr="00F55B3D">
        <w:rPr>
          <w:rFonts w:cs="Arial"/>
          <w:szCs w:val="18"/>
          <w:u w:val="single"/>
        </w:rPr>
        <w:t>Extra stap</w:t>
      </w:r>
      <w:r w:rsidRPr="00F55B3D" w:rsidR="00F55B3D">
        <w:rPr>
          <w:rFonts w:cs="Arial"/>
          <w:szCs w:val="18"/>
          <w:u w:val="single"/>
        </w:rPr>
        <w:t>: verbeteren samenwerking in de vierhoek</w:t>
      </w:r>
    </w:p>
    <w:p w:rsidR="001351FB" w:rsidP="0089609E" w:rsidRDefault="00E844D4" w14:paraId="645C00A6" w14:textId="5A0BB429">
      <w:pPr>
        <w:contextualSpacing/>
        <w:rPr>
          <w:rFonts w:cs="Arial"/>
          <w:szCs w:val="18"/>
        </w:rPr>
      </w:pPr>
      <w:r>
        <w:rPr>
          <w:rFonts w:cs="Arial"/>
          <w:szCs w:val="18"/>
        </w:rPr>
        <w:t>Dat</w:t>
      </w:r>
      <w:r w:rsidR="001351FB">
        <w:rPr>
          <w:rFonts w:cs="Arial"/>
          <w:szCs w:val="18"/>
        </w:rPr>
        <w:t xml:space="preserve"> de juiste structuren voor crisisbeheersing zijn ingericht, wil </w:t>
      </w:r>
      <w:r>
        <w:rPr>
          <w:rFonts w:cs="Arial"/>
          <w:szCs w:val="18"/>
        </w:rPr>
        <w:t>nog</w:t>
      </w:r>
      <w:r w:rsidR="001351FB">
        <w:rPr>
          <w:rFonts w:cs="Arial"/>
          <w:szCs w:val="18"/>
        </w:rPr>
        <w:t xml:space="preserve"> niet zeggen dat de samenwerking binnen deze structuren geen aandacht behoeft. Zo wijst het rapport van de Taskforce Antisemitismebestrijding</w:t>
      </w:r>
      <w:r w:rsidR="001351FB">
        <w:rPr>
          <w:rStyle w:val="Voetnootmarkering"/>
          <w:rFonts w:cs="Arial"/>
          <w:szCs w:val="18"/>
        </w:rPr>
        <w:footnoteReference w:id="6"/>
      </w:r>
      <w:r w:rsidR="001351FB">
        <w:rPr>
          <w:rFonts w:cs="Arial"/>
          <w:szCs w:val="18"/>
        </w:rPr>
        <w:t xml:space="preserve"> ons op het belang van het bouwen en onderhouden van een sterke vierhoek (lokale driehoek + hoger onderwijsinstelling). Als minister vind ik het belangrijk om instellingen te faciliteren in het nemen van hun verantwoordelijkheden. </w:t>
      </w:r>
      <w:r w:rsidR="00A469E5">
        <w:rPr>
          <w:rFonts w:cs="Arial"/>
          <w:szCs w:val="18"/>
        </w:rPr>
        <w:t xml:space="preserve">Om invulling te geven aan </w:t>
      </w:r>
      <w:r w:rsidR="001351FB">
        <w:rPr>
          <w:rFonts w:cs="Arial"/>
          <w:szCs w:val="18"/>
        </w:rPr>
        <w:t xml:space="preserve">deze motie ga ik </w:t>
      </w:r>
      <w:r w:rsidR="00A469E5">
        <w:rPr>
          <w:rFonts w:cs="Arial"/>
          <w:szCs w:val="18"/>
        </w:rPr>
        <w:t xml:space="preserve">daarom </w:t>
      </w:r>
      <w:r w:rsidR="001351FB">
        <w:rPr>
          <w:rFonts w:cs="Arial"/>
          <w:szCs w:val="18"/>
        </w:rPr>
        <w:t>in gesprek met de betrokken partijen om te bezien op welke wijze de samenwerking in de vierhoek verbeterd kan worden. Bijvoorbeeld als het gaat om het bevorderen van uniformiteit in</w:t>
      </w:r>
      <w:r>
        <w:rPr>
          <w:rFonts w:cs="Arial"/>
          <w:szCs w:val="18"/>
        </w:rPr>
        <w:t xml:space="preserve"> de</w:t>
      </w:r>
      <w:r w:rsidR="001351FB">
        <w:rPr>
          <w:rFonts w:cs="Arial"/>
          <w:szCs w:val="18"/>
        </w:rPr>
        <w:t xml:space="preserve"> aanpak van alle afzonderlijke vierhoeken. </w:t>
      </w:r>
      <w:r w:rsidR="00A469E5">
        <w:rPr>
          <w:rFonts w:cs="Arial"/>
          <w:szCs w:val="18"/>
        </w:rPr>
        <w:t xml:space="preserve">De ministeries van </w:t>
      </w:r>
      <w:proofErr w:type="spellStart"/>
      <w:r w:rsidR="00A469E5">
        <w:rPr>
          <w:rFonts w:cs="Arial"/>
          <w:szCs w:val="18"/>
        </w:rPr>
        <w:t>JenV</w:t>
      </w:r>
      <w:proofErr w:type="spellEnd"/>
      <w:r w:rsidR="00A469E5">
        <w:rPr>
          <w:rFonts w:cs="Arial"/>
          <w:szCs w:val="18"/>
        </w:rPr>
        <w:t xml:space="preserve"> en BZK zullen vanwege hun verantwoordelijkheid in deze vierhoek worden betrokken. </w:t>
      </w:r>
      <w:r w:rsidR="001351FB">
        <w:rPr>
          <w:rFonts w:cs="Arial"/>
          <w:szCs w:val="18"/>
        </w:rPr>
        <w:t>Ik zal uw Kamer informeren over de uitkomsten</w:t>
      </w:r>
      <w:r w:rsidR="00A469E5">
        <w:rPr>
          <w:rFonts w:cs="Arial"/>
          <w:szCs w:val="18"/>
        </w:rPr>
        <w:t xml:space="preserve">. </w:t>
      </w:r>
    </w:p>
    <w:p w:rsidR="001351FB" w:rsidP="0089609E" w:rsidRDefault="001351FB" w14:paraId="50FEF7FE" w14:textId="77777777">
      <w:pPr>
        <w:contextualSpacing/>
        <w:rPr>
          <w:rFonts w:cs="Arial"/>
          <w:szCs w:val="18"/>
        </w:rPr>
      </w:pPr>
    </w:p>
    <w:p w:rsidR="00E844D4" w:rsidP="0089609E" w:rsidRDefault="00E844D4" w14:paraId="14949715" w14:textId="77777777">
      <w:pPr>
        <w:contextualSpacing/>
        <w:rPr>
          <w:rFonts w:cs="Arial"/>
          <w:szCs w:val="18"/>
        </w:rPr>
      </w:pPr>
    </w:p>
    <w:p w:rsidR="00820DDA" w:rsidP="0089609E" w:rsidRDefault="00EE5039" w14:paraId="7FD7020A" w14:textId="77777777">
      <w:r>
        <w:t>De minister van Onderwijs, Cultuur en Wetenschap,</w:t>
      </w:r>
    </w:p>
    <w:p w:rsidR="000F521E" w:rsidP="0089609E" w:rsidRDefault="000F521E" w14:paraId="767628F9" w14:textId="77777777"/>
    <w:p w:rsidR="000F521E" w:rsidP="0089609E" w:rsidRDefault="000F521E" w14:paraId="0A27A251" w14:textId="77777777"/>
    <w:p w:rsidR="000F521E" w:rsidP="0089609E" w:rsidRDefault="000F521E" w14:paraId="2D8AC2D0" w14:textId="77777777"/>
    <w:p w:rsidRPr="00820DDA" w:rsidR="00820DDA" w:rsidP="0089609E" w:rsidRDefault="00EE5039" w14:paraId="0444BD8E" w14:textId="0581BEF2">
      <w:r w:rsidRPr="006C6CF8">
        <w:rPr>
          <w:lang w:eastAsia="en-US"/>
        </w:rPr>
        <w:t>Rianne Letschert</w:t>
      </w:r>
    </w:p>
    <w:sectPr w:rsidRPr="00820DDA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EC3C" w14:textId="77777777" w:rsidR="00DC691C" w:rsidRDefault="00EE5039">
      <w:r>
        <w:separator/>
      </w:r>
    </w:p>
    <w:p w14:paraId="2A0E8507" w14:textId="77777777" w:rsidR="00DC691C" w:rsidRDefault="00DC691C"/>
  </w:endnote>
  <w:endnote w:type="continuationSeparator" w:id="0">
    <w:p w14:paraId="7440262C" w14:textId="77777777" w:rsidR="00DC691C" w:rsidRDefault="00EE5039">
      <w:r>
        <w:continuationSeparator/>
      </w:r>
    </w:p>
    <w:p w14:paraId="5C055E3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F58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F3F35" w14:paraId="4347B753" w14:textId="77777777" w:rsidTr="004C7E1D">
      <w:trPr>
        <w:trHeight w:hRule="exact" w:val="357"/>
      </w:trPr>
      <w:tc>
        <w:tcPr>
          <w:tcW w:w="7603" w:type="dxa"/>
        </w:tcPr>
        <w:p w14:paraId="4268C66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88F79FD" w14:textId="588ED52D" w:rsidR="002F71BB" w:rsidRPr="004C7E1D" w:rsidRDefault="00EE503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40F1F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150D1E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F3F35" w14:paraId="68C92987" w14:textId="77777777" w:rsidTr="004C7E1D">
      <w:trPr>
        <w:trHeight w:hRule="exact" w:val="357"/>
      </w:trPr>
      <w:tc>
        <w:tcPr>
          <w:tcW w:w="7709" w:type="dxa"/>
        </w:tcPr>
        <w:p w14:paraId="587C868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3C42C695" w14:textId="7B5F7B75" w:rsidR="00D17084" w:rsidRPr="004C7E1D" w:rsidRDefault="00EE503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8193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84B135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CD9D" w14:textId="77777777" w:rsidR="00DC691C" w:rsidRDefault="00EE5039">
      <w:r>
        <w:separator/>
      </w:r>
    </w:p>
    <w:p w14:paraId="6C56BA2D" w14:textId="77777777" w:rsidR="00DC691C" w:rsidRDefault="00DC691C"/>
  </w:footnote>
  <w:footnote w:type="continuationSeparator" w:id="0">
    <w:p w14:paraId="3CA70613" w14:textId="77777777" w:rsidR="00DC691C" w:rsidRDefault="00EE5039">
      <w:r>
        <w:continuationSeparator/>
      </w:r>
    </w:p>
    <w:p w14:paraId="6EA0D713" w14:textId="77777777" w:rsidR="00DC691C" w:rsidRDefault="00DC691C"/>
  </w:footnote>
  <w:footnote w:id="1">
    <w:p w14:paraId="1647DB6D" w14:textId="77777777" w:rsidR="00D70A70" w:rsidRPr="00D8396E" w:rsidRDefault="00D70A70" w:rsidP="00D8396E">
      <w:pPr>
        <w:pStyle w:val="Voetnoottekst"/>
        <w:spacing w:line="240" w:lineRule="auto"/>
        <w:rPr>
          <w:sz w:val="15"/>
          <w:szCs w:val="15"/>
        </w:rPr>
      </w:pPr>
      <w:r w:rsidRPr="00D8396E">
        <w:rPr>
          <w:rStyle w:val="Voetnootmarkering"/>
          <w:sz w:val="15"/>
          <w:szCs w:val="15"/>
        </w:rPr>
        <w:footnoteRef/>
      </w:r>
      <w:r w:rsidRPr="00D8396E">
        <w:rPr>
          <w:sz w:val="15"/>
          <w:szCs w:val="15"/>
        </w:rPr>
        <w:t xml:space="preserve"> </w:t>
      </w:r>
      <w:hyperlink r:id="rId1" w:history="1">
        <w:r w:rsidRPr="00D8396E">
          <w:rPr>
            <w:rStyle w:val="Hyperlink"/>
            <w:sz w:val="15"/>
            <w:szCs w:val="15"/>
          </w:rPr>
          <w:t>Vaststelling van de begrotingsstaten van het Ministerie van Onderwijs, Cultuur en Wetenschap (VIII) voor het jaar 2026 | Tweede Kamer der Staten-Generaal</w:t>
        </w:r>
      </w:hyperlink>
    </w:p>
  </w:footnote>
  <w:footnote w:id="2">
    <w:p w14:paraId="746F0526" w14:textId="38F0C9D8" w:rsidR="00A23C9E" w:rsidRPr="00D8396E" w:rsidRDefault="00A23C9E" w:rsidP="00D8396E">
      <w:pPr>
        <w:pStyle w:val="Voetnoottekst"/>
        <w:spacing w:line="240" w:lineRule="auto"/>
        <w:rPr>
          <w:sz w:val="15"/>
          <w:szCs w:val="15"/>
        </w:rPr>
      </w:pPr>
      <w:r w:rsidRPr="00D8396E">
        <w:rPr>
          <w:rStyle w:val="Voetnootmarkering"/>
          <w:sz w:val="15"/>
          <w:szCs w:val="15"/>
        </w:rPr>
        <w:footnoteRef/>
      </w:r>
      <w:r w:rsidRPr="00D8396E">
        <w:rPr>
          <w:sz w:val="15"/>
          <w:szCs w:val="15"/>
        </w:rPr>
        <w:t xml:space="preserve"> </w:t>
      </w:r>
      <w:hyperlink r:id="rId2" w:history="1">
        <w:r w:rsidR="00042A69" w:rsidRPr="00D8396E">
          <w:rPr>
            <w:rStyle w:val="Hyperlink"/>
            <w:sz w:val="15"/>
            <w:szCs w:val="15"/>
          </w:rPr>
          <w:t>Richtlijn protesten UNL &amp; VH_2.pdf</w:t>
        </w:r>
      </w:hyperlink>
    </w:p>
  </w:footnote>
  <w:footnote w:id="3">
    <w:p w14:paraId="08D4F585" w14:textId="385B9F20" w:rsidR="006C2348" w:rsidRPr="00957C66" w:rsidRDefault="006C2348" w:rsidP="00957C66">
      <w:pPr>
        <w:pStyle w:val="Voetnoottekst"/>
        <w:spacing w:line="240" w:lineRule="auto"/>
        <w:rPr>
          <w:sz w:val="15"/>
          <w:szCs w:val="15"/>
        </w:rPr>
      </w:pPr>
      <w:r w:rsidRPr="00957C66">
        <w:rPr>
          <w:rStyle w:val="Voetnootmarkering"/>
          <w:sz w:val="15"/>
          <w:szCs w:val="15"/>
        </w:rPr>
        <w:footnoteRef/>
      </w:r>
      <w:r w:rsidRPr="00957C66">
        <w:rPr>
          <w:sz w:val="15"/>
          <w:szCs w:val="15"/>
        </w:rPr>
        <w:t xml:space="preserve"> </w:t>
      </w:r>
      <w:r w:rsidR="001020DE" w:rsidRPr="00957C66">
        <w:rPr>
          <w:sz w:val="15"/>
          <w:szCs w:val="15"/>
        </w:rPr>
        <w:t xml:space="preserve">Dit in het kader van de uitvoering van </w:t>
      </w:r>
      <w:r w:rsidR="001020DE" w:rsidRPr="00957C66">
        <w:rPr>
          <w:rFonts w:cs="Arial"/>
          <w:sz w:val="15"/>
          <w:szCs w:val="15"/>
        </w:rPr>
        <w:t>de motie van de leden Eerdmans en Martens-America</w:t>
      </w:r>
      <w:r w:rsidR="001020DE" w:rsidRPr="00957C66">
        <w:rPr>
          <w:sz w:val="15"/>
          <w:szCs w:val="15"/>
        </w:rPr>
        <w:t xml:space="preserve"> m.b.t. een eenduidig veiligheidsprotocol, betreft </w:t>
      </w:r>
      <w:r w:rsidRPr="00957C66">
        <w:rPr>
          <w:sz w:val="15"/>
          <w:szCs w:val="15"/>
        </w:rPr>
        <w:t>Kamerstuk 29240 nr. 160</w:t>
      </w:r>
    </w:p>
  </w:footnote>
  <w:footnote w:id="4">
    <w:p w14:paraId="6CDB99CC" w14:textId="77777777" w:rsidR="006C2348" w:rsidRPr="00957C66" w:rsidRDefault="006C2348" w:rsidP="00957C66">
      <w:pPr>
        <w:pStyle w:val="Voetnoottekst"/>
        <w:spacing w:line="240" w:lineRule="auto"/>
        <w:rPr>
          <w:sz w:val="15"/>
          <w:szCs w:val="15"/>
        </w:rPr>
      </w:pPr>
      <w:r w:rsidRPr="00957C66">
        <w:rPr>
          <w:rStyle w:val="Voetnootmarkering"/>
          <w:sz w:val="15"/>
          <w:szCs w:val="15"/>
        </w:rPr>
        <w:footnoteRef/>
      </w:r>
      <w:r w:rsidRPr="00957C66">
        <w:rPr>
          <w:sz w:val="15"/>
          <w:szCs w:val="15"/>
        </w:rPr>
        <w:t xml:space="preserve"> </w:t>
      </w:r>
      <w:hyperlink r:id="rId3" w:history="1">
        <w:r w:rsidRPr="00957C66">
          <w:rPr>
            <w:rStyle w:val="Hyperlink"/>
            <w:sz w:val="15"/>
            <w:szCs w:val="15"/>
          </w:rPr>
          <w:t>Kamerbrief over veiligheid op universiteiten en hogescholen | Kamerstuk | Rijksoverheid.nl</w:t>
        </w:r>
      </w:hyperlink>
      <w:r w:rsidRPr="00957C66">
        <w:rPr>
          <w:sz w:val="15"/>
          <w:szCs w:val="15"/>
        </w:rPr>
        <w:t xml:space="preserve"> en </w:t>
      </w:r>
      <w:hyperlink r:id="rId4" w:history="1">
        <w:r w:rsidRPr="00957C66">
          <w:rPr>
            <w:rStyle w:val="Hyperlink"/>
            <w:sz w:val="15"/>
            <w:szCs w:val="15"/>
          </w:rPr>
          <w:t>Afschrift brief Veiligheid Nederlandse universiteiten en hogescholen | Brief | Rijksoverheid.nl</w:t>
        </w:r>
      </w:hyperlink>
    </w:p>
  </w:footnote>
  <w:footnote w:id="5">
    <w:p w14:paraId="223EB6A4" w14:textId="2727D23A" w:rsidR="00A23C9E" w:rsidRPr="00957C66" w:rsidRDefault="00A23C9E" w:rsidP="00957C66">
      <w:pPr>
        <w:pStyle w:val="Voetnoottekst"/>
        <w:spacing w:line="240" w:lineRule="auto"/>
        <w:rPr>
          <w:sz w:val="15"/>
          <w:szCs w:val="15"/>
        </w:rPr>
      </w:pPr>
      <w:r w:rsidRPr="00957C66">
        <w:rPr>
          <w:rStyle w:val="Voetnootmarkering"/>
          <w:sz w:val="15"/>
          <w:szCs w:val="15"/>
        </w:rPr>
        <w:footnoteRef/>
      </w:r>
      <w:r w:rsidRPr="00957C66">
        <w:rPr>
          <w:sz w:val="15"/>
          <w:szCs w:val="15"/>
        </w:rPr>
        <w:t xml:space="preserve"> </w:t>
      </w:r>
      <w:r w:rsidR="00F9488A" w:rsidRPr="00957C66">
        <w:rPr>
          <w:sz w:val="15"/>
          <w:szCs w:val="15"/>
        </w:rPr>
        <w:t>‘GRIP’ staat voor: Gecoördineerde Regionale Incidentbestrijdingsprocedure. De GRIP-systematiek bestaat uit verschillende opschalingsniveaus: lokaal (1 t/m 3), regionaal (4) en interregionaal (5).</w:t>
      </w:r>
    </w:p>
  </w:footnote>
  <w:footnote w:id="6">
    <w:p w14:paraId="1E1E4BDD" w14:textId="77777777" w:rsidR="001351FB" w:rsidRDefault="001351FB" w:rsidP="00957C66">
      <w:pPr>
        <w:pStyle w:val="Voetnoottekst"/>
        <w:spacing w:line="240" w:lineRule="auto"/>
      </w:pPr>
      <w:r w:rsidRPr="00957C66">
        <w:rPr>
          <w:rStyle w:val="Voetnootmarkering"/>
          <w:sz w:val="15"/>
          <w:szCs w:val="15"/>
        </w:rPr>
        <w:footnoteRef/>
      </w:r>
      <w:r w:rsidRPr="00957C66">
        <w:rPr>
          <w:sz w:val="15"/>
          <w:szCs w:val="15"/>
        </w:rPr>
        <w:t xml:space="preserve"> </w:t>
      </w:r>
      <w:hyperlink r:id="rId5" w:history="1">
        <w:r w:rsidRPr="00957C66">
          <w:rPr>
            <w:rStyle w:val="Hyperlink"/>
            <w:sz w:val="15"/>
            <w:szCs w:val="15"/>
          </w:rPr>
          <w:t>Gevangen in vrijheden | Rapport | Rijksoverheid.nl</w:t>
        </w:r>
      </w:hyperlink>
      <w:r w:rsidRPr="00957C66">
        <w:rPr>
          <w:sz w:val="15"/>
          <w:szCs w:val="15"/>
        </w:rPr>
        <w:t xml:space="preserve"> (pg. 38).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F3F35" w14:paraId="364FF2BB" w14:textId="77777777" w:rsidTr="006D2D53">
      <w:trPr>
        <w:trHeight w:hRule="exact" w:val="400"/>
      </w:trPr>
      <w:tc>
        <w:tcPr>
          <w:tcW w:w="7518" w:type="dxa"/>
        </w:tcPr>
        <w:p w14:paraId="0F8D2EFA" w14:textId="77777777" w:rsidR="00527BD4" w:rsidRPr="00275984" w:rsidRDefault="00527BD4" w:rsidP="00BF4427">
          <w:pPr>
            <w:pStyle w:val="Huisstijl-Rubricering"/>
          </w:pPr>
        </w:p>
      </w:tc>
    </w:tr>
  </w:tbl>
  <w:p w14:paraId="341FB57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3F35" w14:paraId="66F10EF7" w14:textId="77777777" w:rsidTr="003B528D">
      <w:tc>
        <w:tcPr>
          <w:tcW w:w="2160" w:type="dxa"/>
        </w:tcPr>
        <w:p w14:paraId="3F8185A6" w14:textId="77777777" w:rsidR="002F71BB" w:rsidRPr="000407BB" w:rsidRDefault="00EE503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F3F35" w14:paraId="1FF2B65A" w14:textId="77777777" w:rsidTr="002F71BB">
      <w:trPr>
        <w:trHeight w:val="259"/>
      </w:trPr>
      <w:tc>
        <w:tcPr>
          <w:tcW w:w="2160" w:type="dxa"/>
        </w:tcPr>
        <w:p w14:paraId="48D7F584" w14:textId="237EAB15" w:rsidR="00E35CF4" w:rsidRPr="005D283A" w:rsidRDefault="0023385F" w:rsidP="0049501A">
          <w:pPr>
            <w:spacing w:line="180" w:lineRule="exact"/>
            <w:rPr>
              <w:sz w:val="13"/>
              <w:szCs w:val="13"/>
            </w:rPr>
          </w:pPr>
          <w:r w:rsidRPr="0023385F">
            <w:rPr>
              <w:sz w:val="13"/>
              <w:szCs w:val="13"/>
            </w:rPr>
            <w:t>63156357</w:t>
          </w:r>
        </w:p>
      </w:tc>
    </w:tr>
  </w:tbl>
  <w:p w14:paraId="3D4A55A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F3F35" w14:paraId="5D25D00F" w14:textId="77777777" w:rsidTr="001377D4">
      <w:trPr>
        <w:trHeight w:val="2636"/>
      </w:trPr>
      <w:tc>
        <w:tcPr>
          <w:tcW w:w="737" w:type="dxa"/>
        </w:tcPr>
        <w:p w14:paraId="367FE38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347676F" w14:textId="77777777" w:rsidR="00704845" w:rsidRDefault="00EE503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17D31F5" wp14:editId="3AF247A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580788" w14:textId="77777777" w:rsidR="00483ECA" w:rsidRDefault="00483ECA" w:rsidP="00D037A9"/>
      </w:tc>
    </w:tr>
  </w:tbl>
  <w:p w14:paraId="0EABBF9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F3F35" w14:paraId="34C55D65" w14:textId="77777777" w:rsidTr="0008539E">
      <w:trPr>
        <w:trHeight w:hRule="exact" w:val="572"/>
      </w:trPr>
      <w:tc>
        <w:tcPr>
          <w:tcW w:w="7520" w:type="dxa"/>
        </w:tcPr>
        <w:p w14:paraId="6DE2E703" w14:textId="77777777" w:rsidR="00527BD4" w:rsidRPr="00963440" w:rsidRDefault="00EE503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F3F35" w14:paraId="2113DDF2" w14:textId="77777777" w:rsidTr="00E776C6">
      <w:trPr>
        <w:cantSplit/>
        <w:trHeight w:hRule="exact" w:val="238"/>
      </w:trPr>
      <w:tc>
        <w:tcPr>
          <w:tcW w:w="7520" w:type="dxa"/>
        </w:tcPr>
        <w:p w14:paraId="129CB68C" w14:textId="77777777" w:rsidR="00093ABC" w:rsidRPr="00963440" w:rsidRDefault="00093ABC" w:rsidP="00963440"/>
      </w:tc>
    </w:tr>
    <w:tr w:rsidR="003F3F35" w14:paraId="4908AEB4" w14:textId="77777777" w:rsidTr="00E776C6">
      <w:trPr>
        <w:cantSplit/>
        <w:trHeight w:hRule="exact" w:val="1520"/>
      </w:trPr>
      <w:tc>
        <w:tcPr>
          <w:tcW w:w="7520" w:type="dxa"/>
        </w:tcPr>
        <w:p w14:paraId="12365287" w14:textId="77777777" w:rsidR="00A604D3" w:rsidRPr="00963440" w:rsidRDefault="00A604D3" w:rsidP="00963440"/>
      </w:tc>
    </w:tr>
    <w:tr w:rsidR="003F3F35" w14:paraId="741A6E9F" w14:textId="77777777" w:rsidTr="00E776C6">
      <w:trPr>
        <w:trHeight w:hRule="exact" w:val="1077"/>
      </w:trPr>
      <w:tc>
        <w:tcPr>
          <w:tcW w:w="7520" w:type="dxa"/>
        </w:tcPr>
        <w:p w14:paraId="6D2308E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512B3C9" w14:textId="77777777" w:rsidR="006F273B" w:rsidRDefault="006F273B" w:rsidP="00BC4AE3">
    <w:pPr>
      <w:pStyle w:val="Koptekst"/>
    </w:pPr>
  </w:p>
  <w:p w14:paraId="298800C2" w14:textId="77777777" w:rsidR="00153BD0" w:rsidRDefault="00153BD0" w:rsidP="00BC4AE3">
    <w:pPr>
      <w:pStyle w:val="Koptekst"/>
    </w:pPr>
  </w:p>
  <w:p w14:paraId="6191EB0A" w14:textId="77777777" w:rsidR="0044605E" w:rsidRDefault="0044605E" w:rsidP="00BC4AE3">
    <w:pPr>
      <w:pStyle w:val="Koptekst"/>
    </w:pPr>
  </w:p>
  <w:p w14:paraId="35F2D34C" w14:textId="77777777" w:rsidR="0044605E" w:rsidRDefault="0044605E" w:rsidP="00BC4AE3">
    <w:pPr>
      <w:pStyle w:val="Koptekst"/>
    </w:pPr>
  </w:p>
  <w:p w14:paraId="3FA0DD5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C36FD1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1981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B49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42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8E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405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A3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9C51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2AF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D148F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C6A1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089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4F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C1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6AC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32F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A4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B43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F662D"/>
    <w:multiLevelType w:val="hybridMultilevel"/>
    <w:tmpl w:val="F4EEFDF0"/>
    <w:lvl w:ilvl="0" w:tplc="37CAC69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2710074">
    <w:abstractNumId w:val="10"/>
  </w:num>
  <w:num w:numId="2" w16cid:durableId="985356094">
    <w:abstractNumId w:val="7"/>
  </w:num>
  <w:num w:numId="3" w16cid:durableId="103886041">
    <w:abstractNumId w:val="6"/>
  </w:num>
  <w:num w:numId="4" w16cid:durableId="119231962">
    <w:abstractNumId w:val="5"/>
  </w:num>
  <w:num w:numId="5" w16cid:durableId="682244962">
    <w:abstractNumId w:val="4"/>
  </w:num>
  <w:num w:numId="6" w16cid:durableId="1122260964">
    <w:abstractNumId w:val="8"/>
  </w:num>
  <w:num w:numId="7" w16cid:durableId="1299651748">
    <w:abstractNumId w:val="3"/>
  </w:num>
  <w:num w:numId="8" w16cid:durableId="1988630141">
    <w:abstractNumId w:val="2"/>
  </w:num>
  <w:num w:numId="9" w16cid:durableId="889266657">
    <w:abstractNumId w:val="1"/>
  </w:num>
  <w:num w:numId="10" w16cid:durableId="1132287428">
    <w:abstractNumId w:val="0"/>
  </w:num>
  <w:num w:numId="11" w16cid:durableId="1531802911">
    <w:abstractNumId w:val="9"/>
  </w:num>
  <w:num w:numId="12" w16cid:durableId="636421162">
    <w:abstractNumId w:val="11"/>
  </w:num>
  <w:num w:numId="13" w16cid:durableId="2140537747">
    <w:abstractNumId w:val="14"/>
  </w:num>
  <w:num w:numId="14" w16cid:durableId="831677443">
    <w:abstractNumId w:val="12"/>
  </w:num>
  <w:num w:numId="15" w16cid:durableId="37986517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2A69"/>
    <w:rsid w:val="0005404B"/>
    <w:rsid w:val="0005447D"/>
    <w:rsid w:val="000546DE"/>
    <w:rsid w:val="0006024D"/>
    <w:rsid w:val="00062055"/>
    <w:rsid w:val="00064881"/>
    <w:rsid w:val="00065462"/>
    <w:rsid w:val="00071F28"/>
    <w:rsid w:val="00074079"/>
    <w:rsid w:val="000765B6"/>
    <w:rsid w:val="00077749"/>
    <w:rsid w:val="0008289C"/>
    <w:rsid w:val="0008539E"/>
    <w:rsid w:val="00086E6B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A6B8D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37DE"/>
    <w:rsid w:val="000E4849"/>
    <w:rsid w:val="000E5886"/>
    <w:rsid w:val="000E6621"/>
    <w:rsid w:val="000E7895"/>
    <w:rsid w:val="000F161D"/>
    <w:rsid w:val="000F1B4E"/>
    <w:rsid w:val="000F1FFF"/>
    <w:rsid w:val="000F521E"/>
    <w:rsid w:val="00100203"/>
    <w:rsid w:val="001020DE"/>
    <w:rsid w:val="00104B4D"/>
    <w:rsid w:val="00105677"/>
    <w:rsid w:val="001177B4"/>
    <w:rsid w:val="00122CF9"/>
    <w:rsid w:val="00123704"/>
    <w:rsid w:val="00126309"/>
    <w:rsid w:val="001270C7"/>
    <w:rsid w:val="00132540"/>
    <w:rsid w:val="001351FB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385F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361A"/>
    <w:rsid w:val="00286998"/>
    <w:rsid w:val="00291AB7"/>
    <w:rsid w:val="0029422B"/>
    <w:rsid w:val="00294DCB"/>
    <w:rsid w:val="002A06CE"/>
    <w:rsid w:val="002A37B5"/>
    <w:rsid w:val="002A6722"/>
    <w:rsid w:val="002B153C"/>
    <w:rsid w:val="002B1741"/>
    <w:rsid w:val="002B52FC"/>
    <w:rsid w:val="002C26D0"/>
    <w:rsid w:val="002C2830"/>
    <w:rsid w:val="002C3CE0"/>
    <w:rsid w:val="002C40AF"/>
    <w:rsid w:val="002C7F42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35CD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3F35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3ADB"/>
    <w:rsid w:val="0044605E"/>
    <w:rsid w:val="0045023C"/>
    <w:rsid w:val="00451A5B"/>
    <w:rsid w:val="00452BCD"/>
    <w:rsid w:val="00452CEA"/>
    <w:rsid w:val="004555A3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978F5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4639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86400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D7E4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87F00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34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479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5287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02ED"/>
    <w:rsid w:val="00883137"/>
    <w:rsid w:val="00892BA5"/>
    <w:rsid w:val="0089609E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74B"/>
    <w:rsid w:val="0090271B"/>
    <w:rsid w:val="00910642"/>
    <w:rsid w:val="00910DDF"/>
    <w:rsid w:val="00921861"/>
    <w:rsid w:val="00923AF2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57C66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967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3C9E"/>
    <w:rsid w:val="00A2531F"/>
    <w:rsid w:val="00A30E68"/>
    <w:rsid w:val="00A31933"/>
    <w:rsid w:val="00A32073"/>
    <w:rsid w:val="00A34AA0"/>
    <w:rsid w:val="00A41FE2"/>
    <w:rsid w:val="00A421A1"/>
    <w:rsid w:val="00A469E5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193A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3B5B"/>
    <w:rsid w:val="00AE7130"/>
    <w:rsid w:val="00AE7F68"/>
    <w:rsid w:val="00AF10D7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672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078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4618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1EC1"/>
    <w:rsid w:val="00BF4427"/>
    <w:rsid w:val="00BF46B6"/>
    <w:rsid w:val="00BF5675"/>
    <w:rsid w:val="00BF7D0E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408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5391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0A70"/>
    <w:rsid w:val="00D74F66"/>
    <w:rsid w:val="00D75B3F"/>
    <w:rsid w:val="00D77870"/>
    <w:rsid w:val="00D80977"/>
    <w:rsid w:val="00D80CCE"/>
    <w:rsid w:val="00D8396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3E4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5F0D"/>
    <w:rsid w:val="00E307D1"/>
    <w:rsid w:val="00E35710"/>
    <w:rsid w:val="00E35CE2"/>
    <w:rsid w:val="00E35CF4"/>
    <w:rsid w:val="00E3731D"/>
    <w:rsid w:val="00E37811"/>
    <w:rsid w:val="00E40F1F"/>
    <w:rsid w:val="00E468E4"/>
    <w:rsid w:val="00E51469"/>
    <w:rsid w:val="00E54114"/>
    <w:rsid w:val="00E62709"/>
    <w:rsid w:val="00E634E3"/>
    <w:rsid w:val="00E717C4"/>
    <w:rsid w:val="00E74D10"/>
    <w:rsid w:val="00E762EC"/>
    <w:rsid w:val="00E776C6"/>
    <w:rsid w:val="00E77F89"/>
    <w:rsid w:val="00E80E71"/>
    <w:rsid w:val="00E81589"/>
    <w:rsid w:val="00E822AF"/>
    <w:rsid w:val="00E844D4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5039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55B3D"/>
    <w:rsid w:val="00F61569"/>
    <w:rsid w:val="00F61A72"/>
    <w:rsid w:val="00F62B67"/>
    <w:rsid w:val="00F64ED0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543"/>
    <w:rsid w:val="00F93F9E"/>
    <w:rsid w:val="00F9488A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20A7"/>
    <w:rsid w:val="00FE27D3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9882A8"/>
  <w15:docId w15:val="{80B1D192-6DCB-415E-ADF9-0F7688D1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64881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uiPriority w:val="99"/>
    <w:rsid w:val="00064881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4881"/>
    <w:rPr>
      <w:color w:val="605E5C"/>
      <w:shd w:val="clear" w:color="auto" w:fill="E1DFDD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4881"/>
    <w:rPr>
      <w:rFonts w:ascii="Verdana" w:hAnsi="Verdana"/>
      <w:sz w:val="13"/>
      <w:lang w:val="nl-NL" w:eastAsia="nl-NL"/>
    </w:rPr>
  </w:style>
  <w:style w:type="character" w:styleId="Verwijzingopmerking">
    <w:name w:val="annotation reference"/>
    <w:basedOn w:val="Standaardalinea-lettertype"/>
    <w:rsid w:val="00F9488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948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9488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948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9488A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D70A70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jksoverheid.nl/documenten/kamerstukken/2025/07/03/veiligheid-op-universiteiten-en-hogescholen" TargetMode="External"/><Relationship Id="rId2" Type="http://schemas.openxmlformats.org/officeDocument/2006/relationships/hyperlink" Target="https://www.universiteitenvannederland.nl/files/publications/Richtlijn%20protesten%20%20UNL%20%26%20VH_2.pdf" TargetMode="External"/><Relationship Id="rId1" Type="http://schemas.openxmlformats.org/officeDocument/2006/relationships/hyperlink" Target="https://www.tweedekamer.nl/kamerstukken/moties/detail?id=2026Z03206&amp;did=2026D07122" TargetMode="External"/><Relationship Id="rId5" Type="http://schemas.openxmlformats.org/officeDocument/2006/relationships/hyperlink" Target="https://www.rijksoverheid.nl/documenten/rapporten/2026/02/02/gevangen-in-vrijheden" TargetMode="External"/><Relationship Id="rId4" Type="http://schemas.openxmlformats.org/officeDocument/2006/relationships/hyperlink" Target="https://www.rijksoverheid.nl/documenten/brieven/2025/07/03/bijlage-1-veiligheid-op-universiteiten-en-hogeschol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727</ap:Words>
  <ap:Characters>4000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2026-04-09T10:49:00.0000000Z</dcterms:created>
  <dcterms:modified xsi:type="dcterms:W3CDTF">2026-04-09T10:49:00.0000000Z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O959SCH</vt:lpwstr>
  </property>
  <property fmtid="{D5CDD505-2E9C-101B-9397-08002B2CF9AE}" pid="3" name="Author">
    <vt:lpwstr>O959SCH</vt:lpwstr>
  </property>
  <property fmtid="{D5CDD505-2E9C-101B-9397-08002B2CF9AE}" pid="4" name="cs_objectid">
    <vt:lpwstr>63156357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Kamerbrief motie Stoffer basisnormen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O959SCH</vt:lpwstr>
  </property>
</Properties>
</file>