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6C4E" w:rsidR="16517DC0" w:rsidRDefault="00870B08" w14:paraId="6EAA04AA" w14:textId="0AD956F4">
      <w:pPr>
        <w:rPr>
          <w:lang w:val="en-GB"/>
        </w:rPr>
      </w:pPr>
      <w:r>
        <w:rPr>
          <w:rFonts w:ascii="Verdana" w:hAnsi="Verdana" w:eastAsia="Verdana" w:cs="Verdana"/>
          <w:b/>
          <w:bCs/>
          <w:sz w:val="18"/>
          <w:szCs w:val="18"/>
          <w:lang w:val="en-GB"/>
        </w:rPr>
        <w:t>Draft n</w:t>
      </w:r>
      <w:r w:rsidR="008D3CD6">
        <w:rPr>
          <w:rFonts w:ascii="Verdana" w:hAnsi="Verdana" w:eastAsia="Verdana" w:cs="Verdana"/>
          <w:b/>
          <w:bCs/>
          <w:sz w:val="18"/>
          <w:szCs w:val="18"/>
          <w:lang w:val="en-GB"/>
        </w:rPr>
        <w:t>on-paper by the NL, (TBC) on the proposed far-reaching changes to the GDPR in t</w:t>
      </w:r>
      <w:r w:rsidRPr="00196C4E" w:rsidR="16517DC0">
        <w:rPr>
          <w:rFonts w:ascii="Verdana" w:hAnsi="Verdana" w:eastAsia="Verdana" w:cs="Verdana"/>
          <w:b/>
          <w:bCs/>
          <w:sz w:val="18"/>
          <w:szCs w:val="18"/>
          <w:lang w:val="en-GB"/>
        </w:rPr>
        <w:t>he Digital Omnibus</w:t>
      </w:r>
    </w:p>
    <w:p w:rsidRPr="00196C4E" w:rsidR="16517DC0" w:rsidRDefault="16517DC0" w14:paraId="3C497D5A" w14:textId="01B02C92">
      <w:pPr>
        <w:rPr>
          <w:color w:val="FF0000"/>
          <w:lang w:val="en-GB"/>
        </w:rPr>
      </w:pPr>
      <w:r w:rsidRPr="00196C4E">
        <w:rPr>
          <w:rFonts w:ascii="Verdana" w:hAnsi="Verdana" w:eastAsia="Verdana" w:cs="Verdana"/>
          <w:b/>
          <w:bCs/>
          <w:sz w:val="18"/>
          <w:szCs w:val="18"/>
          <w:u w:val="single"/>
          <w:lang w:val="en-GB"/>
        </w:rPr>
        <w:t>We need to keep up the pace</w:t>
      </w:r>
      <w:r w:rsidRPr="00196C4E" w:rsidR="00154C13">
        <w:rPr>
          <w:rFonts w:ascii="Verdana" w:hAnsi="Verdana" w:eastAsia="Verdana" w:cs="Verdana"/>
          <w:b/>
          <w:bCs/>
          <w:sz w:val="18"/>
          <w:szCs w:val="18"/>
          <w:u w:val="single"/>
          <w:lang w:val="en-GB"/>
        </w:rPr>
        <w:t xml:space="preserve"> </w:t>
      </w:r>
    </w:p>
    <w:p w:rsidRPr="00196C4E" w:rsidR="007B3E2E" w:rsidRDefault="16517DC0" w14:paraId="72DEA226" w14:textId="0F00E294">
      <w:pPr>
        <w:rPr>
          <w:rFonts w:ascii="Verdana" w:hAnsi="Verdana" w:eastAsia="Verdana" w:cs="Verdana"/>
          <w:sz w:val="18"/>
          <w:szCs w:val="18"/>
          <w:lang w:val="en-GB"/>
        </w:rPr>
      </w:pPr>
      <w:r w:rsidRPr="00196C4E">
        <w:rPr>
          <w:rFonts w:ascii="Verdana" w:hAnsi="Verdana" w:eastAsia="Verdana" w:cs="Verdana"/>
          <w:sz w:val="18"/>
          <w:szCs w:val="18"/>
          <w:lang w:val="en-GB"/>
        </w:rPr>
        <w:t>Europe is on the right track towards making our rules simpler, more efficient and more effective</w:t>
      </w:r>
      <w:r w:rsidRPr="00196C4E" w:rsidR="007B3E2E">
        <w:rPr>
          <w:rFonts w:ascii="Verdana" w:hAnsi="Verdana" w:eastAsia="Verdana" w:cs="Verdana"/>
          <w:sz w:val="18"/>
          <w:szCs w:val="18"/>
          <w:lang w:val="en-GB"/>
        </w:rPr>
        <w:t>.</w:t>
      </w:r>
      <w:r w:rsidRPr="00196C4E">
        <w:rPr>
          <w:rFonts w:ascii="Verdana" w:hAnsi="Verdana" w:eastAsia="Verdana" w:cs="Verdana"/>
          <w:sz w:val="18"/>
          <w:szCs w:val="18"/>
          <w:lang w:val="en-GB"/>
        </w:rPr>
        <w:t xml:space="preserve"> The </w:t>
      </w:r>
      <w:r w:rsidR="00044443">
        <w:rPr>
          <w:rFonts w:ascii="Verdana" w:hAnsi="Verdana" w:eastAsia="Verdana" w:cs="Verdana"/>
          <w:sz w:val="18"/>
          <w:szCs w:val="18"/>
          <w:lang w:val="en-GB"/>
        </w:rPr>
        <w:t>ten</w:t>
      </w:r>
      <w:r w:rsidRPr="00196C4E" w:rsidR="00044443">
        <w:rPr>
          <w:rFonts w:ascii="Verdana" w:hAnsi="Verdana" w:eastAsia="Verdana" w:cs="Verdana"/>
          <w:sz w:val="18"/>
          <w:szCs w:val="18"/>
          <w:lang w:val="en-GB"/>
        </w:rPr>
        <w:t xml:space="preserve"> </w:t>
      </w:r>
      <w:r w:rsidRPr="00196C4E">
        <w:rPr>
          <w:rFonts w:ascii="Verdana" w:hAnsi="Verdana" w:eastAsia="Verdana" w:cs="Verdana"/>
          <w:sz w:val="18"/>
          <w:szCs w:val="18"/>
          <w:lang w:val="en-GB"/>
        </w:rPr>
        <w:t xml:space="preserve">omnibus proposals that have been presented since February, would lead to an estimated reduction of </w:t>
      </w:r>
      <w:r w:rsidR="00044443">
        <w:rPr>
          <w:rFonts w:ascii="Verdana" w:hAnsi="Verdana" w:eastAsia="Verdana" w:cs="Verdana"/>
          <w:sz w:val="18"/>
          <w:szCs w:val="18"/>
          <w:lang w:val="en-GB"/>
        </w:rPr>
        <w:t>11.9</w:t>
      </w:r>
      <w:r w:rsidRPr="00196C4E">
        <w:rPr>
          <w:rFonts w:ascii="Verdana" w:hAnsi="Verdana" w:eastAsia="Verdana" w:cs="Verdana"/>
          <w:sz w:val="18"/>
          <w:szCs w:val="18"/>
          <w:lang w:val="en-GB"/>
        </w:rPr>
        <w:t xml:space="preserve"> billion euros in administrative costs, and more proposals are expected. </w:t>
      </w:r>
    </w:p>
    <w:p w:rsidRPr="00196C4E" w:rsidR="16517DC0" w:rsidRDefault="16517DC0" w14:paraId="03206082" w14:textId="66F7E8B5">
      <w:pPr>
        <w:rPr>
          <w:lang w:val="en-GB"/>
        </w:rPr>
      </w:pPr>
      <w:r w:rsidRPr="00196C4E">
        <w:rPr>
          <w:rFonts w:ascii="Verdana" w:hAnsi="Verdana" w:eastAsia="Verdana" w:cs="Verdana"/>
          <w:sz w:val="18"/>
          <w:szCs w:val="18"/>
          <w:lang w:val="en-GB"/>
        </w:rPr>
        <w:t xml:space="preserve">While </w:t>
      </w:r>
      <w:r w:rsidRPr="00196C4E" w:rsidR="002C2103">
        <w:rPr>
          <w:rFonts w:ascii="Verdana" w:hAnsi="Verdana" w:eastAsia="Verdana" w:cs="Verdana"/>
          <w:sz w:val="18"/>
          <w:szCs w:val="18"/>
          <w:lang w:val="en-GB"/>
        </w:rPr>
        <w:t xml:space="preserve">this </w:t>
      </w:r>
      <w:r w:rsidRPr="00196C4E">
        <w:rPr>
          <w:rFonts w:ascii="Verdana" w:hAnsi="Verdana" w:eastAsia="Verdana" w:cs="Verdana"/>
          <w:sz w:val="18"/>
          <w:szCs w:val="18"/>
          <w:lang w:val="en-GB"/>
        </w:rPr>
        <w:t xml:space="preserve">progress is promising, </w:t>
      </w:r>
      <w:r w:rsidR="004A3269">
        <w:rPr>
          <w:rFonts w:ascii="Verdana" w:hAnsi="Verdana" w:eastAsia="Verdana" w:cs="Verdana"/>
          <w:sz w:val="18"/>
          <w:szCs w:val="18"/>
          <w:lang w:val="en-GB"/>
        </w:rPr>
        <w:t xml:space="preserve">more needs to be done </w:t>
      </w:r>
      <w:r w:rsidRPr="00196C4E" w:rsidR="00796E1F">
        <w:rPr>
          <w:rFonts w:ascii="Verdana" w:hAnsi="Verdana" w:eastAsia="Verdana" w:cs="Verdana"/>
          <w:sz w:val="18"/>
          <w:szCs w:val="18"/>
          <w:lang w:val="en-GB"/>
        </w:rPr>
        <w:t>to simplify and streamline our rules, also for the digital rulebook. We cannot slow down if we want</w:t>
      </w:r>
      <w:r w:rsidRPr="00196C4E">
        <w:rPr>
          <w:rFonts w:ascii="Verdana" w:hAnsi="Verdana" w:eastAsia="Verdana" w:cs="Verdana"/>
          <w:sz w:val="18"/>
          <w:szCs w:val="18"/>
          <w:lang w:val="en-GB"/>
        </w:rPr>
        <w:t xml:space="preserve"> to live up to Mario Draghi’s recommendations to truly make the EU more competitive. </w:t>
      </w:r>
    </w:p>
    <w:p w:rsidRPr="00196C4E" w:rsidR="00E5581C" w:rsidRDefault="16517DC0" w14:paraId="41824CB0" w14:textId="3217C56B">
      <w:pPr>
        <w:rPr>
          <w:rFonts w:ascii="Verdana" w:hAnsi="Verdana" w:eastAsia="Verdana" w:cs="Verdana"/>
          <w:sz w:val="18"/>
          <w:szCs w:val="18"/>
          <w:lang w:val="en-GB"/>
        </w:rPr>
      </w:pPr>
      <w:r w:rsidRPr="00196C4E">
        <w:rPr>
          <w:rFonts w:ascii="Verdana" w:hAnsi="Verdana" w:eastAsia="Verdana" w:cs="Verdana"/>
          <w:sz w:val="18"/>
          <w:szCs w:val="18"/>
          <w:lang w:val="en-GB"/>
        </w:rPr>
        <w:t>The digital rulebook strengthens the internal market</w:t>
      </w:r>
      <w:r w:rsidR="009F3DD5">
        <w:rPr>
          <w:rFonts w:ascii="Verdana" w:hAnsi="Verdana" w:eastAsia="Verdana" w:cs="Verdana"/>
          <w:sz w:val="18"/>
          <w:szCs w:val="18"/>
          <w:lang w:val="en-GB"/>
        </w:rPr>
        <w:t>,</w:t>
      </w:r>
      <w:r w:rsidR="005D21BD">
        <w:rPr>
          <w:rFonts w:ascii="Verdana" w:hAnsi="Verdana" w:eastAsia="Verdana" w:cs="Verdana"/>
          <w:sz w:val="18"/>
          <w:szCs w:val="18"/>
          <w:lang w:val="en-GB"/>
        </w:rPr>
        <w:t xml:space="preserve"> </w:t>
      </w:r>
      <w:r w:rsidRPr="00196C4E">
        <w:rPr>
          <w:rFonts w:ascii="Verdana" w:hAnsi="Verdana" w:eastAsia="Verdana" w:cs="Verdana"/>
          <w:sz w:val="18"/>
          <w:szCs w:val="18"/>
          <w:lang w:val="en-GB"/>
        </w:rPr>
        <w:t>makes the Union more resilient</w:t>
      </w:r>
      <w:r w:rsidRPr="00196C4E" w:rsidR="0010026E">
        <w:rPr>
          <w:rFonts w:ascii="Verdana" w:hAnsi="Verdana" w:eastAsia="Verdana" w:cs="Verdana"/>
          <w:sz w:val="18"/>
          <w:szCs w:val="18"/>
          <w:lang w:val="en-GB"/>
        </w:rPr>
        <w:t xml:space="preserve">, and has the potential to create a </w:t>
      </w:r>
      <w:r w:rsidRPr="00196C4E" w:rsidR="00796E1F">
        <w:rPr>
          <w:rFonts w:ascii="Verdana" w:hAnsi="Verdana" w:eastAsia="Verdana" w:cs="Verdana"/>
          <w:sz w:val="18"/>
          <w:szCs w:val="18"/>
          <w:lang w:val="en-GB"/>
        </w:rPr>
        <w:t xml:space="preserve">more </w:t>
      </w:r>
      <w:r w:rsidRPr="00196C4E" w:rsidR="0010026E">
        <w:rPr>
          <w:rFonts w:ascii="Verdana" w:hAnsi="Verdana" w:eastAsia="Verdana" w:cs="Verdana"/>
          <w:sz w:val="18"/>
          <w:szCs w:val="18"/>
          <w:lang w:val="en-GB"/>
        </w:rPr>
        <w:t>favo</w:t>
      </w:r>
      <w:r w:rsidR="00196C4E">
        <w:rPr>
          <w:rFonts w:ascii="Verdana" w:hAnsi="Verdana" w:eastAsia="Verdana" w:cs="Verdana"/>
          <w:sz w:val="18"/>
          <w:szCs w:val="18"/>
          <w:lang w:val="en-GB"/>
        </w:rPr>
        <w:t>u</w:t>
      </w:r>
      <w:r w:rsidRPr="00196C4E" w:rsidR="0010026E">
        <w:rPr>
          <w:rFonts w:ascii="Verdana" w:hAnsi="Verdana" w:eastAsia="Verdana" w:cs="Verdana"/>
          <w:sz w:val="18"/>
          <w:szCs w:val="18"/>
          <w:lang w:val="en-GB"/>
        </w:rPr>
        <w:t>rable environment for innovation of digital technologies and infrastructure</w:t>
      </w:r>
      <w:r w:rsidRPr="00196C4E">
        <w:rPr>
          <w:rFonts w:ascii="Verdana" w:hAnsi="Verdana" w:eastAsia="Verdana" w:cs="Verdana"/>
          <w:sz w:val="18"/>
          <w:szCs w:val="18"/>
          <w:lang w:val="en-GB"/>
        </w:rPr>
        <w:t xml:space="preserve">. </w:t>
      </w:r>
      <w:r w:rsidR="009F3DD5">
        <w:rPr>
          <w:rFonts w:ascii="Verdana" w:hAnsi="Verdana" w:eastAsia="Verdana" w:cs="Verdana"/>
          <w:sz w:val="18"/>
          <w:szCs w:val="18"/>
          <w:lang w:val="en-GB"/>
        </w:rPr>
        <w:t>T</w:t>
      </w:r>
      <w:r w:rsidRPr="009F3DD5" w:rsidR="009F3DD5">
        <w:rPr>
          <w:rFonts w:ascii="Verdana" w:hAnsi="Verdana" w:eastAsia="Verdana" w:cs="Verdana"/>
          <w:sz w:val="18"/>
          <w:szCs w:val="18"/>
          <w:lang w:val="en-GB"/>
        </w:rPr>
        <w:t>o foster innovation, attract investment and realise the EU’s technological leadership, we must focus on decisive reforms that achieve tangible simplification and enhance legal predictability and efficiency in the digital domain while safeguarding core values.</w:t>
      </w:r>
      <w:r w:rsidR="00973287">
        <w:rPr>
          <w:rStyle w:val="Voetnootmarkering"/>
          <w:rFonts w:ascii="Verdana" w:hAnsi="Verdana" w:eastAsia="Verdana" w:cs="Verdana"/>
          <w:sz w:val="18"/>
          <w:szCs w:val="18"/>
          <w:lang w:val="en-GB"/>
        </w:rPr>
        <w:footnoteReference w:id="2"/>
      </w:r>
      <w:r w:rsidR="009F3DD5">
        <w:rPr>
          <w:rFonts w:ascii="Verdana" w:hAnsi="Verdana" w:eastAsia="Verdana" w:cs="Verdana"/>
          <w:sz w:val="18"/>
          <w:szCs w:val="18"/>
          <w:lang w:val="en-GB"/>
        </w:rPr>
        <w:t xml:space="preserve"> </w:t>
      </w:r>
      <w:r w:rsidRPr="00196C4E">
        <w:rPr>
          <w:rFonts w:ascii="Verdana" w:hAnsi="Verdana" w:eastAsia="Verdana" w:cs="Verdana"/>
          <w:sz w:val="18"/>
          <w:szCs w:val="18"/>
          <w:lang w:val="en-GB"/>
        </w:rPr>
        <w:t xml:space="preserve">We must ensure the digital rulebook is implemented </w:t>
      </w:r>
      <w:r w:rsidRPr="00196C4E" w:rsidR="0010026E">
        <w:rPr>
          <w:rFonts w:ascii="Verdana" w:hAnsi="Verdana" w:eastAsia="Verdana" w:cs="Verdana"/>
          <w:sz w:val="18"/>
          <w:szCs w:val="18"/>
          <w:lang w:val="en-GB"/>
        </w:rPr>
        <w:t>in</w:t>
      </w:r>
      <w:r w:rsidRPr="00196C4E">
        <w:rPr>
          <w:rFonts w:ascii="Verdana" w:hAnsi="Verdana" w:eastAsia="Verdana" w:cs="Verdana"/>
          <w:sz w:val="18"/>
          <w:szCs w:val="18"/>
          <w:lang w:val="en-GB"/>
        </w:rPr>
        <w:t xml:space="preserve"> such </w:t>
      </w:r>
      <w:r w:rsidRPr="00196C4E" w:rsidR="0010026E">
        <w:rPr>
          <w:rFonts w:ascii="Verdana" w:hAnsi="Verdana" w:eastAsia="Verdana" w:cs="Verdana"/>
          <w:sz w:val="18"/>
          <w:szCs w:val="18"/>
          <w:lang w:val="en-GB"/>
        </w:rPr>
        <w:t>a way that it truly</w:t>
      </w:r>
      <w:r w:rsidRPr="00196C4E">
        <w:rPr>
          <w:rFonts w:ascii="Verdana" w:hAnsi="Verdana" w:eastAsia="Verdana" w:cs="Verdana"/>
          <w:sz w:val="18"/>
          <w:szCs w:val="18"/>
          <w:lang w:val="en-GB"/>
        </w:rPr>
        <w:t xml:space="preserve"> enable</w:t>
      </w:r>
      <w:r w:rsidRPr="00196C4E" w:rsidR="0010026E">
        <w:rPr>
          <w:rFonts w:ascii="Verdana" w:hAnsi="Verdana" w:eastAsia="Verdana" w:cs="Verdana"/>
          <w:sz w:val="18"/>
          <w:szCs w:val="18"/>
          <w:lang w:val="en-GB"/>
        </w:rPr>
        <w:t>s</w:t>
      </w:r>
      <w:r w:rsidRPr="00196C4E">
        <w:rPr>
          <w:rFonts w:ascii="Verdana" w:hAnsi="Verdana" w:eastAsia="Verdana" w:cs="Verdana"/>
          <w:sz w:val="18"/>
          <w:szCs w:val="18"/>
          <w:lang w:val="en-GB"/>
        </w:rPr>
        <w:t xml:space="preserve"> innovation</w:t>
      </w:r>
      <w:r w:rsidRPr="00196C4E" w:rsidR="0010026E">
        <w:rPr>
          <w:rFonts w:ascii="Verdana" w:hAnsi="Verdana" w:eastAsia="Verdana" w:cs="Verdana"/>
          <w:sz w:val="18"/>
          <w:szCs w:val="18"/>
          <w:lang w:val="en-GB"/>
        </w:rPr>
        <w:t xml:space="preserve"> and growth, while also</w:t>
      </w:r>
      <w:r w:rsidRPr="00196C4E">
        <w:rPr>
          <w:rFonts w:ascii="Verdana" w:hAnsi="Verdana" w:eastAsia="Verdana" w:cs="Verdana"/>
          <w:sz w:val="18"/>
          <w:szCs w:val="18"/>
          <w:lang w:val="en-GB"/>
        </w:rPr>
        <w:t xml:space="preserve"> </w:t>
      </w:r>
      <w:r w:rsidRPr="00196C4E" w:rsidR="00796E1F">
        <w:rPr>
          <w:rFonts w:ascii="Verdana" w:hAnsi="Verdana" w:eastAsia="Verdana" w:cs="Verdana"/>
          <w:sz w:val="18"/>
          <w:szCs w:val="18"/>
          <w:lang w:val="en-GB"/>
        </w:rPr>
        <w:t>upholding</w:t>
      </w:r>
      <w:r w:rsidRPr="00196C4E" w:rsidR="0010026E">
        <w:rPr>
          <w:rFonts w:ascii="Verdana" w:hAnsi="Verdana" w:eastAsia="Verdana" w:cs="Verdana"/>
          <w:sz w:val="18"/>
          <w:szCs w:val="18"/>
          <w:lang w:val="en-GB"/>
        </w:rPr>
        <w:t xml:space="preserve"> fundamental rights</w:t>
      </w:r>
      <w:r w:rsidRPr="00196C4E">
        <w:rPr>
          <w:rFonts w:ascii="Verdana" w:hAnsi="Verdana" w:eastAsia="Verdana" w:cs="Verdana"/>
          <w:sz w:val="18"/>
          <w:szCs w:val="18"/>
          <w:lang w:val="en-GB"/>
        </w:rPr>
        <w:t xml:space="preserve">. </w:t>
      </w:r>
    </w:p>
    <w:p w:rsidRPr="00196C4E" w:rsidR="16517DC0" w:rsidRDefault="16517DC0" w14:paraId="7561444E" w14:textId="4D305291">
      <w:pPr>
        <w:rPr>
          <w:lang w:val="en-GB"/>
        </w:rPr>
      </w:pPr>
      <w:r w:rsidRPr="00196C4E">
        <w:rPr>
          <w:rFonts w:ascii="Verdana" w:hAnsi="Verdana" w:eastAsia="Verdana" w:cs="Verdana"/>
          <w:sz w:val="18"/>
          <w:szCs w:val="18"/>
          <w:lang w:val="en-GB"/>
        </w:rPr>
        <w:t xml:space="preserve">We therefore welcome the digital omnibus and </w:t>
      </w:r>
      <w:r w:rsidRPr="00196C4E" w:rsidR="00D24E13">
        <w:rPr>
          <w:rFonts w:ascii="Verdana" w:hAnsi="Verdana" w:eastAsia="Verdana" w:cs="Verdana"/>
          <w:sz w:val="18"/>
          <w:szCs w:val="18"/>
          <w:lang w:val="en-GB"/>
        </w:rPr>
        <w:t xml:space="preserve">its aim to simplify, clarify, and streamline digital legislation to lower administrative burden, while keeping the underlying objectives intact. </w:t>
      </w:r>
      <w:r w:rsidRPr="00196C4E" w:rsidR="00796E1F">
        <w:rPr>
          <w:rFonts w:ascii="Verdana" w:hAnsi="Verdana" w:eastAsia="Verdana" w:cs="Verdana"/>
          <w:sz w:val="18"/>
          <w:szCs w:val="18"/>
          <w:lang w:val="en-GB"/>
        </w:rPr>
        <w:t>Besides the omnibus, the Digital Fitness Check is an important step to assess the cumulative effects of the digital acquis</w:t>
      </w:r>
      <w:r w:rsidR="004A3269">
        <w:rPr>
          <w:rFonts w:ascii="Verdana" w:hAnsi="Verdana" w:eastAsia="Verdana" w:cs="Verdana"/>
          <w:sz w:val="18"/>
          <w:szCs w:val="18"/>
          <w:lang w:val="en-GB"/>
        </w:rPr>
        <w:t>,</w:t>
      </w:r>
      <w:r w:rsidRPr="00196C4E" w:rsidR="00796E1F">
        <w:rPr>
          <w:rFonts w:ascii="Verdana" w:hAnsi="Verdana" w:eastAsia="Verdana" w:cs="Verdana"/>
          <w:sz w:val="18"/>
          <w:szCs w:val="18"/>
          <w:lang w:val="en-GB"/>
        </w:rPr>
        <w:t xml:space="preserve"> more practical tools and assistance should be provided to businesses</w:t>
      </w:r>
      <w:r w:rsidR="004A3269">
        <w:rPr>
          <w:rFonts w:ascii="Verdana" w:hAnsi="Verdana" w:eastAsia="Verdana" w:cs="Verdana"/>
          <w:sz w:val="18"/>
          <w:szCs w:val="18"/>
          <w:lang w:val="en-GB"/>
        </w:rPr>
        <w:t>,</w:t>
      </w:r>
      <w:r w:rsidRPr="00196C4E" w:rsidR="00796E1F">
        <w:rPr>
          <w:rFonts w:ascii="Verdana" w:hAnsi="Verdana" w:eastAsia="Verdana" w:cs="Verdana"/>
          <w:sz w:val="18"/>
          <w:szCs w:val="18"/>
          <w:lang w:val="en-GB"/>
        </w:rPr>
        <w:t xml:space="preserve"> and European governance of the digital rulebook should become more streamlined and consistent. </w:t>
      </w:r>
      <w:r w:rsidRPr="00196C4E" w:rsidR="00D24E13">
        <w:rPr>
          <w:rFonts w:ascii="Verdana" w:hAnsi="Verdana" w:eastAsia="Verdana" w:cs="Verdana"/>
          <w:sz w:val="18"/>
          <w:szCs w:val="18"/>
          <w:lang w:val="en-GB"/>
        </w:rPr>
        <w:t xml:space="preserve">That is why we believe </w:t>
      </w:r>
      <w:r w:rsidRPr="00196C4E">
        <w:rPr>
          <w:rFonts w:ascii="Verdana" w:hAnsi="Verdana" w:eastAsia="Verdana" w:cs="Verdana"/>
          <w:sz w:val="18"/>
          <w:szCs w:val="18"/>
          <w:lang w:val="en-GB"/>
        </w:rPr>
        <w:t xml:space="preserve">the negotiations in the </w:t>
      </w:r>
      <w:proofErr w:type="spellStart"/>
      <w:r w:rsidRPr="00196C4E">
        <w:rPr>
          <w:rFonts w:ascii="Verdana" w:hAnsi="Verdana" w:eastAsia="Verdana" w:cs="Verdana"/>
          <w:sz w:val="18"/>
          <w:szCs w:val="18"/>
          <w:lang w:val="en-GB"/>
        </w:rPr>
        <w:t>Antici</w:t>
      </w:r>
      <w:proofErr w:type="spellEnd"/>
      <w:r w:rsidRPr="00196C4E">
        <w:rPr>
          <w:rFonts w:ascii="Verdana" w:hAnsi="Verdana" w:eastAsia="Verdana" w:cs="Verdana"/>
          <w:sz w:val="18"/>
          <w:szCs w:val="18"/>
          <w:lang w:val="en-GB"/>
        </w:rPr>
        <w:t xml:space="preserve"> Group on Simplification (AGS) </w:t>
      </w:r>
      <w:r w:rsidR="004A3269">
        <w:rPr>
          <w:rFonts w:ascii="Verdana" w:hAnsi="Verdana" w:eastAsia="Verdana" w:cs="Verdana"/>
          <w:sz w:val="18"/>
          <w:szCs w:val="18"/>
          <w:lang w:val="en-GB"/>
        </w:rPr>
        <w:t>as well as</w:t>
      </w:r>
      <w:r w:rsidRPr="00196C4E" w:rsidR="00425BEE">
        <w:rPr>
          <w:rFonts w:ascii="Verdana" w:hAnsi="Verdana" w:eastAsia="Verdana" w:cs="Verdana"/>
          <w:sz w:val="18"/>
          <w:szCs w:val="18"/>
          <w:lang w:val="en-GB"/>
        </w:rPr>
        <w:t xml:space="preserve"> further simplification efforts </w:t>
      </w:r>
      <w:r w:rsidRPr="00196C4E">
        <w:rPr>
          <w:rFonts w:ascii="Verdana" w:hAnsi="Verdana" w:eastAsia="Verdana" w:cs="Verdana"/>
          <w:sz w:val="18"/>
          <w:szCs w:val="18"/>
          <w:lang w:val="en-GB"/>
        </w:rPr>
        <w:t xml:space="preserve">should </w:t>
      </w:r>
      <w:r w:rsidRPr="00196C4E" w:rsidR="00D24E13">
        <w:rPr>
          <w:rFonts w:ascii="Verdana" w:hAnsi="Verdana" w:eastAsia="Verdana" w:cs="Verdana"/>
          <w:sz w:val="18"/>
          <w:szCs w:val="18"/>
          <w:lang w:val="en-GB"/>
        </w:rPr>
        <w:t xml:space="preserve">continue </w:t>
      </w:r>
      <w:r w:rsidRPr="00196C4E" w:rsidR="00E5581C">
        <w:rPr>
          <w:rFonts w:ascii="Verdana" w:hAnsi="Verdana" w:eastAsia="Verdana" w:cs="Verdana"/>
          <w:sz w:val="18"/>
          <w:szCs w:val="18"/>
          <w:lang w:val="en-GB"/>
        </w:rPr>
        <w:t>swiftly</w:t>
      </w:r>
      <w:r w:rsidR="007E38DE">
        <w:rPr>
          <w:rFonts w:ascii="Verdana" w:hAnsi="Verdana" w:eastAsia="Verdana" w:cs="Verdana"/>
          <w:sz w:val="18"/>
          <w:szCs w:val="18"/>
          <w:lang w:val="en-GB"/>
        </w:rPr>
        <w:t xml:space="preserve">, as was </w:t>
      </w:r>
      <w:r w:rsidR="001A0D71">
        <w:rPr>
          <w:rFonts w:ascii="Verdana" w:hAnsi="Verdana" w:eastAsia="Verdana" w:cs="Verdana"/>
          <w:sz w:val="18"/>
          <w:szCs w:val="18"/>
          <w:lang w:val="en-GB"/>
        </w:rPr>
        <w:t xml:space="preserve">also </w:t>
      </w:r>
      <w:r w:rsidR="007E38DE">
        <w:rPr>
          <w:rFonts w:ascii="Verdana" w:hAnsi="Verdana" w:eastAsia="Verdana" w:cs="Verdana"/>
          <w:sz w:val="18"/>
          <w:szCs w:val="18"/>
          <w:lang w:val="en-GB"/>
        </w:rPr>
        <w:t>underlined during the Coreper II meeting of February 25</w:t>
      </w:r>
      <w:r w:rsidRPr="00196C4E">
        <w:rPr>
          <w:rFonts w:ascii="Verdana" w:hAnsi="Verdana" w:eastAsia="Verdana" w:cs="Verdana"/>
          <w:sz w:val="18"/>
          <w:szCs w:val="18"/>
          <w:lang w:val="en-GB"/>
        </w:rPr>
        <w:t>.</w:t>
      </w:r>
      <w:r w:rsidRPr="00196C4E" w:rsidR="00796E1F">
        <w:rPr>
          <w:rFonts w:ascii="Verdana" w:hAnsi="Verdana" w:eastAsia="Verdana" w:cs="Verdana"/>
          <w:sz w:val="18"/>
          <w:szCs w:val="18"/>
          <w:lang w:val="en-GB"/>
        </w:rPr>
        <w:t xml:space="preserve"> </w:t>
      </w:r>
    </w:p>
    <w:p w:rsidRPr="008D3CD6" w:rsidR="16517DC0" w:rsidRDefault="16517DC0" w14:paraId="32B5D92E" w14:textId="2B771266">
      <w:r w:rsidRPr="008D3CD6">
        <w:rPr>
          <w:rFonts w:ascii="Verdana" w:hAnsi="Verdana" w:eastAsia="Verdana" w:cs="Verdana"/>
          <w:b/>
          <w:bCs/>
          <w:sz w:val="18"/>
          <w:szCs w:val="18"/>
          <w:u w:val="single"/>
        </w:rPr>
        <w:t>Need to remain focused</w:t>
      </w:r>
      <w:r w:rsidRPr="008D3CD6" w:rsidR="00F96397">
        <w:rPr>
          <w:rFonts w:ascii="Verdana" w:hAnsi="Verdana" w:eastAsia="Verdana" w:cs="Verdana"/>
          <w:b/>
          <w:bCs/>
          <w:sz w:val="18"/>
          <w:szCs w:val="18"/>
          <w:u w:val="single"/>
        </w:rPr>
        <w:t xml:space="preserve"> </w:t>
      </w:r>
    </w:p>
    <w:p w:rsidR="00E856E1" w:rsidP="00F46A24" w:rsidRDefault="16517DC0" w14:paraId="734206DD" w14:textId="26500E20">
      <w:pPr>
        <w:rPr>
          <w:rFonts w:ascii="Verdana" w:hAnsi="Verdana" w:eastAsia="Verdana" w:cs="Verdana"/>
          <w:sz w:val="18"/>
          <w:szCs w:val="18"/>
          <w:lang w:val="en-GB"/>
        </w:rPr>
      </w:pPr>
      <w:r w:rsidRPr="00196C4E">
        <w:rPr>
          <w:rFonts w:ascii="Verdana" w:hAnsi="Verdana" w:eastAsia="Verdana" w:cs="Verdana"/>
          <w:sz w:val="18"/>
          <w:szCs w:val="18"/>
          <w:lang w:val="en-GB"/>
        </w:rPr>
        <w:t>At the same time, we see a risk</w:t>
      </w:r>
      <w:r w:rsidRPr="00196C4E" w:rsidR="00336A75">
        <w:rPr>
          <w:rFonts w:ascii="Verdana" w:hAnsi="Verdana" w:eastAsia="Verdana" w:cs="Verdana"/>
          <w:sz w:val="18"/>
          <w:szCs w:val="18"/>
          <w:lang w:val="en-GB"/>
        </w:rPr>
        <w:t xml:space="preserve"> for a delay resulting from the Commission’s proposal </w:t>
      </w:r>
      <w:r w:rsidR="00E856E1">
        <w:rPr>
          <w:rFonts w:ascii="Verdana" w:hAnsi="Verdana" w:eastAsia="Verdana" w:cs="Verdana"/>
          <w:sz w:val="18"/>
          <w:szCs w:val="18"/>
          <w:lang w:val="en-GB"/>
        </w:rPr>
        <w:t xml:space="preserve">to include some far-reaching changes in the </w:t>
      </w:r>
      <w:r w:rsidRPr="00196C4E" w:rsidR="00336A75">
        <w:rPr>
          <w:rFonts w:ascii="Verdana" w:hAnsi="Verdana" w:eastAsia="Verdana" w:cs="Verdana"/>
          <w:sz w:val="18"/>
          <w:szCs w:val="18"/>
          <w:lang w:val="en-GB"/>
        </w:rPr>
        <w:t xml:space="preserve">Digital Omnibus. </w:t>
      </w:r>
      <w:r w:rsidR="004A3269">
        <w:rPr>
          <w:rFonts w:ascii="Verdana" w:hAnsi="Verdana" w:eastAsia="Verdana" w:cs="Verdana"/>
          <w:sz w:val="18"/>
          <w:szCs w:val="18"/>
          <w:lang w:val="en-GB"/>
        </w:rPr>
        <w:t xml:space="preserve">As underlined by the joint opinion by the </w:t>
      </w:r>
      <w:r w:rsidRPr="00196C4E" w:rsidR="004A3269">
        <w:rPr>
          <w:rFonts w:ascii="Verdana" w:hAnsi="Verdana" w:eastAsia="Verdana" w:cs="Verdana"/>
          <w:sz w:val="18"/>
          <w:szCs w:val="18"/>
          <w:lang w:val="en-GB"/>
        </w:rPr>
        <w:t>European Data Protection Supervisor (EDPS) and European Data Protection Board (EDPB)</w:t>
      </w:r>
      <w:r w:rsidR="004A3269">
        <w:rPr>
          <w:rFonts w:ascii="Verdana" w:hAnsi="Verdana" w:eastAsia="Verdana" w:cs="Verdana"/>
          <w:sz w:val="18"/>
          <w:szCs w:val="18"/>
          <w:lang w:val="en-GB"/>
        </w:rPr>
        <w:t xml:space="preserve">, </w:t>
      </w:r>
      <w:r w:rsidR="00973287">
        <w:rPr>
          <w:rFonts w:ascii="Verdana" w:hAnsi="Verdana" w:eastAsia="Verdana" w:cs="Verdana"/>
          <w:sz w:val="18"/>
          <w:szCs w:val="18"/>
          <w:lang w:val="en-GB"/>
        </w:rPr>
        <w:t>a number of</w:t>
      </w:r>
      <w:r w:rsidRPr="00196C4E" w:rsidR="00973287">
        <w:rPr>
          <w:rFonts w:ascii="Verdana" w:hAnsi="Verdana" w:eastAsia="Verdana" w:cs="Verdana"/>
          <w:sz w:val="18"/>
          <w:szCs w:val="18"/>
          <w:lang w:val="en-GB"/>
        </w:rPr>
        <w:t xml:space="preserve"> </w:t>
      </w:r>
      <w:r w:rsidRPr="00196C4E" w:rsidR="00514379">
        <w:rPr>
          <w:rFonts w:ascii="Verdana" w:hAnsi="Verdana" w:eastAsia="Verdana" w:cs="Verdana"/>
          <w:sz w:val="18"/>
          <w:szCs w:val="18"/>
          <w:lang w:val="en-GB"/>
        </w:rPr>
        <w:t xml:space="preserve">proposed changes to the General Data Protection Regulation (GDPR) </w:t>
      </w:r>
      <w:r w:rsidRPr="00196C4E" w:rsidR="00E856E1">
        <w:rPr>
          <w:rFonts w:ascii="Verdana" w:hAnsi="Verdana" w:eastAsia="Verdana" w:cs="Verdana"/>
          <w:sz w:val="18"/>
          <w:szCs w:val="18"/>
          <w:lang w:val="en-GB"/>
        </w:rPr>
        <w:t xml:space="preserve">seem to go beyond the objectives of simplifying, clarifying, and streamlining legislation </w:t>
      </w:r>
      <w:r w:rsidR="00E856E1">
        <w:rPr>
          <w:rFonts w:ascii="Verdana" w:hAnsi="Verdana" w:eastAsia="Verdana" w:cs="Verdana"/>
          <w:sz w:val="18"/>
          <w:szCs w:val="18"/>
          <w:lang w:val="en-GB"/>
        </w:rPr>
        <w:t xml:space="preserve">and </w:t>
      </w:r>
      <w:r w:rsidR="00973287">
        <w:rPr>
          <w:rFonts w:ascii="Verdana" w:hAnsi="Verdana" w:eastAsia="Verdana" w:cs="Verdana"/>
          <w:sz w:val="18"/>
          <w:szCs w:val="18"/>
          <w:lang w:val="en-GB"/>
        </w:rPr>
        <w:t xml:space="preserve">raise significant concerns </w:t>
      </w:r>
      <w:r w:rsidR="008D3CD6">
        <w:rPr>
          <w:rFonts w:ascii="Verdana" w:hAnsi="Verdana" w:eastAsia="Verdana" w:cs="Verdana"/>
          <w:sz w:val="18"/>
          <w:szCs w:val="18"/>
          <w:lang w:val="en-GB"/>
        </w:rPr>
        <w:t>about</w:t>
      </w:r>
      <w:r w:rsidRPr="00196C4E" w:rsidR="00514379">
        <w:rPr>
          <w:rFonts w:ascii="Verdana" w:hAnsi="Verdana" w:eastAsia="Verdana" w:cs="Verdana"/>
          <w:sz w:val="18"/>
          <w:szCs w:val="18"/>
          <w:lang w:val="en-GB"/>
        </w:rPr>
        <w:t xml:space="preserve"> the level of data protection</w:t>
      </w:r>
      <w:r w:rsidR="00973287">
        <w:rPr>
          <w:rFonts w:ascii="Verdana" w:hAnsi="Verdana" w:eastAsia="Verdana" w:cs="Verdana"/>
          <w:sz w:val="18"/>
          <w:szCs w:val="18"/>
          <w:lang w:val="en-GB"/>
        </w:rPr>
        <w:t xml:space="preserve"> enjoyed by individuals</w:t>
      </w:r>
      <w:r w:rsidRPr="00196C4E" w:rsidR="00514379">
        <w:rPr>
          <w:rFonts w:ascii="Verdana" w:hAnsi="Verdana" w:eastAsia="Verdana" w:cs="Verdana"/>
          <w:sz w:val="18"/>
          <w:szCs w:val="18"/>
          <w:lang w:val="en-GB"/>
        </w:rPr>
        <w:t>, and hence fundamental rights, without clearly contributing to administrative burden reduction.</w:t>
      </w:r>
      <w:r w:rsidR="00973287">
        <w:rPr>
          <w:rStyle w:val="Voetnootmarkering"/>
          <w:rFonts w:ascii="Verdana" w:hAnsi="Verdana" w:eastAsia="Verdana" w:cs="Verdana"/>
          <w:sz w:val="18"/>
          <w:szCs w:val="18"/>
          <w:lang w:val="en-GB"/>
        </w:rPr>
        <w:footnoteReference w:id="3"/>
      </w:r>
      <w:r w:rsidRPr="00196C4E" w:rsidR="00514379">
        <w:rPr>
          <w:rFonts w:ascii="Verdana" w:hAnsi="Verdana" w:eastAsia="Verdana" w:cs="Verdana"/>
          <w:sz w:val="18"/>
          <w:szCs w:val="18"/>
          <w:lang w:val="en-GB"/>
        </w:rPr>
        <w:t xml:space="preserve"> </w:t>
      </w:r>
    </w:p>
    <w:p w:rsidR="0018253C" w:rsidP="00F46A24" w:rsidRDefault="00514379" w14:paraId="6510C888" w14:textId="13BD0EC2">
      <w:pPr>
        <w:rPr>
          <w:rFonts w:ascii="Verdana" w:hAnsi="Verdana" w:eastAsia="Verdana" w:cs="Verdana"/>
          <w:sz w:val="18"/>
          <w:szCs w:val="18"/>
          <w:lang w:val="en-GB"/>
        </w:rPr>
      </w:pPr>
      <w:r w:rsidRPr="00196C4E">
        <w:rPr>
          <w:rFonts w:ascii="Verdana" w:hAnsi="Verdana" w:eastAsia="Verdana" w:cs="Verdana"/>
          <w:sz w:val="18"/>
          <w:szCs w:val="18"/>
          <w:lang w:val="en-GB"/>
        </w:rPr>
        <w:t>While these changes are presented as tools to enhance competitiveness and make data rules simpler, clearer and more cost-effective for business</w:t>
      </w:r>
      <w:r w:rsidR="008D3CD6">
        <w:rPr>
          <w:rFonts w:ascii="Verdana" w:hAnsi="Verdana" w:eastAsia="Verdana" w:cs="Verdana"/>
          <w:sz w:val="18"/>
          <w:szCs w:val="18"/>
          <w:lang w:val="en-GB"/>
        </w:rPr>
        <w:t>es</w:t>
      </w:r>
      <w:r w:rsidRPr="00196C4E">
        <w:rPr>
          <w:rFonts w:ascii="Verdana" w:hAnsi="Verdana" w:eastAsia="Verdana" w:cs="Verdana"/>
          <w:sz w:val="18"/>
          <w:szCs w:val="18"/>
          <w:lang w:val="en-GB"/>
        </w:rPr>
        <w:t>, in reality,</w:t>
      </w:r>
      <w:r w:rsidR="004A3269">
        <w:rPr>
          <w:rFonts w:ascii="Verdana" w:hAnsi="Verdana" w:eastAsia="Verdana" w:cs="Verdana"/>
          <w:sz w:val="18"/>
          <w:szCs w:val="18"/>
          <w:lang w:val="en-GB"/>
        </w:rPr>
        <w:t xml:space="preserve"> they go beyond this objective by touching the core of </w:t>
      </w:r>
      <w:r w:rsidR="009F3DD5">
        <w:rPr>
          <w:rFonts w:ascii="Verdana" w:hAnsi="Verdana" w:eastAsia="Verdana" w:cs="Verdana"/>
          <w:sz w:val="18"/>
          <w:szCs w:val="18"/>
          <w:lang w:val="en-GB"/>
        </w:rPr>
        <w:t xml:space="preserve">the EU-Charter right to </w:t>
      </w:r>
      <w:r w:rsidR="004A3269">
        <w:rPr>
          <w:rFonts w:ascii="Verdana" w:hAnsi="Verdana" w:eastAsia="Verdana" w:cs="Verdana"/>
          <w:sz w:val="18"/>
          <w:szCs w:val="18"/>
          <w:lang w:val="en-GB"/>
        </w:rPr>
        <w:t>data protection. As the GDPR a</w:t>
      </w:r>
      <w:r w:rsidRPr="00196C4E">
        <w:rPr>
          <w:rFonts w:ascii="Verdana" w:hAnsi="Verdana" w:eastAsia="Verdana" w:cs="Verdana"/>
          <w:sz w:val="18"/>
          <w:szCs w:val="18"/>
          <w:lang w:val="en-GB"/>
        </w:rPr>
        <w:t>pplies to every individual and organisation that processes personal data</w:t>
      </w:r>
      <w:r w:rsidR="004A3269">
        <w:rPr>
          <w:rFonts w:ascii="Verdana" w:hAnsi="Verdana" w:eastAsia="Verdana" w:cs="Verdana"/>
          <w:sz w:val="18"/>
          <w:szCs w:val="18"/>
          <w:lang w:val="en-GB"/>
        </w:rPr>
        <w:t xml:space="preserve"> – including government agencies and their processing of personal data of </w:t>
      </w:r>
      <w:r w:rsidR="009F3DD5">
        <w:rPr>
          <w:rFonts w:ascii="Verdana" w:hAnsi="Verdana" w:eastAsia="Verdana" w:cs="Verdana"/>
          <w:sz w:val="18"/>
          <w:szCs w:val="18"/>
          <w:lang w:val="en-GB"/>
        </w:rPr>
        <w:t xml:space="preserve">individuals </w:t>
      </w:r>
      <w:r w:rsidR="004A3269">
        <w:rPr>
          <w:rFonts w:ascii="Verdana" w:hAnsi="Verdana" w:eastAsia="Verdana" w:cs="Verdana"/>
          <w:sz w:val="18"/>
          <w:szCs w:val="18"/>
          <w:lang w:val="en-GB"/>
        </w:rPr>
        <w:t xml:space="preserve">– </w:t>
      </w:r>
      <w:r w:rsidR="0018253C">
        <w:rPr>
          <w:rFonts w:ascii="Verdana" w:hAnsi="Verdana" w:eastAsia="Verdana" w:cs="Verdana"/>
          <w:sz w:val="18"/>
          <w:szCs w:val="18"/>
          <w:lang w:val="en-GB"/>
        </w:rPr>
        <w:t xml:space="preserve">the proposed changes will have an effect on the protection of society as a whole. </w:t>
      </w:r>
    </w:p>
    <w:p w:rsidRPr="0018253C" w:rsidR="00E61CB5" w:rsidP="00482D30" w:rsidRDefault="005D21BD" w14:paraId="5183AA82" w14:textId="0CEFE61E">
      <w:pPr>
        <w:rPr>
          <w:rFonts w:ascii="Verdana" w:hAnsi="Verdana" w:eastAsia="Verdana" w:cs="Verdana"/>
          <w:sz w:val="18"/>
          <w:szCs w:val="18"/>
          <w:lang w:val="en-GB"/>
        </w:rPr>
      </w:pPr>
      <w:r>
        <w:rPr>
          <w:rFonts w:ascii="Verdana" w:hAnsi="Verdana" w:eastAsia="Verdana" w:cs="Verdana"/>
          <w:sz w:val="18"/>
          <w:szCs w:val="18"/>
          <w:lang w:val="en-GB"/>
        </w:rPr>
        <w:t>More needs to be done to ensure that EU-Charter rights remain properly protected. Therefore, s</w:t>
      </w:r>
      <w:r w:rsidRPr="00196C4E" w:rsidR="006F65D7">
        <w:rPr>
          <w:rFonts w:ascii="Verdana" w:hAnsi="Verdana" w:eastAsia="Verdana" w:cs="Verdana"/>
          <w:sz w:val="18"/>
          <w:szCs w:val="18"/>
          <w:lang w:val="en-GB"/>
        </w:rPr>
        <w:t>uch potentially far-reaching chang</w:t>
      </w:r>
      <w:r w:rsidR="0018253C">
        <w:rPr>
          <w:rFonts w:ascii="Verdana" w:hAnsi="Verdana" w:eastAsia="Verdana" w:cs="Verdana"/>
          <w:sz w:val="18"/>
          <w:szCs w:val="18"/>
          <w:lang w:val="en-GB"/>
        </w:rPr>
        <w:t>es following from the Commission’s proposal should be subject to sufficient discussion</w:t>
      </w:r>
      <w:r w:rsidR="009F3DD5">
        <w:rPr>
          <w:rFonts w:ascii="Verdana" w:hAnsi="Verdana" w:eastAsia="Verdana" w:cs="Verdana"/>
          <w:sz w:val="18"/>
          <w:szCs w:val="18"/>
          <w:lang w:val="en-GB"/>
        </w:rPr>
        <w:t>, scrutiny,</w:t>
      </w:r>
      <w:r w:rsidR="0018253C">
        <w:rPr>
          <w:rFonts w:ascii="Verdana" w:hAnsi="Verdana" w:eastAsia="Verdana" w:cs="Verdana"/>
          <w:sz w:val="18"/>
          <w:szCs w:val="18"/>
          <w:lang w:val="en-GB"/>
        </w:rPr>
        <w:t xml:space="preserve"> and</w:t>
      </w:r>
      <w:r w:rsidRPr="00196C4E" w:rsidR="006F65D7">
        <w:rPr>
          <w:rFonts w:ascii="Verdana" w:hAnsi="Verdana" w:eastAsia="Verdana" w:cs="Verdana"/>
          <w:sz w:val="18"/>
          <w:szCs w:val="18"/>
          <w:lang w:val="en-GB"/>
        </w:rPr>
        <w:t xml:space="preserve"> </w:t>
      </w:r>
      <w:r w:rsidR="009F3DD5">
        <w:rPr>
          <w:rFonts w:ascii="Verdana" w:hAnsi="Verdana" w:eastAsia="Verdana" w:cs="Verdana"/>
          <w:sz w:val="18"/>
          <w:szCs w:val="18"/>
          <w:lang w:val="en-GB"/>
        </w:rPr>
        <w:t>require</w:t>
      </w:r>
      <w:r w:rsidRPr="00196C4E" w:rsidR="009F3DD5">
        <w:rPr>
          <w:rFonts w:ascii="Verdana" w:hAnsi="Verdana" w:eastAsia="Verdana" w:cs="Verdana"/>
          <w:sz w:val="18"/>
          <w:szCs w:val="18"/>
          <w:lang w:val="en-GB"/>
        </w:rPr>
        <w:t xml:space="preserve"> </w:t>
      </w:r>
      <w:r w:rsidRPr="00196C4E" w:rsidR="006F65D7">
        <w:rPr>
          <w:rFonts w:ascii="Verdana" w:hAnsi="Verdana" w:eastAsia="Verdana" w:cs="Verdana"/>
          <w:sz w:val="18"/>
          <w:szCs w:val="18"/>
          <w:lang w:val="en-GB"/>
        </w:rPr>
        <w:t>a proper impact assessment</w:t>
      </w:r>
      <w:r w:rsidR="007745ED">
        <w:rPr>
          <w:rFonts w:ascii="Verdana" w:hAnsi="Verdana" w:eastAsia="Verdana" w:cs="Verdana"/>
          <w:sz w:val="18"/>
          <w:szCs w:val="18"/>
          <w:lang w:val="en-GB"/>
        </w:rPr>
        <w:t>.</w:t>
      </w:r>
      <w:r w:rsidR="009E096E">
        <w:rPr>
          <w:rStyle w:val="Voetnootmarkering"/>
          <w:rFonts w:ascii="Verdana" w:hAnsi="Verdana" w:eastAsia="Verdana" w:cs="Verdana"/>
          <w:sz w:val="18"/>
          <w:szCs w:val="18"/>
          <w:lang w:val="en-GB"/>
        </w:rPr>
        <w:footnoteReference w:id="4"/>
      </w:r>
      <w:r w:rsidR="0018253C">
        <w:rPr>
          <w:rFonts w:ascii="Verdana" w:hAnsi="Verdana" w:eastAsia="Verdana" w:cs="Verdana"/>
          <w:sz w:val="18"/>
          <w:szCs w:val="18"/>
          <w:lang w:val="en-GB"/>
        </w:rPr>
        <w:t xml:space="preserve"> </w:t>
      </w:r>
      <w:r w:rsidRPr="00196C4E" w:rsidR="006B5AEC">
        <w:rPr>
          <w:rFonts w:ascii="Verdana" w:hAnsi="Verdana" w:eastAsia="Verdana" w:cs="Verdana"/>
          <w:sz w:val="18"/>
          <w:szCs w:val="18"/>
          <w:lang w:val="en-GB"/>
        </w:rPr>
        <w:t>However necessary</w:t>
      </w:r>
      <w:r w:rsidR="009F3DD5">
        <w:rPr>
          <w:rFonts w:ascii="Verdana" w:hAnsi="Verdana" w:eastAsia="Verdana" w:cs="Verdana"/>
          <w:sz w:val="18"/>
          <w:szCs w:val="18"/>
          <w:lang w:val="en-GB"/>
        </w:rPr>
        <w:t xml:space="preserve"> </w:t>
      </w:r>
      <w:r>
        <w:rPr>
          <w:rFonts w:ascii="Verdana" w:hAnsi="Verdana" w:eastAsia="Verdana" w:cs="Verdana"/>
          <w:sz w:val="18"/>
          <w:szCs w:val="18"/>
          <w:lang w:val="en-GB"/>
        </w:rPr>
        <w:t xml:space="preserve">in light of </w:t>
      </w:r>
      <w:r>
        <w:rPr>
          <w:rFonts w:ascii="Verdana" w:hAnsi="Verdana" w:eastAsia="Verdana" w:cs="Verdana"/>
          <w:sz w:val="18"/>
          <w:szCs w:val="18"/>
          <w:lang w:val="en-GB"/>
        </w:rPr>
        <w:lastRenderedPageBreak/>
        <w:t>the protection of fundamental human rights</w:t>
      </w:r>
      <w:r w:rsidRPr="00196C4E" w:rsidR="006B5AEC">
        <w:rPr>
          <w:rFonts w:ascii="Verdana" w:hAnsi="Verdana" w:eastAsia="Verdana" w:cs="Verdana"/>
          <w:sz w:val="18"/>
          <w:szCs w:val="18"/>
          <w:lang w:val="en-GB"/>
        </w:rPr>
        <w:t xml:space="preserve">, this </w:t>
      </w:r>
      <w:r>
        <w:rPr>
          <w:rFonts w:ascii="Verdana" w:hAnsi="Verdana" w:eastAsia="Verdana" w:cs="Verdana"/>
          <w:sz w:val="18"/>
          <w:szCs w:val="18"/>
          <w:lang w:val="en-GB"/>
        </w:rPr>
        <w:t xml:space="preserve">much needed scrutiny and discussion </w:t>
      </w:r>
      <w:r w:rsidRPr="00196C4E" w:rsidR="006B5AEC">
        <w:rPr>
          <w:rFonts w:ascii="Verdana" w:hAnsi="Verdana" w:eastAsia="Verdana" w:cs="Verdana"/>
          <w:sz w:val="18"/>
          <w:szCs w:val="18"/>
          <w:lang w:val="en-GB"/>
        </w:rPr>
        <w:t>would undoubtedly risk delaying the negotiations about the digital omnibus as a whole.</w:t>
      </w:r>
    </w:p>
    <w:p w:rsidRPr="00196C4E" w:rsidR="16517DC0" w:rsidRDefault="008E177A" w14:paraId="06142D53" w14:textId="59F3F23A">
      <w:pPr>
        <w:rPr>
          <w:lang w:val="en-GB"/>
        </w:rPr>
      </w:pPr>
      <w:r w:rsidRPr="00196C4E">
        <w:rPr>
          <w:rFonts w:ascii="Verdana" w:hAnsi="Verdana" w:eastAsia="Verdana" w:cs="Verdana"/>
          <w:b/>
          <w:bCs/>
          <w:sz w:val="18"/>
          <w:szCs w:val="18"/>
          <w:u w:val="single"/>
          <w:lang w:val="en-GB"/>
        </w:rPr>
        <w:t>A clean cut</w:t>
      </w:r>
      <w:r w:rsidRPr="00196C4E" w:rsidR="002A3F56">
        <w:rPr>
          <w:rFonts w:ascii="Verdana" w:hAnsi="Verdana" w:eastAsia="Verdana" w:cs="Verdana"/>
          <w:b/>
          <w:bCs/>
          <w:sz w:val="18"/>
          <w:szCs w:val="18"/>
          <w:lang w:val="en-GB"/>
        </w:rPr>
        <w:t xml:space="preserve"> </w:t>
      </w:r>
    </w:p>
    <w:p w:rsidRPr="00D50E28" w:rsidR="009D5F4A" w:rsidRDefault="003A11E3" w14:paraId="00C71025" w14:textId="3EA8ECA8">
      <w:pPr>
        <w:rPr>
          <w:rFonts w:ascii="Verdana" w:hAnsi="Verdana" w:eastAsia="Verdana" w:cs="Verdana"/>
          <w:sz w:val="18"/>
          <w:szCs w:val="18"/>
        </w:rPr>
      </w:pPr>
      <w:r w:rsidRPr="00196C4E">
        <w:rPr>
          <w:rFonts w:ascii="Verdana" w:hAnsi="Verdana" w:eastAsia="Verdana" w:cs="Verdana"/>
          <w:sz w:val="18"/>
          <w:szCs w:val="18"/>
          <w:lang w:val="en-GB"/>
        </w:rPr>
        <w:t>F</w:t>
      </w:r>
      <w:r w:rsidRPr="00196C4E" w:rsidR="002A3F56">
        <w:rPr>
          <w:rFonts w:ascii="Verdana" w:hAnsi="Verdana" w:eastAsia="Verdana" w:cs="Verdana"/>
          <w:sz w:val="18"/>
          <w:szCs w:val="18"/>
          <w:lang w:val="en-GB"/>
        </w:rPr>
        <w:t xml:space="preserve">or the sake of </w:t>
      </w:r>
      <w:r w:rsidRPr="00196C4E">
        <w:rPr>
          <w:rFonts w:ascii="Verdana" w:hAnsi="Verdana" w:eastAsia="Verdana" w:cs="Verdana"/>
          <w:sz w:val="18"/>
          <w:szCs w:val="18"/>
          <w:lang w:val="en-GB"/>
        </w:rPr>
        <w:t>speed</w:t>
      </w:r>
      <w:r w:rsidRPr="00196C4E" w:rsidR="002A3F56">
        <w:rPr>
          <w:rFonts w:ascii="Verdana" w:hAnsi="Verdana" w:eastAsia="Verdana" w:cs="Verdana"/>
          <w:sz w:val="18"/>
          <w:szCs w:val="18"/>
          <w:lang w:val="en-GB"/>
        </w:rPr>
        <w:t>,</w:t>
      </w:r>
      <w:r w:rsidR="00E856E1">
        <w:rPr>
          <w:rFonts w:ascii="Verdana" w:hAnsi="Verdana" w:eastAsia="Verdana" w:cs="Verdana"/>
          <w:sz w:val="18"/>
          <w:szCs w:val="18"/>
          <w:lang w:val="en-GB"/>
        </w:rPr>
        <w:t xml:space="preserve"> </w:t>
      </w:r>
      <w:r w:rsidR="002E5DCE">
        <w:rPr>
          <w:rFonts w:ascii="Verdana" w:hAnsi="Verdana" w:eastAsia="Verdana" w:cs="Verdana"/>
          <w:sz w:val="18"/>
          <w:szCs w:val="18"/>
          <w:lang w:val="en-GB"/>
        </w:rPr>
        <w:t>discussion</w:t>
      </w:r>
      <w:r w:rsidR="002C4454">
        <w:rPr>
          <w:rFonts w:ascii="Verdana" w:hAnsi="Verdana" w:eastAsia="Verdana" w:cs="Verdana"/>
          <w:sz w:val="18"/>
          <w:szCs w:val="18"/>
          <w:lang w:val="en-GB"/>
        </w:rPr>
        <w:t>s</w:t>
      </w:r>
      <w:r w:rsidR="002E5DCE">
        <w:rPr>
          <w:rFonts w:ascii="Verdana" w:hAnsi="Verdana" w:eastAsia="Verdana" w:cs="Verdana"/>
          <w:sz w:val="18"/>
          <w:szCs w:val="18"/>
          <w:lang w:val="en-GB"/>
        </w:rPr>
        <w:t xml:space="preserve"> </w:t>
      </w:r>
      <w:r w:rsidR="002C4454">
        <w:rPr>
          <w:rFonts w:ascii="Verdana" w:hAnsi="Verdana" w:eastAsia="Verdana" w:cs="Verdana"/>
          <w:sz w:val="18"/>
          <w:szCs w:val="18"/>
          <w:lang w:val="en-GB"/>
        </w:rPr>
        <w:t xml:space="preserve">about the GDPR that go </w:t>
      </w:r>
      <w:r w:rsidRPr="00196C4E" w:rsidR="002C4454">
        <w:rPr>
          <w:rFonts w:ascii="Verdana" w:hAnsi="Verdana" w:eastAsia="Verdana" w:cs="Verdana"/>
          <w:sz w:val="18"/>
          <w:szCs w:val="18"/>
          <w:lang w:val="en-GB"/>
        </w:rPr>
        <w:t>beyond the objective of simplifying, clarifying, and streamlining</w:t>
      </w:r>
      <w:r w:rsidR="002C4454">
        <w:rPr>
          <w:rFonts w:ascii="Verdana" w:hAnsi="Verdana" w:eastAsia="Verdana" w:cs="Verdana"/>
          <w:sz w:val="18"/>
          <w:szCs w:val="18"/>
          <w:lang w:val="en-GB"/>
        </w:rPr>
        <w:t xml:space="preserve"> </w:t>
      </w:r>
      <w:r w:rsidR="006022DD">
        <w:rPr>
          <w:rFonts w:ascii="Verdana" w:hAnsi="Verdana" w:eastAsia="Verdana" w:cs="Verdana"/>
          <w:sz w:val="18"/>
          <w:szCs w:val="18"/>
          <w:lang w:val="en-GB"/>
        </w:rPr>
        <w:t>should</w:t>
      </w:r>
      <w:r w:rsidR="002E5DCE">
        <w:rPr>
          <w:rFonts w:ascii="Verdana" w:hAnsi="Verdana" w:eastAsia="Verdana" w:cs="Verdana"/>
          <w:sz w:val="18"/>
          <w:szCs w:val="18"/>
          <w:lang w:val="en-GB"/>
        </w:rPr>
        <w:t xml:space="preserve"> take place outside the context of th</w:t>
      </w:r>
      <w:r w:rsidR="002C4454">
        <w:rPr>
          <w:rFonts w:ascii="Verdana" w:hAnsi="Verdana" w:eastAsia="Verdana" w:cs="Verdana"/>
          <w:sz w:val="18"/>
          <w:szCs w:val="18"/>
          <w:lang w:val="en-GB"/>
        </w:rPr>
        <w:t>is</w:t>
      </w:r>
      <w:r w:rsidR="002E5DCE">
        <w:rPr>
          <w:rFonts w:ascii="Verdana" w:hAnsi="Verdana" w:eastAsia="Verdana" w:cs="Verdana"/>
          <w:sz w:val="18"/>
          <w:szCs w:val="18"/>
          <w:lang w:val="en-GB"/>
        </w:rPr>
        <w:t xml:space="preserve"> omnibus. </w:t>
      </w:r>
      <w:r w:rsidR="009D5F4A">
        <w:rPr>
          <w:rFonts w:ascii="Verdana" w:hAnsi="Verdana" w:eastAsia="Verdana" w:cs="Verdana"/>
          <w:sz w:val="18"/>
          <w:szCs w:val="18"/>
          <w:lang w:val="en-GB"/>
        </w:rPr>
        <w:t>In that light, w</w:t>
      </w:r>
      <w:r w:rsidR="002E5DCE">
        <w:rPr>
          <w:rFonts w:ascii="Verdana" w:hAnsi="Verdana" w:eastAsia="Verdana" w:cs="Verdana"/>
          <w:sz w:val="18"/>
          <w:szCs w:val="18"/>
          <w:lang w:val="en-GB"/>
        </w:rPr>
        <w:t xml:space="preserve">e welcome the progress </w:t>
      </w:r>
      <w:r w:rsidR="002C4454">
        <w:rPr>
          <w:rFonts w:ascii="Verdana" w:hAnsi="Verdana" w:eastAsia="Verdana" w:cs="Verdana"/>
          <w:sz w:val="18"/>
          <w:szCs w:val="18"/>
          <w:lang w:val="en-GB"/>
        </w:rPr>
        <w:t xml:space="preserve">and text proposals </w:t>
      </w:r>
      <w:r w:rsidR="006022DD">
        <w:rPr>
          <w:rFonts w:ascii="Verdana" w:hAnsi="Verdana" w:eastAsia="Verdana" w:cs="Verdana"/>
          <w:sz w:val="18"/>
          <w:szCs w:val="18"/>
          <w:lang w:val="en-GB"/>
        </w:rPr>
        <w:t xml:space="preserve">by the Council and the Presidency </w:t>
      </w:r>
      <w:r w:rsidR="002E5DCE">
        <w:rPr>
          <w:rFonts w:ascii="Verdana" w:hAnsi="Verdana" w:eastAsia="Verdana" w:cs="Verdana"/>
          <w:sz w:val="18"/>
          <w:szCs w:val="18"/>
          <w:lang w:val="en-GB"/>
        </w:rPr>
        <w:t>so far</w:t>
      </w:r>
      <w:r w:rsidR="006022DD">
        <w:rPr>
          <w:rFonts w:ascii="Verdana" w:hAnsi="Verdana" w:eastAsia="Verdana" w:cs="Verdana"/>
          <w:sz w:val="18"/>
          <w:szCs w:val="18"/>
          <w:lang w:val="en-GB"/>
        </w:rPr>
        <w:t>. M</w:t>
      </w:r>
      <w:r w:rsidR="002E5DCE">
        <w:rPr>
          <w:rFonts w:ascii="Verdana" w:hAnsi="Verdana" w:eastAsia="Verdana" w:cs="Verdana"/>
          <w:sz w:val="18"/>
          <w:szCs w:val="18"/>
          <w:lang w:val="en-GB"/>
        </w:rPr>
        <w:t>ost importantly</w:t>
      </w:r>
      <w:r w:rsidR="009D5F4A">
        <w:rPr>
          <w:rFonts w:ascii="Verdana" w:hAnsi="Verdana" w:eastAsia="Verdana" w:cs="Verdana"/>
          <w:sz w:val="18"/>
          <w:szCs w:val="18"/>
          <w:lang w:val="en-GB"/>
        </w:rPr>
        <w:t xml:space="preserve">, the deletion of the proposed changes to the definition of personal data, Article 4(1), from the scope of the current proposal </w:t>
      </w:r>
      <w:r w:rsidRPr="00D50E28" w:rsidR="009D5F4A">
        <w:rPr>
          <w:rFonts w:ascii="Verdana" w:hAnsi="Verdana" w:eastAsia="Verdana" w:cs="Verdana"/>
          <w:sz w:val="18"/>
          <w:szCs w:val="18"/>
          <w:lang w:val="en-GB"/>
        </w:rPr>
        <w:t xml:space="preserve">in the </w:t>
      </w:r>
      <w:r w:rsidRPr="00D50E28" w:rsidR="006022DD">
        <w:rPr>
          <w:rFonts w:ascii="Verdana" w:hAnsi="Verdana" w:eastAsia="Verdana" w:cs="Verdana"/>
          <w:sz w:val="18"/>
          <w:szCs w:val="18"/>
          <w:lang w:val="en-GB"/>
        </w:rPr>
        <w:t>first</w:t>
      </w:r>
      <w:r w:rsidRPr="00D50E28" w:rsidR="009D5F4A">
        <w:rPr>
          <w:rFonts w:ascii="Verdana" w:hAnsi="Verdana" w:eastAsia="Verdana" w:cs="Verdana"/>
          <w:sz w:val="18"/>
          <w:szCs w:val="18"/>
          <w:lang w:val="en-GB"/>
        </w:rPr>
        <w:t xml:space="preserve"> Presidency compromise</w:t>
      </w:r>
      <w:r w:rsidRPr="00D50E28" w:rsidR="006022DD">
        <w:rPr>
          <w:rFonts w:ascii="Verdana" w:hAnsi="Verdana" w:eastAsia="Verdana" w:cs="Verdana"/>
          <w:sz w:val="18"/>
          <w:szCs w:val="18"/>
          <w:lang w:val="en-GB"/>
        </w:rPr>
        <w:t xml:space="preserve"> text</w:t>
      </w:r>
      <w:r w:rsidRPr="00D50E28" w:rsidR="001A0D71">
        <w:rPr>
          <w:rFonts w:ascii="Verdana" w:hAnsi="Verdana" w:eastAsia="Verdana" w:cs="Verdana"/>
          <w:sz w:val="18"/>
          <w:szCs w:val="18"/>
          <w:lang w:val="en-GB"/>
        </w:rPr>
        <w:t xml:space="preserve"> allows for the discussion to truly focus on simplification again</w:t>
      </w:r>
      <w:r w:rsidRPr="00D50E28" w:rsidR="009D5F4A">
        <w:rPr>
          <w:rFonts w:ascii="Verdana" w:hAnsi="Verdana" w:eastAsia="Verdana" w:cs="Verdana"/>
          <w:sz w:val="18"/>
          <w:szCs w:val="18"/>
          <w:lang w:val="en-GB"/>
        </w:rPr>
        <w:t xml:space="preserve">. Additionally, we welcome the deletion of articles 4(38) and 41a. </w:t>
      </w:r>
      <w:r w:rsidRPr="00D50E28" w:rsidR="009C2C54">
        <w:rPr>
          <w:rFonts w:ascii="Verdana" w:hAnsi="Verdana" w:eastAsia="Verdana" w:cs="Verdana"/>
          <w:sz w:val="18"/>
          <w:szCs w:val="18"/>
          <w:lang w:val="en-GB"/>
        </w:rPr>
        <w:t xml:space="preserve">Furthermore, we welcome that </w:t>
      </w:r>
      <w:r w:rsidRPr="00D50E28" w:rsidR="00AC3F59">
        <w:rPr>
          <w:rFonts w:ascii="Verdana" w:hAnsi="Verdana" w:eastAsia="Verdana" w:cs="Verdana"/>
          <w:sz w:val="18"/>
          <w:szCs w:val="18"/>
          <w:lang w:val="en-GB"/>
        </w:rPr>
        <w:t xml:space="preserve">the Presidency has </w:t>
      </w:r>
      <w:r w:rsidRPr="00D50E28" w:rsidR="009C2C54">
        <w:rPr>
          <w:rFonts w:ascii="Verdana" w:hAnsi="Verdana" w:eastAsia="Verdana" w:cs="Verdana"/>
          <w:sz w:val="18"/>
          <w:szCs w:val="18"/>
          <w:lang w:val="en-GB"/>
        </w:rPr>
        <w:t xml:space="preserve">improved </w:t>
      </w:r>
      <w:r w:rsidRPr="00D50E28" w:rsidR="00AC3F59">
        <w:rPr>
          <w:rFonts w:ascii="Verdana" w:hAnsi="Verdana" w:eastAsia="Verdana" w:cs="Verdana"/>
          <w:sz w:val="18"/>
          <w:szCs w:val="18"/>
          <w:lang w:val="en-GB"/>
        </w:rPr>
        <w:t xml:space="preserve">several articles, taking into account the </w:t>
      </w:r>
      <w:r w:rsidRPr="00D50E28" w:rsidR="009C2C54">
        <w:rPr>
          <w:rFonts w:ascii="Verdana" w:hAnsi="Verdana" w:eastAsia="Verdana" w:cs="Verdana"/>
          <w:sz w:val="18"/>
          <w:szCs w:val="18"/>
          <w:lang w:val="en-GB"/>
        </w:rPr>
        <w:t xml:space="preserve">EDPB/EDPS </w:t>
      </w:r>
      <w:r w:rsidRPr="00D50E28" w:rsidR="007745ED">
        <w:rPr>
          <w:rFonts w:ascii="Verdana" w:hAnsi="Verdana" w:eastAsia="Verdana" w:cs="Verdana"/>
          <w:sz w:val="18"/>
          <w:szCs w:val="18"/>
          <w:lang w:val="en-GB"/>
        </w:rPr>
        <w:t>O</w:t>
      </w:r>
      <w:r w:rsidRPr="00D50E28" w:rsidR="009C2C54">
        <w:rPr>
          <w:rFonts w:ascii="Verdana" w:hAnsi="Verdana" w:eastAsia="Verdana" w:cs="Verdana"/>
          <w:sz w:val="18"/>
          <w:szCs w:val="18"/>
          <w:lang w:val="en-GB"/>
        </w:rPr>
        <w:t xml:space="preserve">pinion, </w:t>
      </w:r>
      <w:r w:rsidRPr="00D50E28" w:rsidR="00AC3F59">
        <w:rPr>
          <w:rFonts w:ascii="Verdana" w:hAnsi="Verdana" w:eastAsia="Verdana" w:cs="Verdana"/>
          <w:sz w:val="18"/>
          <w:szCs w:val="18"/>
          <w:lang w:val="en-GB"/>
        </w:rPr>
        <w:t xml:space="preserve">for example </w:t>
      </w:r>
      <w:r w:rsidRPr="00D50E28" w:rsidR="009C2C54">
        <w:rPr>
          <w:rFonts w:ascii="Verdana" w:hAnsi="Verdana" w:eastAsia="Verdana" w:cs="Verdana"/>
          <w:sz w:val="18"/>
          <w:szCs w:val="18"/>
          <w:lang w:val="en-GB"/>
        </w:rPr>
        <w:t>Article</w:t>
      </w:r>
      <w:r w:rsidRPr="00D50E28" w:rsidR="001D613D">
        <w:rPr>
          <w:rFonts w:ascii="Verdana" w:hAnsi="Verdana" w:eastAsia="Verdana" w:cs="Verdana"/>
          <w:sz w:val="18"/>
          <w:szCs w:val="18"/>
          <w:lang w:val="en-GB"/>
        </w:rPr>
        <w:t>s</w:t>
      </w:r>
      <w:r w:rsidRPr="00D50E28" w:rsidR="009C2C54">
        <w:rPr>
          <w:rFonts w:ascii="Verdana" w:hAnsi="Verdana" w:eastAsia="Verdana" w:cs="Verdana"/>
          <w:sz w:val="18"/>
          <w:szCs w:val="18"/>
          <w:lang w:val="en-GB"/>
        </w:rPr>
        <w:t xml:space="preserve"> 12(5)</w:t>
      </w:r>
      <w:r w:rsidRPr="00D50E28" w:rsidR="001D613D">
        <w:rPr>
          <w:rFonts w:ascii="Verdana" w:hAnsi="Verdana" w:eastAsia="Verdana" w:cs="Verdana"/>
          <w:sz w:val="18"/>
          <w:szCs w:val="18"/>
          <w:lang w:val="en-GB"/>
        </w:rPr>
        <w:t>, 33 and 35</w:t>
      </w:r>
      <w:r w:rsidRPr="00D50E28" w:rsidR="009C2C54">
        <w:rPr>
          <w:rFonts w:ascii="Verdana" w:hAnsi="Verdana" w:eastAsia="Verdana" w:cs="Verdana"/>
          <w:sz w:val="18"/>
          <w:szCs w:val="18"/>
          <w:lang w:val="en-GB"/>
        </w:rPr>
        <w:t>.</w:t>
      </w:r>
    </w:p>
    <w:p w:rsidRPr="00D50E28" w:rsidR="16517DC0" w:rsidRDefault="006022DD" w14:paraId="2F86816E" w14:textId="101BBC4B">
      <w:pPr>
        <w:rPr>
          <w:rFonts w:ascii="Verdana" w:hAnsi="Verdana" w:eastAsia="Verdana" w:cs="Verdana"/>
          <w:sz w:val="18"/>
          <w:szCs w:val="18"/>
          <w:lang w:val="en-GB"/>
        </w:rPr>
      </w:pPr>
      <w:r w:rsidRPr="00D50E28">
        <w:rPr>
          <w:rFonts w:ascii="Verdana" w:hAnsi="Verdana" w:eastAsia="Verdana" w:cs="Verdana"/>
          <w:sz w:val="18"/>
          <w:szCs w:val="18"/>
          <w:lang w:val="en-GB"/>
        </w:rPr>
        <w:t>T</w:t>
      </w:r>
      <w:r w:rsidRPr="00D50E28" w:rsidR="009D5F4A">
        <w:rPr>
          <w:rFonts w:ascii="Verdana" w:hAnsi="Verdana" w:eastAsia="Verdana" w:cs="Verdana"/>
          <w:sz w:val="18"/>
          <w:szCs w:val="18"/>
          <w:lang w:val="en-GB"/>
        </w:rPr>
        <w:t>he AGS of February 27</w:t>
      </w:r>
      <w:r w:rsidRPr="00D50E28" w:rsidR="009D5F4A">
        <w:rPr>
          <w:rFonts w:ascii="Verdana" w:hAnsi="Verdana" w:eastAsia="Verdana" w:cs="Verdana"/>
          <w:sz w:val="18"/>
          <w:szCs w:val="18"/>
          <w:vertAlign w:val="superscript"/>
          <w:lang w:val="en-GB"/>
        </w:rPr>
        <w:t>th</w:t>
      </w:r>
      <w:r w:rsidRPr="00D50E28" w:rsidR="009D5F4A">
        <w:rPr>
          <w:rFonts w:ascii="Verdana" w:hAnsi="Verdana" w:eastAsia="Verdana" w:cs="Verdana"/>
          <w:sz w:val="18"/>
          <w:szCs w:val="18"/>
          <w:lang w:val="en-GB"/>
        </w:rPr>
        <w:t xml:space="preserve"> has illustrated the sensitivity of the outstanding articles</w:t>
      </w:r>
      <w:r w:rsidRPr="00D50E28">
        <w:rPr>
          <w:rFonts w:ascii="Verdana" w:hAnsi="Verdana" w:eastAsia="Verdana" w:cs="Verdana"/>
          <w:sz w:val="18"/>
          <w:szCs w:val="18"/>
          <w:lang w:val="en-GB"/>
        </w:rPr>
        <w:t>. At the same time, many of the delegations still made scrutiny reservations.</w:t>
      </w:r>
      <w:r w:rsidRPr="00D50E28" w:rsidR="002E5DCE">
        <w:rPr>
          <w:rFonts w:ascii="Verdana" w:hAnsi="Verdana" w:eastAsia="Verdana" w:cs="Verdana"/>
          <w:sz w:val="18"/>
          <w:szCs w:val="18"/>
          <w:lang w:val="en-GB"/>
        </w:rPr>
        <w:t xml:space="preserve"> </w:t>
      </w:r>
      <w:r w:rsidRPr="00D50E28" w:rsidR="007E38DE">
        <w:rPr>
          <w:rFonts w:ascii="Verdana" w:hAnsi="Verdana" w:eastAsia="Verdana" w:cs="Verdana"/>
          <w:sz w:val="18"/>
          <w:szCs w:val="18"/>
          <w:lang w:val="en-GB"/>
        </w:rPr>
        <w:t>The combination of these two factors risks</w:t>
      </w:r>
      <w:r w:rsidRPr="00D50E28">
        <w:rPr>
          <w:rFonts w:ascii="Verdana" w:hAnsi="Verdana" w:eastAsia="Verdana" w:cs="Verdana"/>
          <w:sz w:val="18"/>
          <w:szCs w:val="18"/>
          <w:lang w:val="en-GB"/>
        </w:rPr>
        <w:t xml:space="preserve"> delaying the negotiations about the digital omnibus as a whole</w:t>
      </w:r>
      <w:r w:rsidRPr="00D50E28" w:rsidR="007E38DE">
        <w:rPr>
          <w:rFonts w:ascii="Verdana" w:hAnsi="Verdana" w:eastAsia="Verdana" w:cs="Verdana"/>
          <w:sz w:val="18"/>
          <w:szCs w:val="18"/>
          <w:lang w:val="en-GB"/>
        </w:rPr>
        <w:t>. T</w:t>
      </w:r>
      <w:r w:rsidRPr="00D50E28">
        <w:rPr>
          <w:rFonts w:ascii="Verdana" w:hAnsi="Verdana" w:eastAsia="Verdana" w:cs="Verdana"/>
          <w:sz w:val="18"/>
          <w:szCs w:val="18"/>
          <w:lang w:val="en-GB"/>
        </w:rPr>
        <w:t>herefore</w:t>
      </w:r>
      <w:r w:rsidRPr="00D50E28" w:rsidR="001A0D71">
        <w:rPr>
          <w:rFonts w:ascii="Verdana" w:hAnsi="Verdana" w:eastAsia="Verdana" w:cs="Verdana"/>
          <w:sz w:val="18"/>
          <w:szCs w:val="18"/>
          <w:lang w:val="en-GB"/>
        </w:rPr>
        <w:t>, we</w:t>
      </w:r>
      <w:r w:rsidRPr="00D50E28">
        <w:rPr>
          <w:rFonts w:ascii="Verdana" w:hAnsi="Verdana" w:eastAsia="Verdana" w:cs="Verdana"/>
          <w:sz w:val="18"/>
          <w:szCs w:val="18"/>
          <w:lang w:val="en-GB"/>
        </w:rPr>
        <w:t xml:space="preserve"> </w:t>
      </w:r>
      <w:r w:rsidRPr="00D50E28" w:rsidR="16517DC0">
        <w:rPr>
          <w:rFonts w:ascii="Verdana" w:hAnsi="Verdana" w:eastAsia="Verdana" w:cs="Verdana"/>
          <w:sz w:val="18"/>
          <w:szCs w:val="18"/>
          <w:lang w:val="en-GB"/>
        </w:rPr>
        <w:t xml:space="preserve">propose </w:t>
      </w:r>
      <w:r w:rsidRPr="00D50E28" w:rsidR="00336A75">
        <w:rPr>
          <w:rFonts w:ascii="Verdana" w:hAnsi="Verdana" w:eastAsia="Verdana" w:cs="Verdana"/>
          <w:sz w:val="18"/>
          <w:szCs w:val="18"/>
          <w:lang w:val="en-GB"/>
        </w:rPr>
        <w:t xml:space="preserve">the </w:t>
      </w:r>
      <w:r w:rsidRPr="00D50E28">
        <w:rPr>
          <w:rFonts w:ascii="Verdana" w:hAnsi="Verdana" w:eastAsia="Verdana" w:cs="Verdana"/>
          <w:sz w:val="18"/>
          <w:szCs w:val="18"/>
          <w:lang w:val="en-GB"/>
        </w:rPr>
        <w:t xml:space="preserve">following </w:t>
      </w:r>
      <w:r w:rsidRPr="00D50E28" w:rsidR="00336A75">
        <w:rPr>
          <w:rFonts w:ascii="Verdana" w:hAnsi="Verdana" w:eastAsia="Verdana" w:cs="Verdana"/>
          <w:sz w:val="18"/>
          <w:szCs w:val="18"/>
          <w:lang w:val="en-GB"/>
        </w:rPr>
        <w:t>process</w:t>
      </w:r>
      <w:r w:rsidRPr="00D50E28" w:rsidR="001A0D71">
        <w:rPr>
          <w:rFonts w:ascii="Verdana" w:hAnsi="Verdana" w:eastAsia="Verdana" w:cs="Verdana"/>
          <w:sz w:val="18"/>
          <w:szCs w:val="18"/>
          <w:lang w:val="en-GB"/>
        </w:rPr>
        <w:t xml:space="preserve"> for the remainder of the negotiations</w:t>
      </w:r>
      <w:r w:rsidRPr="00D50E28" w:rsidR="00ED5143">
        <w:rPr>
          <w:rFonts w:ascii="Verdana" w:hAnsi="Verdana" w:eastAsia="Verdana" w:cs="Verdana"/>
          <w:sz w:val="18"/>
          <w:szCs w:val="18"/>
          <w:lang w:val="en-GB"/>
        </w:rPr>
        <w:t>:</w:t>
      </w:r>
    </w:p>
    <w:p w:rsidRPr="00F81BEC" w:rsidR="00715FC8" w:rsidP="0018253C" w:rsidRDefault="7F1F83EC" w14:paraId="357926A3" w14:textId="25505B09">
      <w:pPr>
        <w:numPr>
          <w:ilvl w:val="0"/>
          <w:numId w:val="3"/>
        </w:numPr>
        <w:rPr>
          <w:rFonts w:ascii="Verdana" w:hAnsi="Verdana" w:eastAsia="Verdana" w:cs="Verdana"/>
          <w:sz w:val="18"/>
          <w:szCs w:val="18"/>
          <w:lang w:val="en-GB"/>
        </w:rPr>
      </w:pPr>
      <w:r w:rsidRPr="00D50E28">
        <w:rPr>
          <w:rFonts w:ascii="Verdana" w:hAnsi="Verdana" w:eastAsia="Verdana" w:cs="Verdana"/>
          <w:b/>
          <w:bCs/>
          <w:sz w:val="18"/>
          <w:szCs w:val="18"/>
          <w:lang w:val="en-GB"/>
        </w:rPr>
        <w:t>Ambitious and constructive negotiations</w:t>
      </w:r>
      <w:r w:rsidRPr="00D50E28">
        <w:rPr>
          <w:rFonts w:ascii="Verdana" w:hAnsi="Verdana" w:eastAsia="Verdana" w:cs="Verdana"/>
          <w:sz w:val="18"/>
          <w:szCs w:val="18"/>
          <w:lang w:val="en-GB"/>
        </w:rPr>
        <w:t xml:space="preserve"> about the Digital Omnibus</w:t>
      </w:r>
      <w:r w:rsidRPr="00D50E28" w:rsidR="00176CD7">
        <w:rPr>
          <w:rFonts w:ascii="Verdana" w:hAnsi="Verdana" w:eastAsia="Verdana" w:cs="Verdana"/>
          <w:sz w:val="18"/>
          <w:szCs w:val="18"/>
          <w:lang w:val="en-GB"/>
        </w:rPr>
        <w:t xml:space="preserve"> in the </w:t>
      </w:r>
      <w:proofErr w:type="spellStart"/>
      <w:r w:rsidRPr="00D50E28" w:rsidR="00176CD7">
        <w:rPr>
          <w:rFonts w:ascii="Verdana" w:hAnsi="Verdana" w:eastAsia="Verdana" w:cs="Verdana"/>
          <w:sz w:val="18"/>
          <w:szCs w:val="18"/>
          <w:lang w:val="en-GB"/>
        </w:rPr>
        <w:t>Antici</w:t>
      </w:r>
      <w:proofErr w:type="spellEnd"/>
      <w:r w:rsidRPr="00D50E28" w:rsidR="00176CD7">
        <w:rPr>
          <w:rFonts w:ascii="Verdana" w:hAnsi="Verdana" w:eastAsia="Verdana" w:cs="Verdana"/>
          <w:sz w:val="18"/>
          <w:szCs w:val="18"/>
          <w:lang w:val="en-GB"/>
        </w:rPr>
        <w:t xml:space="preserve"> Group on Simplification</w:t>
      </w:r>
      <w:r w:rsidRPr="00D50E28">
        <w:rPr>
          <w:rFonts w:ascii="Verdana" w:hAnsi="Verdana" w:eastAsia="Verdana" w:cs="Verdana"/>
          <w:sz w:val="18"/>
          <w:szCs w:val="18"/>
          <w:lang w:val="en-GB"/>
        </w:rPr>
        <w:t xml:space="preserve">, </w:t>
      </w:r>
      <w:r w:rsidRPr="00F81BEC">
        <w:rPr>
          <w:rFonts w:ascii="Verdana" w:hAnsi="Verdana" w:eastAsia="Verdana" w:cs="Verdana"/>
          <w:sz w:val="18"/>
          <w:szCs w:val="18"/>
          <w:lang w:val="en-GB"/>
        </w:rPr>
        <w:t xml:space="preserve">including changes to the GDPR to article </w:t>
      </w:r>
      <w:r w:rsidRPr="00DD13F2" w:rsidR="0018253C">
        <w:rPr>
          <w:rFonts w:ascii="Verdana" w:hAnsi="Verdana"/>
          <w:sz w:val="18"/>
          <w:szCs w:val="18"/>
        </w:rPr>
        <w:t xml:space="preserve">4(32), 4(33), 4(34), 4(35), 4(36), 4(37), 5(1)(b), 9(2)(l), 22, 33, 35, 88a, 88b, </w:t>
      </w:r>
      <w:r w:rsidRPr="00DD13F2" w:rsidR="0018253C">
        <w:rPr>
          <w:rFonts w:ascii="Verdana" w:hAnsi="Verdana"/>
          <w:sz w:val="18"/>
          <w:szCs w:val="18"/>
          <w:lang w:val="en-GB"/>
        </w:rPr>
        <w:t xml:space="preserve">4 </w:t>
      </w:r>
      <w:proofErr w:type="spellStart"/>
      <w:r w:rsidRPr="00DD13F2" w:rsidR="0018253C">
        <w:rPr>
          <w:rFonts w:ascii="Verdana" w:hAnsi="Verdana"/>
          <w:sz w:val="18"/>
          <w:szCs w:val="18"/>
          <w:lang w:val="en-GB"/>
        </w:rPr>
        <w:t>ePrivacy</w:t>
      </w:r>
      <w:proofErr w:type="spellEnd"/>
      <w:r w:rsidRPr="00DD13F2" w:rsidR="0018253C">
        <w:rPr>
          <w:rFonts w:ascii="Verdana" w:hAnsi="Verdana"/>
          <w:sz w:val="18"/>
          <w:szCs w:val="18"/>
          <w:lang w:val="en-GB"/>
        </w:rPr>
        <w:t xml:space="preserve"> Directive (deleted), and 5(3) </w:t>
      </w:r>
      <w:proofErr w:type="spellStart"/>
      <w:r w:rsidRPr="00DD13F2" w:rsidR="0018253C">
        <w:rPr>
          <w:rFonts w:ascii="Verdana" w:hAnsi="Verdana"/>
          <w:sz w:val="18"/>
          <w:szCs w:val="18"/>
          <w:lang w:val="en-GB"/>
        </w:rPr>
        <w:t>ePrivacy</w:t>
      </w:r>
      <w:proofErr w:type="spellEnd"/>
      <w:r w:rsidRPr="00DD13F2" w:rsidR="0018253C">
        <w:rPr>
          <w:rFonts w:ascii="Verdana" w:hAnsi="Verdana"/>
          <w:sz w:val="18"/>
          <w:szCs w:val="18"/>
          <w:lang w:val="en-GB"/>
        </w:rPr>
        <w:t xml:space="preserve"> Directive.</w:t>
      </w:r>
      <w:r w:rsidRPr="00DD13F2" w:rsidR="005D21BD">
        <w:rPr>
          <w:rFonts w:ascii="Verdana" w:hAnsi="Verdana"/>
          <w:sz w:val="18"/>
          <w:szCs w:val="18"/>
          <w:lang w:val="en-GB"/>
        </w:rPr>
        <w:t xml:space="preserve"> </w:t>
      </w:r>
    </w:p>
    <w:p w:rsidRPr="00D50E28" w:rsidR="16517DC0" w:rsidP="16517DC0" w:rsidRDefault="001A0D71" w14:paraId="2726CCEC" w14:textId="50284DEA">
      <w:pPr>
        <w:numPr>
          <w:ilvl w:val="0"/>
          <w:numId w:val="3"/>
        </w:numPr>
        <w:rPr>
          <w:rFonts w:ascii="Verdana" w:hAnsi="Verdana" w:eastAsia="Verdana" w:cs="Verdana"/>
          <w:sz w:val="18"/>
          <w:szCs w:val="18"/>
          <w:lang w:val="en-GB"/>
        </w:rPr>
      </w:pPr>
      <w:r w:rsidRPr="00F81BEC">
        <w:rPr>
          <w:rFonts w:ascii="Verdana" w:hAnsi="Verdana" w:eastAsia="Verdana" w:cs="Verdana"/>
          <w:b/>
          <w:bCs/>
          <w:sz w:val="18"/>
          <w:szCs w:val="18"/>
          <w:lang w:val="en-GB"/>
        </w:rPr>
        <w:t xml:space="preserve">Deletion of </w:t>
      </w:r>
      <w:r w:rsidRPr="00F81BEC" w:rsidR="7F1F83EC">
        <w:rPr>
          <w:rFonts w:ascii="Verdana" w:hAnsi="Verdana" w:eastAsia="Verdana" w:cs="Verdana"/>
          <w:sz w:val="18"/>
          <w:szCs w:val="18"/>
          <w:lang w:val="en-GB"/>
        </w:rPr>
        <w:t>the proposed changes affecting fundamental rights</w:t>
      </w:r>
      <w:r w:rsidRPr="00F81BEC">
        <w:rPr>
          <w:rFonts w:ascii="Verdana" w:hAnsi="Verdana" w:eastAsia="Verdana" w:cs="Verdana"/>
          <w:sz w:val="18"/>
          <w:szCs w:val="18"/>
          <w:lang w:val="en-GB"/>
        </w:rPr>
        <w:t xml:space="preserve"> from the scope of the Digital Omnibus</w:t>
      </w:r>
      <w:r w:rsidRPr="00F81BEC" w:rsidR="7F1F83EC">
        <w:rPr>
          <w:rFonts w:ascii="Verdana" w:hAnsi="Verdana" w:eastAsia="Verdana" w:cs="Verdana"/>
          <w:sz w:val="18"/>
          <w:szCs w:val="18"/>
          <w:lang w:val="en-GB"/>
        </w:rPr>
        <w:t xml:space="preserve">, in particular the draft revisions of the GDPR. </w:t>
      </w:r>
      <w:r w:rsidRPr="00F81BEC" w:rsidR="005D21BD">
        <w:rPr>
          <w:rFonts w:ascii="Verdana" w:hAnsi="Verdana" w:eastAsia="Verdana" w:cs="Verdana"/>
          <w:sz w:val="18"/>
          <w:szCs w:val="18"/>
          <w:lang w:val="en-GB"/>
        </w:rPr>
        <w:t xml:space="preserve">This includes the changes of the GDPR on article </w:t>
      </w:r>
      <w:r w:rsidRPr="00DD13F2" w:rsidR="005D21BD">
        <w:rPr>
          <w:rFonts w:ascii="Verdana" w:hAnsi="Verdana" w:eastAsia="Verdana" w:cs="Verdana"/>
          <w:sz w:val="18"/>
          <w:szCs w:val="18"/>
          <w:lang w:val="en-GB"/>
        </w:rPr>
        <w:t>4(1), 4(38), 9(2)(k), 9(5), 12(5)</w:t>
      </w:r>
      <w:r w:rsidRPr="00DD13F2" w:rsidR="00AC3F59">
        <w:rPr>
          <w:rFonts w:ascii="Verdana" w:hAnsi="Verdana" w:eastAsia="Verdana" w:cs="Verdana"/>
          <w:sz w:val="18"/>
          <w:szCs w:val="18"/>
          <w:lang w:val="en-GB"/>
        </w:rPr>
        <w:t xml:space="preserve"> (if the original version </w:t>
      </w:r>
      <w:r w:rsidRPr="00DD13F2" w:rsidR="00E749B7">
        <w:rPr>
          <w:rFonts w:ascii="Verdana" w:hAnsi="Verdana" w:eastAsia="Verdana" w:cs="Verdana"/>
          <w:sz w:val="18"/>
          <w:szCs w:val="18"/>
          <w:lang w:val="en-GB"/>
        </w:rPr>
        <w:t xml:space="preserve">from the Commission proposal </w:t>
      </w:r>
      <w:r w:rsidRPr="00DD13F2" w:rsidR="00AC3F59">
        <w:rPr>
          <w:rFonts w:ascii="Verdana" w:hAnsi="Verdana" w:eastAsia="Verdana" w:cs="Verdana"/>
          <w:sz w:val="18"/>
          <w:szCs w:val="18"/>
          <w:lang w:val="en-GB"/>
        </w:rPr>
        <w:t>is pursued)</w:t>
      </w:r>
      <w:r w:rsidRPr="00DD13F2" w:rsidR="005D21BD">
        <w:rPr>
          <w:rFonts w:ascii="Verdana" w:hAnsi="Verdana" w:eastAsia="Verdana" w:cs="Verdana"/>
          <w:sz w:val="18"/>
          <w:szCs w:val="18"/>
          <w:lang w:val="en-GB"/>
        </w:rPr>
        <w:t>, 13(4)</w:t>
      </w:r>
      <w:r w:rsidRPr="00DD13F2" w:rsidR="00AC3F59">
        <w:rPr>
          <w:rFonts w:ascii="Verdana" w:hAnsi="Verdana" w:eastAsia="Verdana" w:cs="Verdana"/>
          <w:sz w:val="18"/>
          <w:szCs w:val="18"/>
          <w:lang w:val="en-GB"/>
        </w:rPr>
        <w:t xml:space="preserve"> (idem)</w:t>
      </w:r>
      <w:r w:rsidRPr="00DD13F2" w:rsidR="005D21BD">
        <w:rPr>
          <w:rFonts w:ascii="Verdana" w:hAnsi="Verdana" w:eastAsia="Verdana" w:cs="Verdana"/>
          <w:sz w:val="18"/>
          <w:szCs w:val="18"/>
          <w:lang w:val="en-GB"/>
        </w:rPr>
        <w:t xml:space="preserve">, 13(5), 41a, </w:t>
      </w:r>
      <w:r w:rsidRPr="00DD13F2" w:rsidR="002E2F1A">
        <w:rPr>
          <w:rFonts w:ascii="Verdana" w:hAnsi="Verdana" w:eastAsia="Verdana" w:cs="Verdana"/>
          <w:sz w:val="18"/>
          <w:szCs w:val="18"/>
          <w:lang w:val="en-GB"/>
        </w:rPr>
        <w:t xml:space="preserve">and </w:t>
      </w:r>
      <w:r w:rsidRPr="00DD13F2" w:rsidR="005D21BD">
        <w:rPr>
          <w:rFonts w:ascii="Verdana" w:hAnsi="Verdana" w:eastAsia="Verdana" w:cs="Verdana"/>
          <w:sz w:val="18"/>
          <w:szCs w:val="18"/>
          <w:lang w:val="en-GB"/>
        </w:rPr>
        <w:t>88c</w:t>
      </w:r>
      <w:r w:rsidRPr="00F81BEC" w:rsidR="005D21BD">
        <w:rPr>
          <w:rFonts w:ascii="Verdana" w:hAnsi="Verdana" w:eastAsia="Verdana" w:cs="Verdana"/>
          <w:sz w:val="18"/>
          <w:szCs w:val="18"/>
          <w:lang w:val="en-GB"/>
        </w:rPr>
        <w:t>.</w:t>
      </w:r>
      <w:r w:rsidRPr="00F81BEC" w:rsidR="005D21BD">
        <w:rPr>
          <w:rFonts w:ascii="Verdana" w:hAnsi="Verdana" w:eastAsia="Verdana" w:cs="Verdana"/>
          <w:b/>
          <w:bCs/>
          <w:sz w:val="18"/>
          <w:szCs w:val="18"/>
          <w:lang w:val="en-GB"/>
        </w:rPr>
        <w:t xml:space="preserve"> </w:t>
      </w:r>
      <w:r w:rsidRPr="00F81BEC" w:rsidR="005D21BD">
        <w:rPr>
          <w:rFonts w:ascii="Verdana" w:hAnsi="Verdana" w:eastAsia="Verdana" w:cs="Verdana"/>
          <w:sz w:val="18"/>
          <w:szCs w:val="18"/>
          <w:lang w:val="en-GB"/>
        </w:rPr>
        <w:t>Legislative c</w:t>
      </w:r>
      <w:r w:rsidRPr="00F81BEC" w:rsidR="7F1F83EC">
        <w:rPr>
          <w:rFonts w:ascii="Verdana" w:hAnsi="Verdana" w:eastAsia="Verdana" w:cs="Verdana"/>
          <w:sz w:val="18"/>
          <w:szCs w:val="18"/>
          <w:lang w:val="en-GB"/>
        </w:rPr>
        <w:t xml:space="preserve">hanges with such broad implications </w:t>
      </w:r>
      <w:r w:rsidRPr="00F81BEC" w:rsidR="005D21BD">
        <w:rPr>
          <w:rFonts w:ascii="Verdana" w:hAnsi="Verdana" w:eastAsia="Verdana" w:cs="Verdana"/>
          <w:sz w:val="18"/>
          <w:szCs w:val="18"/>
          <w:lang w:val="en-GB"/>
        </w:rPr>
        <w:t xml:space="preserve">for fundamental rights require </w:t>
      </w:r>
      <w:r w:rsidRPr="00F81BEC" w:rsidR="7F1F83EC">
        <w:rPr>
          <w:rFonts w:ascii="Verdana" w:hAnsi="Verdana" w:eastAsia="Verdana" w:cs="Verdana"/>
          <w:sz w:val="18"/>
          <w:szCs w:val="18"/>
          <w:lang w:val="en-GB"/>
        </w:rPr>
        <w:t>a process that addresses all aspects and closely considers all its consequences</w:t>
      </w:r>
      <w:r w:rsidRPr="00D50E28" w:rsidR="7F1F83EC">
        <w:rPr>
          <w:rFonts w:ascii="Verdana" w:hAnsi="Verdana" w:eastAsia="Verdana" w:cs="Verdana"/>
          <w:sz w:val="18"/>
          <w:szCs w:val="18"/>
          <w:lang w:val="en-GB"/>
        </w:rPr>
        <w:t xml:space="preserve">, including </w:t>
      </w:r>
      <w:r w:rsidRPr="00D50E28" w:rsidR="005D21BD">
        <w:rPr>
          <w:rFonts w:ascii="Verdana" w:hAnsi="Verdana" w:eastAsia="Verdana" w:cs="Verdana"/>
          <w:sz w:val="18"/>
          <w:szCs w:val="18"/>
          <w:lang w:val="en-GB"/>
        </w:rPr>
        <w:t xml:space="preserve">by </w:t>
      </w:r>
      <w:r w:rsidRPr="00D50E28" w:rsidR="7F1F83EC">
        <w:rPr>
          <w:rFonts w:ascii="Verdana" w:hAnsi="Verdana" w:eastAsia="Verdana" w:cs="Verdana"/>
          <w:sz w:val="18"/>
          <w:szCs w:val="18"/>
          <w:lang w:val="en-GB"/>
        </w:rPr>
        <w:t xml:space="preserve">impact assessments, stakeholder consultations and </w:t>
      </w:r>
      <w:r w:rsidRPr="00D50E28" w:rsidR="005D21BD">
        <w:rPr>
          <w:rFonts w:ascii="Verdana" w:hAnsi="Verdana" w:eastAsia="Verdana" w:cs="Verdana"/>
          <w:sz w:val="18"/>
          <w:szCs w:val="18"/>
          <w:lang w:val="en-GB"/>
        </w:rPr>
        <w:t xml:space="preserve">based on the opinion of </w:t>
      </w:r>
      <w:r w:rsidRPr="00D50E28" w:rsidR="7F1F83EC">
        <w:rPr>
          <w:rFonts w:ascii="Verdana" w:hAnsi="Verdana" w:eastAsia="Verdana" w:cs="Verdana"/>
          <w:sz w:val="18"/>
          <w:szCs w:val="18"/>
          <w:lang w:val="en-GB"/>
        </w:rPr>
        <w:t xml:space="preserve">the EDPB and EDPS. </w:t>
      </w:r>
    </w:p>
    <w:sectPr w:rsidRPr="00D50E28" w:rsidR="16517DC0" w:rsidSect="00E61CB5">
      <w:footerReference w:type="even" r:id="rId8"/>
      <w:footerReference w:type="default" r:id="rId9"/>
      <w:footerReference w:type="first" r:id="rId10"/>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D125" w14:textId="77777777" w:rsidR="009337E8" w:rsidRDefault="009337E8" w:rsidP="006C5DC0">
      <w:pPr>
        <w:spacing w:after="0" w:line="240" w:lineRule="auto"/>
      </w:pPr>
      <w:r>
        <w:separator/>
      </w:r>
    </w:p>
  </w:endnote>
  <w:endnote w:type="continuationSeparator" w:id="0">
    <w:p w14:paraId="73620380" w14:textId="77777777" w:rsidR="009337E8" w:rsidRDefault="009337E8" w:rsidP="006C5DC0">
      <w:pPr>
        <w:spacing w:after="0" w:line="240" w:lineRule="auto"/>
      </w:pPr>
      <w:r>
        <w:continuationSeparator/>
      </w:r>
    </w:p>
  </w:endnote>
  <w:endnote w:type="continuationNotice" w:id="1">
    <w:p w14:paraId="6B84D6D5" w14:textId="77777777" w:rsidR="009337E8" w:rsidRDefault="009337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FBD4" w14:textId="751D4078" w:rsidR="006C5DC0" w:rsidRDefault="0010026E">
    <w:pPr>
      <w:pStyle w:val="Voettekst"/>
    </w:pPr>
    <w:r>
      <w:rPr>
        <w:noProof/>
      </w:rPr>
      <mc:AlternateContent>
        <mc:Choice Requires="wps">
          <w:drawing>
            <wp:anchor distT="0" distB="0" distL="0" distR="0" simplePos="0" relativeHeight="251657216" behindDoc="0" locked="0" layoutInCell="1" allowOverlap="1" wp14:anchorId="7E3F41F0" wp14:editId="4A20AA49">
              <wp:simplePos x="635" y="635"/>
              <wp:positionH relativeFrom="page">
                <wp:align>left</wp:align>
              </wp:positionH>
              <wp:positionV relativeFrom="page">
                <wp:align>bottom</wp:align>
              </wp:positionV>
              <wp:extent cx="1009015" cy="357505"/>
              <wp:effectExtent l="0" t="0" r="635" b="0"/>
              <wp:wrapNone/>
              <wp:docPr id="47174543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09FFC0FA" w14:textId="339AEA99" w:rsidR="0010026E" w:rsidRPr="0010026E" w:rsidRDefault="0010026E" w:rsidP="0010026E">
                          <w:pPr>
                            <w:spacing w:after="0"/>
                            <w:rPr>
                              <w:rFonts w:ascii="Aptos" w:eastAsia="Aptos" w:hAnsi="Aptos" w:cs="Aptos"/>
                              <w:noProof/>
                              <w:color w:val="000000"/>
                              <w:sz w:val="20"/>
                              <w:szCs w:val="20"/>
                            </w:rPr>
                          </w:pPr>
                          <w:r w:rsidRPr="0010026E">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3F41F0" id="_x0000_t202" coordsize="21600,21600" o:spt="202" path="m,l,21600r21600,l21600,xe">
              <v:stroke joinstyle="miter"/>
              <v:path gradientshapeok="t" o:connecttype="rect"/>
            </v:shapetype>
            <v:shape id="Tekstvak 2" o:spid="_x0000_s1026" type="#_x0000_t202" alt="Intern gebruik" style="position:absolute;margin-left:0;margin-top:0;width:79.45pt;height:28.1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" filled="f" stroked="f">
              <v:textbox style="mso-fit-shape-to-text:t" inset="20pt,0,0,15pt">
                <w:txbxContent>
                  <w:p w14:paraId="09FFC0FA" w14:textId="339AEA99" w:rsidR="0010026E" w:rsidRPr="0010026E" w:rsidRDefault="0010026E" w:rsidP="0010026E">
                    <w:pPr>
                      <w:spacing w:after="0"/>
                      <w:rPr>
                        <w:rFonts w:ascii="Aptos" w:eastAsia="Aptos" w:hAnsi="Aptos" w:cs="Aptos"/>
                        <w:noProof/>
                        <w:color w:val="000000"/>
                        <w:sz w:val="20"/>
                        <w:szCs w:val="20"/>
                      </w:rPr>
                    </w:pPr>
                    <w:r w:rsidRPr="0010026E">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AE3A" w14:textId="2207D56A" w:rsidR="006C5DC0" w:rsidRDefault="0010026E">
    <w:pPr>
      <w:pStyle w:val="Voettekst"/>
    </w:pPr>
    <w:r>
      <w:rPr>
        <w:noProof/>
      </w:rPr>
      <mc:AlternateContent>
        <mc:Choice Requires="wps">
          <w:drawing>
            <wp:anchor distT="0" distB="0" distL="0" distR="0" simplePos="0" relativeHeight="251658240" behindDoc="0" locked="0" layoutInCell="1" allowOverlap="1" wp14:anchorId="21930DB0" wp14:editId="4DAA6448">
              <wp:simplePos x="635" y="635"/>
              <wp:positionH relativeFrom="page">
                <wp:align>left</wp:align>
              </wp:positionH>
              <wp:positionV relativeFrom="page">
                <wp:align>bottom</wp:align>
              </wp:positionV>
              <wp:extent cx="1009015" cy="357505"/>
              <wp:effectExtent l="0" t="0" r="635" b="0"/>
              <wp:wrapNone/>
              <wp:docPr id="114369629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1807DBF7" w14:textId="66ED5279" w:rsidR="0010026E" w:rsidRPr="00870B08" w:rsidRDefault="0010026E" w:rsidP="0010026E">
                          <w:pPr>
                            <w:spacing w:after="0"/>
                            <w:rPr>
                              <w:rFonts w:ascii="Aptos" w:eastAsia="Aptos" w:hAnsi="Aptos" w:cs="Aptos"/>
                              <w:noProof/>
                              <w:color w:val="000000"/>
                              <w:sz w:val="20"/>
                              <w:szCs w:val="20"/>
                              <w:lang w:val="nl-NL"/>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930DB0" id="_x0000_t202" coordsize="21600,21600" o:spt="202" path="m,l,21600r21600,l21600,xe">
              <v:stroke joinstyle="miter"/>
              <v:path gradientshapeok="t" o:connecttype="rect"/>
            </v:shapetype>
            <v:shape id="Tekstvak 3" o:spid="_x0000_s1027" type="#_x0000_t202" alt="Intern gebruik" style="position:absolute;margin-left:0;margin-top:0;width:7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" filled="f" stroked="f">
              <v:textbox style="mso-fit-shape-to-text:t" inset="20pt,0,0,15pt">
                <w:txbxContent>
                  <w:p w14:paraId="1807DBF7" w14:textId="66ED5279" w:rsidR="0010026E" w:rsidRPr="00870B08" w:rsidRDefault="0010026E" w:rsidP="0010026E">
                    <w:pPr>
                      <w:spacing w:after="0"/>
                      <w:rPr>
                        <w:rFonts w:ascii="Aptos" w:eastAsia="Aptos" w:hAnsi="Aptos" w:cs="Aptos"/>
                        <w:noProof/>
                        <w:color w:val="000000"/>
                        <w:sz w:val="20"/>
                        <w:szCs w:val="20"/>
                        <w:lang w:val="nl-NL"/>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23A3" w14:textId="4FA31B8C" w:rsidR="006C5DC0" w:rsidRDefault="0010026E">
    <w:pPr>
      <w:pStyle w:val="Voettekst"/>
    </w:pPr>
    <w:r>
      <w:rPr>
        <w:noProof/>
      </w:rPr>
      <mc:AlternateContent>
        <mc:Choice Requires="wps">
          <w:drawing>
            <wp:anchor distT="0" distB="0" distL="0" distR="0" simplePos="0" relativeHeight="251656192" behindDoc="0" locked="0" layoutInCell="1" allowOverlap="1" wp14:anchorId="3F64AA11" wp14:editId="0FA1E5C8">
              <wp:simplePos x="635" y="635"/>
              <wp:positionH relativeFrom="page">
                <wp:align>left</wp:align>
              </wp:positionH>
              <wp:positionV relativeFrom="page">
                <wp:align>bottom</wp:align>
              </wp:positionV>
              <wp:extent cx="1009015" cy="357505"/>
              <wp:effectExtent l="0" t="0" r="635" b="0"/>
              <wp:wrapNone/>
              <wp:docPr id="102971957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1BE7E755" w14:textId="2AA27B33" w:rsidR="0010026E" w:rsidRPr="0010026E" w:rsidRDefault="0010026E" w:rsidP="0010026E">
                          <w:pPr>
                            <w:spacing w:after="0"/>
                            <w:rPr>
                              <w:rFonts w:ascii="Aptos" w:eastAsia="Aptos" w:hAnsi="Aptos" w:cs="Aptos"/>
                              <w:noProof/>
                              <w:color w:val="000000"/>
                              <w:sz w:val="20"/>
                              <w:szCs w:val="20"/>
                            </w:rPr>
                          </w:pPr>
                          <w:r w:rsidRPr="0010026E">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64AA11" id="_x0000_t202" coordsize="21600,21600" o:spt="202" path="m,l,21600r21600,l21600,xe">
              <v:stroke joinstyle="miter"/>
              <v:path gradientshapeok="t" o:connecttype="rect"/>
            </v:shapetype>
            <v:shape id="Tekstvak 1" o:spid="_x0000_s1028" type="#_x0000_t202" alt="Intern gebruik" style="position:absolute;margin-left:0;margin-top:0;width:79.45pt;height:28.1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" filled="f" stroked="f">
              <v:textbox style="mso-fit-shape-to-text:t" inset="20pt,0,0,15pt">
                <w:txbxContent>
                  <w:p w14:paraId="1BE7E755" w14:textId="2AA27B33" w:rsidR="0010026E" w:rsidRPr="0010026E" w:rsidRDefault="0010026E" w:rsidP="0010026E">
                    <w:pPr>
                      <w:spacing w:after="0"/>
                      <w:rPr>
                        <w:rFonts w:ascii="Aptos" w:eastAsia="Aptos" w:hAnsi="Aptos" w:cs="Aptos"/>
                        <w:noProof/>
                        <w:color w:val="000000"/>
                        <w:sz w:val="20"/>
                        <w:szCs w:val="20"/>
                      </w:rPr>
                    </w:pPr>
                    <w:r w:rsidRPr="0010026E">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CD2D" w14:textId="77777777" w:rsidR="009337E8" w:rsidRDefault="009337E8" w:rsidP="006C5DC0">
      <w:pPr>
        <w:spacing w:after="0" w:line="240" w:lineRule="auto"/>
      </w:pPr>
      <w:r>
        <w:separator/>
      </w:r>
    </w:p>
  </w:footnote>
  <w:footnote w:type="continuationSeparator" w:id="0">
    <w:p w14:paraId="7861124F" w14:textId="77777777" w:rsidR="009337E8" w:rsidRDefault="009337E8" w:rsidP="006C5DC0">
      <w:pPr>
        <w:spacing w:after="0" w:line="240" w:lineRule="auto"/>
      </w:pPr>
      <w:r>
        <w:continuationSeparator/>
      </w:r>
    </w:p>
  </w:footnote>
  <w:footnote w:type="continuationNotice" w:id="1">
    <w:p w14:paraId="3EE1F698" w14:textId="77777777" w:rsidR="009337E8" w:rsidRDefault="009337E8">
      <w:pPr>
        <w:spacing w:after="0" w:line="240" w:lineRule="auto"/>
      </w:pPr>
    </w:p>
  </w:footnote>
  <w:footnote w:id="2">
    <w:p w14:paraId="54B68C1A" w14:textId="62C3AAA1" w:rsidR="00973287" w:rsidRPr="008D3CD6" w:rsidRDefault="00973287">
      <w:pPr>
        <w:pStyle w:val="Voetnoottekst"/>
        <w:rPr>
          <w:i/>
          <w:iCs/>
        </w:rPr>
      </w:pPr>
      <w:r>
        <w:rPr>
          <w:rStyle w:val="Voetnootmarkering"/>
        </w:rPr>
        <w:footnoteRef/>
      </w:r>
      <w:r>
        <w:t xml:space="preserve"> </w:t>
      </w:r>
      <w:r w:rsidRPr="00D533B3">
        <w:rPr>
          <w:rFonts w:ascii="Verdana" w:hAnsi="Verdana"/>
          <w:sz w:val="16"/>
          <w:szCs w:val="16"/>
        </w:rPr>
        <w:t xml:space="preserve">Non-paper on European Strategic Competitiveness by Estonia, Finland, Latvia, Lithuania, Netherlands and Sweden </w:t>
      </w:r>
      <w:r w:rsidRPr="00D533B3">
        <w:rPr>
          <w:rFonts w:ascii="Verdana" w:hAnsi="Verdana"/>
          <w:i/>
          <w:iCs/>
          <w:sz w:val="16"/>
          <w:szCs w:val="16"/>
        </w:rPr>
        <w:t>5 February 2026.</w:t>
      </w:r>
    </w:p>
  </w:footnote>
  <w:footnote w:id="3">
    <w:p w14:paraId="14568D83" w14:textId="05F83531" w:rsidR="00973287" w:rsidRPr="008D3CD6" w:rsidRDefault="00973287">
      <w:pPr>
        <w:pStyle w:val="Voetnoottekst"/>
        <w:rPr>
          <w:rFonts w:ascii="Verdana" w:hAnsi="Verdana"/>
          <w:sz w:val="16"/>
          <w:szCs w:val="16"/>
        </w:rPr>
      </w:pPr>
      <w:r w:rsidRPr="008D3CD6">
        <w:rPr>
          <w:rStyle w:val="Voetnootmarkering"/>
          <w:rFonts w:ascii="Verdana" w:hAnsi="Verdana"/>
          <w:sz w:val="16"/>
          <w:szCs w:val="16"/>
        </w:rPr>
        <w:footnoteRef/>
      </w:r>
      <w:r w:rsidRPr="008D3CD6">
        <w:rPr>
          <w:rFonts w:ascii="Verdana" w:hAnsi="Verdana"/>
          <w:sz w:val="16"/>
          <w:szCs w:val="16"/>
        </w:rPr>
        <w:t xml:space="preserve"> EDPB-EDPS Joint opinion 2/2026 on the Proposal for a Regulation as regards the simplification of the digital legislative framework (Digital Omnibus) </w:t>
      </w:r>
      <w:r w:rsidRPr="008D3CD6">
        <w:rPr>
          <w:rFonts w:ascii="Verdana" w:hAnsi="Verdana"/>
          <w:i/>
          <w:iCs/>
          <w:sz w:val="16"/>
          <w:szCs w:val="16"/>
        </w:rPr>
        <w:t>11 February 2026</w:t>
      </w:r>
      <w:r>
        <w:rPr>
          <w:rFonts w:ascii="Verdana" w:hAnsi="Verdana"/>
          <w:i/>
          <w:iCs/>
          <w:sz w:val="16"/>
          <w:szCs w:val="16"/>
        </w:rPr>
        <w:t>.</w:t>
      </w:r>
    </w:p>
  </w:footnote>
  <w:footnote w:id="4">
    <w:p w14:paraId="202B7FAD" w14:textId="7A4AFA10" w:rsidR="009E096E" w:rsidRPr="009E096E" w:rsidRDefault="009E096E" w:rsidP="009E096E">
      <w:pPr>
        <w:rPr>
          <w:rFonts w:ascii="Verdana" w:eastAsia="Verdana" w:hAnsi="Verdana" w:cs="Verdana"/>
          <w:sz w:val="18"/>
          <w:szCs w:val="18"/>
        </w:rPr>
      </w:pPr>
      <w:r w:rsidRPr="008D3CD6">
        <w:rPr>
          <w:rStyle w:val="Voetnootmarkering"/>
          <w:rFonts w:ascii="Verdana" w:hAnsi="Verdana"/>
          <w:sz w:val="16"/>
          <w:szCs w:val="16"/>
        </w:rPr>
        <w:footnoteRef/>
      </w:r>
      <w:r w:rsidRPr="008D3CD6">
        <w:rPr>
          <w:rFonts w:ascii="Verdana" w:hAnsi="Verdana"/>
          <w:sz w:val="16"/>
          <w:szCs w:val="16"/>
        </w:rPr>
        <w:t xml:space="preserve"> </w:t>
      </w:r>
      <w:r w:rsidRPr="008D3CD6">
        <w:rPr>
          <w:rFonts w:ascii="Verdana" w:eastAsia="Verdana" w:hAnsi="Verdana" w:cs="Verdana"/>
          <w:sz w:val="16"/>
          <w:szCs w:val="16"/>
          <w:lang w:val="en-GB"/>
        </w:rPr>
        <w:t xml:space="preserve">The EU Court of Justice ruled that an impact assessment can only be skipped if the EU legislature has enough information to evaluate whether a measure is appropriate. </w:t>
      </w:r>
      <w:hyperlink r:id="rId1" w:history="1">
        <w:r w:rsidRPr="008D3CD6">
          <w:rPr>
            <w:rStyle w:val="Hyperlink"/>
            <w:rFonts w:ascii="Verdana" w:eastAsia="Verdana" w:hAnsi="Verdana" w:cs="Verdana"/>
            <w:sz w:val="16"/>
            <w:szCs w:val="16"/>
            <w:lang w:val="en-GB"/>
          </w:rPr>
          <w:t>The Interinstitutional Agreement</w:t>
        </w:r>
      </w:hyperlink>
      <w:r w:rsidRPr="008D3CD6">
        <w:rPr>
          <w:rFonts w:ascii="Verdana" w:eastAsia="Verdana" w:hAnsi="Verdana" w:cs="Verdana"/>
          <w:sz w:val="16"/>
          <w:szCs w:val="16"/>
          <w:lang w:val="en-GB"/>
        </w:rPr>
        <w:t xml:space="preserve"> on better law-making also prescribes that an impact assessment is needed to adequately assess the effects of the proposed changes on data protection and on reducing the regulatory burden.</w:t>
      </w:r>
      <w:r>
        <w:rPr>
          <w:rFonts w:ascii="Verdana" w:eastAsia="Verdana" w:hAnsi="Verdana" w:cs="Verdana"/>
          <w:sz w:val="18"/>
          <w:szCs w:val="18"/>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AD3"/>
    <w:multiLevelType w:val="hybridMultilevel"/>
    <w:tmpl w:val="BDE0AE66"/>
    <w:lvl w:ilvl="0" w:tplc="FFFFFFFF">
      <w:start w:val="1"/>
      <w:numFmt w:val="bullet"/>
      <w:pStyle w:val="Spreekpunten"/>
      <w:lvlText w:val=""/>
      <w:lvlJc w:val="left"/>
      <w:pPr>
        <w:ind w:left="-3" w:hanging="360"/>
      </w:pPr>
      <w:rPr>
        <w:rFonts w:ascii="Symbol" w:hAnsi="Symbol" w:hint="default"/>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start w:val="1"/>
      <w:numFmt w:val="bullet"/>
      <w:lvlText w:val=""/>
      <w:lvlJc w:val="left"/>
      <w:pPr>
        <w:tabs>
          <w:tab w:val="num" w:pos="1211"/>
        </w:tabs>
        <w:ind w:left="1211" w:hanging="360"/>
      </w:pPr>
      <w:rPr>
        <w:rFonts w:ascii="Wingdings" w:hAnsi="Wingdings" w:hint="default"/>
      </w:rPr>
    </w:lvl>
    <w:lvl w:ilvl="3" w:tplc="04130001">
      <w:start w:val="1"/>
      <w:numFmt w:val="bullet"/>
      <w:lvlText w:val=""/>
      <w:lvlJc w:val="left"/>
      <w:pPr>
        <w:tabs>
          <w:tab w:val="num" w:pos="2160"/>
        </w:tabs>
        <w:ind w:left="2160" w:hanging="360"/>
      </w:pPr>
      <w:rPr>
        <w:rFonts w:ascii="Symbol" w:hAnsi="Symbol" w:hint="default"/>
      </w:rPr>
    </w:lvl>
    <w:lvl w:ilvl="4" w:tplc="04130003">
      <w:start w:val="1"/>
      <w:numFmt w:val="bullet"/>
      <w:lvlText w:val="o"/>
      <w:lvlJc w:val="left"/>
      <w:pPr>
        <w:tabs>
          <w:tab w:val="num" w:pos="2880"/>
        </w:tabs>
        <w:ind w:left="2880" w:hanging="360"/>
      </w:pPr>
      <w:rPr>
        <w:rFonts w:ascii="Courier New" w:hAnsi="Courier New" w:cs="Courier New" w:hint="default"/>
      </w:rPr>
    </w:lvl>
    <w:lvl w:ilvl="5" w:tplc="04130005">
      <w:start w:val="1"/>
      <w:numFmt w:val="bullet"/>
      <w:lvlText w:val=""/>
      <w:lvlJc w:val="left"/>
      <w:pPr>
        <w:tabs>
          <w:tab w:val="num" w:pos="3600"/>
        </w:tabs>
        <w:ind w:left="3600" w:hanging="360"/>
      </w:pPr>
      <w:rPr>
        <w:rFonts w:ascii="Wingdings" w:hAnsi="Wingdings" w:hint="default"/>
      </w:rPr>
    </w:lvl>
    <w:lvl w:ilvl="6" w:tplc="04130001">
      <w:start w:val="1"/>
      <w:numFmt w:val="bullet"/>
      <w:lvlText w:val=""/>
      <w:lvlJc w:val="left"/>
      <w:pPr>
        <w:tabs>
          <w:tab w:val="num" w:pos="4320"/>
        </w:tabs>
        <w:ind w:left="4320" w:hanging="360"/>
      </w:pPr>
      <w:rPr>
        <w:rFonts w:ascii="Symbol" w:hAnsi="Symbol" w:hint="default"/>
      </w:rPr>
    </w:lvl>
    <w:lvl w:ilvl="7" w:tplc="04130003">
      <w:start w:val="1"/>
      <w:numFmt w:val="bullet"/>
      <w:lvlText w:val="o"/>
      <w:lvlJc w:val="left"/>
      <w:pPr>
        <w:tabs>
          <w:tab w:val="num" w:pos="5040"/>
        </w:tabs>
        <w:ind w:left="5040" w:hanging="360"/>
      </w:pPr>
      <w:rPr>
        <w:rFonts w:ascii="Courier New" w:hAnsi="Courier New" w:cs="Courier New" w:hint="default"/>
      </w:rPr>
    </w:lvl>
    <w:lvl w:ilvl="8" w:tplc="0413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C9B221A"/>
    <w:multiLevelType w:val="hybridMultilevel"/>
    <w:tmpl w:val="B434A198"/>
    <w:lvl w:ilvl="0" w:tplc="FFFFFFFF">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 w15:restartNumberingAfterBreak="0">
    <w:nsid w:val="308E010A"/>
    <w:multiLevelType w:val="hybridMultilevel"/>
    <w:tmpl w:val="7954FA90"/>
    <w:lvl w:ilvl="0" w:tplc="62EEAAD6">
      <w:start w:val="4"/>
      <w:numFmt w:val="bullet"/>
      <w:lvlText w:val=""/>
      <w:lvlJc w:val="left"/>
      <w:pPr>
        <w:ind w:left="360" w:hanging="360"/>
      </w:pPr>
      <w:rPr>
        <w:rFonts w:ascii="Wingdings" w:eastAsia="Times New Roman" w:hAnsi="Wingdings" w:cs="Apto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5B45418B"/>
    <w:multiLevelType w:val="hybridMultilevel"/>
    <w:tmpl w:val="F2AA19F4"/>
    <w:lvl w:ilvl="0" w:tplc="AFA0424A">
      <w:numFmt w:val="bullet"/>
      <w:lvlText w:val=""/>
      <w:lvlJc w:val="left"/>
      <w:pPr>
        <w:ind w:left="720" w:hanging="360"/>
      </w:pPr>
      <w:rPr>
        <w:rFonts w:ascii="Symbol" w:eastAsia="Verdana" w:hAnsi="Symbol" w:cs="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F993361"/>
    <w:multiLevelType w:val="hybridMultilevel"/>
    <w:tmpl w:val="694CEEF4"/>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6D81C26"/>
    <w:multiLevelType w:val="hybridMultilevel"/>
    <w:tmpl w:val="F63E74D2"/>
    <w:lvl w:ilvl="0" w:tplc="37A6373A">
      <w:numFmt w:val="bullet"/>
      <w:lvlText w:val="-"/>
      <w:lvlJc w:val="left"/>
      <w:pPr>
        <w:ind w:left="720" w:hanging="360"/>
      </w:pPr>
      <w:rPr>
        <w:rFonts w:ascii="Verdana" w:eastAsia="Verdana" w:hAnsi="Verdana" w:cs="Verdana" w:hint="default"/>
        <w:sz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6579267">
    <w:abstractNumId w:val="5"/>
  </w:num>
  <w:num w:numId="2" w16cid:durableId="1156994568">
    <w:abstractNumId w:val="4"/>
  </w:num>
  <w:num w:numId="3" w16cid:durableId="4403017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2075901">
    <w:abstractNumId w:val="2"/>
  </w:num>
  <w:num w:numId="5" w16cid:durableId="1446969852">
    <w:abstractNumId w:val="0"/>
  </w:num>
  <w:num w:numId="6" w16cid:durableId="465896248">
    <w:abstractNumId w:val="3"/>
  </w:num>
  <w:num w:numId="7" w16cid:durableId="907617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C5F20C"/>
    <w:rsid w:val="00044443"/>
    <w:rsid w:val="00071178"/>
    <w:rsid w:val="000A1385"/>
    <w:rsid w:val="000D5C88"/>
    <w:rsid w:val="0010026E"/>
    <w:rsid w:val="0010327C"/>
    <w:rsid w:val="001075E9"/>
    <w:rsid w:val="001201E8"/>
    <w:rsid w:val="0012367C"/>
    <w:rsid w:val="00125D44"/>
    <w:rsid w:val="00126799"/>
    <w:rsid w:val="00154C13"/>
    <w:rsid w:val="00172975"/>
    <w:rsid w:val="00175B91"/>
    <w:rsid w:val="00176CD7"/>
    <w:rsid w:val="00177A67"/>
    <w:rsid w:val="00177C81"/>
    <w:rsid w:val="0018253C"/>
    <w:rsid w:val="00196C4E"/>
    <w:rsid w:val="001A0D71"/>
    <w:rsid w:val="001D613D"/>
    <w:rsid w:val="001E63A0"/>
    <w:rsid w:val="001F0EC2"/>
    <w:rsid w:val="001F3F9B"/>
    <w:rsid w:val="00253949"/>
    <w:rsid w:val="002769AC"/>
    <w:rsid w:val="002966D8"/>
    <w:rsid w:val="002A157E"/>
    <w:rsid w:val="002A3F56"/>
    <w:rsid w:val="002A4BDF"/>
    <w:rsid w:val="002C2103"/>
    <w:rsid w:val="002C4454"/>
    <w:rsid w:val="002C6BBC"/>
    <w:rsid w:val="002E2F1A"/>
    <w:rsid w:val="002E44F8"/>
    <w:rsid w:val="002E5DCE"/>
    <w:rsid w:val="0031263F"/>
    <w:rsid w:val="00324976"/>
    <w:rsid w:val="00336A19"/>
    <w:rsid w:val="00336A75"/>
    <w:rsid w:val="0034444F"/>
    <w:rsid w:val="00346FD5"/>
    <w:rsid w:val="00354D26"/>
    <w:rsid w:val="00360B89"/>
    <w:rsid w:val="00372D50"/>
    <w:rsid w:val="00394215"/>
    <w:rsid w:val="003A11E3"/>
    <w:rsid w:val="003C56A5"/>
    <w:rsid w:val="003F1F66"/>
    <w:rsid w:val="003F7BE0"/>
    <w:rsid w:val="00425BEE"/>
    <w:rsid w:val="00445779"/>
    <w:rsid w:val="00482D30"/>
    <w:rsid w:val="004A3269"/>
    <w:rsid w:val="004A575C"/>
    <w:rsid w:val="004B0ADD"/>
    <w:rsid w:val="004C1646"/>
    <w:rsid w:val="004F64E3"/>
    <w:rsid w:val="00514074"/>
    <w:rsid w:val="00514379"/>
    <w:rsid w:val="00533E10"/>
    <w:rsid w:val="00587D99"/>
    <w:rsid w:val="005A32A5"/>
    <w:rsid w:val="005B2668"/>
    <w:rsid w:val="005D21BD"/>
    <w:rsid w:val="005E4CA3"/>
    <w:rsid w:val="006022DD"/>
    <w:rsid w:val="00606DFF"/>
    <w:rsid w:val="00667FC7"/>
    <w:rsid w:val="00671BA7"/>
    <w:rsid w:val="006B5AEC"/>
    <w:rsid w:val="006B7609"/>
    <w:rsid w:val="006C5B2F"/>
    <w:rsid w:val="006C5DC0"/>
    <w:rsid w:val="006E4AD0"/>
    <w:rsid w:val="006F65D7"/>
    <w:rsid w:val="00715B97"/>
    <w:rsid w:val="00715FC8"/>
    <w:rsid w:val="00747F22"/>
    <w:rsid w:val="00754B74"/>
    <w:rsid w:val="007673C6"/>
    <w:rsid w:val="007745ED"/>
    <w:rsid w:val="00784B66"/>
    <w:rsid w:val="00795BB9"/>
    <w:rsid w:val="00796E1F"/>
    <w:rsid w:val="00797AE6"/>
    <w:rsid w:val="007A6DFC"/>
    <w:rsid w:val="007B0AE1"/>
    <w:rsid w:val="007B3E2E"/>
    <w:rsid w:val="007E38DE"/>
    <w:rsid w:val="0080446C"/>
    <w:rsid w:val="008202F5"/>
    <w:rsid w:val="0082067A"/>
    <w:rsid w:val="00823CA4"/>
    <w:rsid w:val="008306A7"/>
    <w:rsid w:val="00837162"/>
    <w:rsid w:val="00870B08"/>
    <w:rsid w:val="00877B4D"/>
    <w:rsid w:val="008D3CD6"/>
    <w:rsid w:val="008E177A"/>
    <w:rsid w:val="009031C3"/>
    <w:rsid w:val="009337E8"/>
    <w:rsid w:val="009462E1"/>
    <w:rsid w:val="00961420"/>
    <w:rsid w:val="00973287"/>
    <w:rsid w:val="00982A58"/>
    <w:rsid w:val="009B1344"/>
    <w:rsid w:val="009C1516"/>
    <w:rsid w:val="009C2C54"/>
    <w:rsid w:val="009D5F4A"/>
    <w:rsid w:val="009E096E"/>
    <w:rsid w:val="009E455B"/>
    <w:rsid w:val="009F3DD5"/>
    <w:rsid w:val="00A242AD"/>
    <w:rsid w:val="00A504C4"/>
    <w:rsid w:val="00A801CC"/>
    <w:rsid w:val="00AA25B9"/>
    <w:rsid w:val="00AA394F"/>
    <w:rsid w:val="00AB0839"/>
    <w:rsid w:val="00AB246B"/>
    <w:rsid w:val="00AC3F59"/>
    <w:rsid w:val="00AF4CAC"/>
    <w:rsid w:val="00B0638B"/>
    <w:rsid w:val="00B10434"/>
    <w:rsid w:val="00B165FA"/>
    <w:rsid w:val="00B33353"/>
    <w:rsid w:val="00B43682"/>
    <w:rsid w:val="00B90350"/>
    <w:rsid w:val="00BA35C5"/>
    <w:rsid w:val="00BA3D10"/>
    <w:rsid w:val="00BD6073"/>
    <w:rsid w:val="00C03B88"/>
    <w:rsid w:val="00C76292"/>
    <w:rsid w:val="00C7789C"/>
    <w:rsid w:val="00C9569B"/>
    <w:rsid w:val="00CC3138"/>
    <w:rsid w:val="00D24E13"/>
    <w:rsid w:val="00D474DE"/>
    <w:rsid w:val="00D50E28"/>
    <w:rsid w:val="00D533B3"/>
    <w:rsid w:val="00DB6F8B"/>
    <w:rsid w:val="00DD13F2"/>
    <w:rsid w:val="00DD45B7"/>
    <w:rsid w:val="00DE2443"/>
    <w:rsid w:val="00E13CF6"/>
    <w:rsid w:val="00E16BF6"/>
    <w:rsid w:val="00E2604E"/>
    <w:rsid w:val="00E35423"/>
    <w:rsid w:val="00E5581C"/>
    <w:rsid w:val="00E61929"/>
    <w:rsid w:val="00E61CB5"/>
    <w:rsid w:val="00E749B7"/>
    <w:rsid w:val="00E856E1"/>
    <w:rsid w:val="00EB638C"/>
    <w:rsid w:val="00ED5143"/>
    <w:rsid w:val="00EE2D3C"/>
    <w:rsid w:val="00EE3351"/>
    <w:rsid w:val="00F36032"/>
    <w:rsid w:val="00F45850"/>
    <w:rsid w:val="00F46A24"/>
    <w:rsid w:val="00F81BEC"/>
    <w:rsid w:val="00F96397"/>
    <w:rsid w:val="00FE5DD8"/>
    <w:rsid w:val="08BD89B3"/>
    <w:rsid w:val="0A95675E"/>
    <w:rsid w:val="0D9F0E7F"/>
    <w:rsid w:val="105E61DC"/>
    <w:rsid w:val="127989E9"/>
    <w:rsid w:val="16517DC0"/>
    <w:rsid w:val="24C5F20C"/>
    <w:rsid w:val="2B819D33"/>
    <w:rsid w:val="2DB54A4C"/>
    <w:rsid w:val="6E5D5837"/>
    <w:rsid w:val="7F1F8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89E9"/>
  <w15:chartTrackingRefBased/>
  <w15:docId w15:val="{C6D0089C-1691-4CC3-A54A-5D8FAE64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6A75"/>
    <w:pPr>
      <w:ind w:left="720"/>
      <w:contextualSpacing/>
    </w:pPr>
  </w:style>
  <w:style w:type="paragraph" w:styleId="Revisie">
    <w:name w:val="Revision"/>
    <w:hidden/>
    <w:uiPriority w:val="99"/>
    <w:semiHidden/>
    <w:rsid w:val="00E5581C"/>
    <w:pPr>
      <w:spacing w:after="0" w:line="240" w:lineRule="auto"/>
    </w:pPr>
  </w:style>
  <w:style w:type="paragraph" w:styleId="Koptekst">
    <w:name w:val="header"/>
    <w:basedOn w:val="Standaard"/>
    <w:link w:val="KoptekstChar"/>
    <w:uiPriority w:val="99"/>
    <w:unhideWhenUsed/>
    <w:rsid w:val="006C5DC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C5DC0"/>
  </w:style>
  <w:style w:type="paragraph" w:styleId="Voettekst">
    <w:name w:val="footer"/>
    <w:basedOn w:val="Standaard"/>
    <w:link w:val="VoettekstChar"/>
    <w:uiPriority w:val="99"/>
    <w:unhideWhenUsed/>
    <w:rsid w:val="006C5DC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C5DC0"/>
  </w:style>
  <w:style w:type="character" w:styleId="Verwijzingopmerking">
    <w:name w:val="annotation reference"/>
    <w:basedOn w:val="Standaardalinea-lettertype"/>
    <w:uiPriority w:val="99"/>
    <w:semiHidden/>
    <w:unhideWhenUsed/>
    <w:rsid w:val="006C5DC0"/>
    <w:rPr>
      <w:sz w:val="16"/>
      <w:szCs w:val="16"/>
    </w:rPr>
  </w:style>
  <w:style w:type="paragraph" w:styleId="Tekstopmerking">
    <w:name w:val="annotation text"/>
    <w:basedOn w:val="Standaard"/>
    <w:link w:val="TekstopmerkingChar"/>
    <w:uiPriority w:val="99"/>
    <w:unhideWhenUsed/>
    <w:rsid w:val="006C5DC0"/>
    <w:pPr>
      <w:spacing w:line="240" w:lineRule="auto"/>
    </w:pPr>
    <w:rPr>
      <w:sz w:val="20"/>
      <w:szCs w:val="20"/>
    </w:rPr>
  </w:style>
  <w:style w:type="character" w:customStyle="1" w:styleId="TekstopmerkingChar">
    <w:name w:val="Tekst opmerking Char"/>
    <w:basedOn w:val="Standaardalinea-lettertype"/>
    <w:link w:val="Tekstopmerking"/>
    <w:uiPriority w:val="99"/>
    <w:rsid w:val="006C5DC0"/>
    <w:rPr>
      <w:sz w:val="20"/>
      <w:szCs w:val="20"/>
    </w:rPr>
  </w:style>
  <w:style w:type="paragraph" w:styleId="Onderwerpvanopmerking">
    <w:name w:val="annotation subject"/>
    <w:basedOn w:val="Tekstopmerking"/>
    <w:next w:val="Tekstopmerking"/>
    <w:link w:val="OnderwerpvanopmerkingChar"/>
    <w:uiPriority w:val="99"/>
    <w:semiHidden/>
    <w:unhideWhenUsed/>
    <w:rsid w:val="006C5DC0"/>
    <w:rPr>
      <w:b/>
      <w:bCs/>
    </w:rPr>
  </w:style>
  <w:style w:type="character" w:customStyle="1" w:styleId="OnderwerpvanopmerkingChar">
    <w:name w:val="Onderwerp van opmerking Char"/>
    <w:basedOn w:val="TekstopmerkingChar"/>
    <w:link w:val="Onderwerpvanopmerking"/>
    <w:uiPriority w:val="99"/>
    <w:semiHidden/>
    <w:rsid w:val="006C5DC0"/>
    <w:rPr>
      <w:b/>
      <w:bCs/>
      <w:sz w:val="20"/>
      <w:szCs w:val="20"/>
    </w:rPr>
  </w:style>
  <w:style w:type="paragraph" w:styleId="Voetnoottekst">
    <w:name w:val="footnote text"/>
    <w:basedOn w:val="Standaard"/>
    <w:link w:val="VoetnoottekstChar"/>
    <w:uiPriority w:val="99"/>
    <w:semiHidden/>
    <w:unhideWhenUsed/>
    <w:rsid w:val="00533E1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3E10"/>
    <w:rPr>
      <w:sz w:val="20"/>
      <w:szCs w:val="20"/>
    </w:rPr>
  </w:style>
  <w:style w:type="character" w:styleId="Voetnootmarkering">
    <w:name w:val="footnote reference"/>
    <w:basedOn w:val="Standaardalinea-lettertype"/>
    <w:uiPriority w:val="99"/>
    <w:semiHidden/>
    <w:unhideWhenUsed/>
    <w:rsid w:val="00533E10"/>
    <w:rPr>
      <w:vertAlign w:val="superscript"/>
    </w:rPr>
  </w:style>
  <w:style w:type="character" w:styleId="Hyperlink">
    <w:name w:val="Hyperlink"/>
    <w:basedOn w:val="Standaardalinea-lettertype"/>
    <w:uiPriority w:val="99"/>
    <w:unhideWhenUsed/>
    <w:rsid w:val="009E096E"/>
    <w:rPr>
      <w:color w:val="0563C1" w:themeColor="hyperlink"/>
      <w:u w:val="single"/>
    </w:rPr>
  </w:style>
  <w:style w:type="character" w:styleId="Onopgelostemelding">
    <w:name w:val="Unresolved Mention"/>
    <w:basedOn w:val="Standaardalinea-lettertype"/>
    <w:uiPriority w:val="99"/>
    <w:semiHidden/>
    <w:unhideWhenUsed/>
    <w:rsid w:val="009E096E"/>
    <w:rPr>
      <w:color w:val="605E5C"/>
      <w:shd w:val="clear" w:color="auto" w:fill="E1DFDD"/>
    </w:rPr>
  </w:style>
  <w:style w:type="paragraph" w:customStyle="1" w:styleId="Spreekpunten">
    <w:name w:val="Spreekpunten"/>
    <w:basedOn w:val="Standaard"/>
    <w:rsid w:val="0018253C"/>
    <w:pPr>
      <w:numPr>
        <w:numId w:val="5"/>
      </w:numPr>
      <w:spacing w:after="0" w:line="360" w:lineRule="auto"/>
    </w:pPr>
    <w:rPr>
      <w:rFonts w:ascii="Verdana" w:eastAsia="Times New Roman" w:hAnsi="Verdana" w:cs="Times New Roman"/>
      <w:sz w:val="18"/>
      <w:szCs w:val="24"/>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96106">
      <w:bodyDiv w:val="1"/>
      <w:marLeft w:val="0"/>
      <w:marRight w:val="0"/>
      <w:marTop w:val="0"/>
      <w:marBottom w:val="0"/>
      <w:divBdr>
        <w:top w:val="none" w:sz="0" w:space="0" w:color="auto"/>
        <w:left w:val="none" w:sz="0" w:space="0" w:color="auto"/>
        <w:bottom w:val="none" w:sz="0" w:space="0" w:color="auto"/>
        <w:right w:val="none" w:sz="0" w:space="0" w:color="auto"/>
      </w:divBdr>
    </w:div>
    <w:div w:id="617571686">
      <w:bodyDiv w:val="1"/>
      <w:marLeft w:val="0"/>
      <w:marRight w:val="0"/>
      <w:marTop w:val="0"/>
      <w:marBottom w:val="0"/>
      <w:divBdr>
        <w:top w:val="none" w:sz="0" w:space="0" w:color="auto"/>
        <w:left w:val="none" w:sz="0" w:space="0" w:color="auto"/>
        <w:bottom w:val="none" w:sz="0" w:space="0" w:color="auto"/>
        <w:right w:val="none" w:sz="0" w:space="0" w:color="auto"/>
      </w:divBdr>
    </w:div>
    <w:div w:id="712080359">
      <w:bodyDiv w:val="1"/>
      <w:marLeft w:val="0"/>
      <w:marRight w:val="0"/>
      <w:marTop w:val="0"/>
      <w:marBottom w:val="0"/>
      <w:divBdr>
        <w:top w:val="none" w:sz="0" w:space="0" w:color="auto"/>
        <w:left w:val="none" w:sz="0" w:space="0" w:color="auto"/>
        <w:bottom w:val="none" w:sz="0" w:space="0" w:color="auto"/>
        <w:right w:val="none" w:sz="0" w:space="0" w:color="auto"/>
      </w:divBdr>
    </w:div>
    <w:div w:id="862134543">
      <w:bodyDiv w:val="1"/>
      <w:marLeft w:val="0"/>
      <w:marRight w:val="0"/>
      <w:marTop w:val="0"/>
      <w:marBottom w:val="0"/>
      <w:divBdr>
        <w:top w:val="none" w:sz="0" w:space="0" w:color="auto"/>
        <w:left w:val="none" w:sz="0" w:space="0" w:color="auto"/>
        <w:bottom w:val="none" w:sz="0" w:space="0" w:color="auto"/>
        <w:right w:val="none" w:sz="0" w:space="0" w:color="auto"/>
      </w:divBdr>
    </w:div>
    <w:div w:id="935943670">
      <w:bodyDiv w:val="1"/>
      <w:marLeft w:val="0"/>
      <w:marRight w:val="0"/>
      <w:marTop w:val="0"/>
      <w:marBottom w:val="0"/>
      <w:divBdr>
        <w:top w:val="none" w:sz="0" w:space="0" w:color="auto"/>
        <w:left w:val="none" w:sz="0" w:space="0" w:color="auto"/>
        <w:bottom w:val="none" w:sz="0" w:space="0" w:color="auto"/>
        <w:right w:val="none" w:sz="0" w:space="0" w:color="auto"/>
      </w:divBdr>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341011606">
      <w:bodyDiv w:val="1"/>
      <w:marLeft w:val="0"/>
      <w:marRight w:val="0"/>
      <w:marTop w:val="0"/>
      <w:marBottom w:val="0"/>
      <w:divBdr>
        <w:top w:val="none" w:sz="0" w:space="0" w:color="auto"/>
        <w:left w:val="none" w:sz="0" w:space="0" w:color="auto"/>
        <w:bottom w:val="none" w:sz="0" w:space="0" w:color="auto"/>
        <w:right w:val="none" w:sz="0" w:space="0" w:color="auto"/>
      </w:divBdr>
    </w:div>
    <w:div w:id="1873036694">
      <w:bodyDiv w:val="1"/>
      <w:marLeft w:val="0"/>
      <w:marRight w:val="0"/>
      <w:marTop w:val="0"/>
      <w:marBottom w:val="0"/>
      <w:divBdr>
        <w:top w:val="none" w:sz="0" w:space="0" w:color="auto"/>
        <w:left w:val="none" w:sz="0" w:space="0" w:color="auto"/>
        <w:bottom w:val="none" w:sz="0" w:space="0" w:color="auto"/>
        <w:right w:val="none" w:sz="0" w:space="0" w:color="auto"/>
      </w:divBdr>
    </w:div>
    <w:div w:id="197783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uriserv:OJ.L_.2016.123.01.0001.01.ENG&amp;toc=OJ:L:2016:123: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864</ap:Words>
  <ap:Characters>4754</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2026-04-08T09:40:00.0000000Z</dcterms:created>
  <dcterms:modified xsi:type="dcterms:W3CDTF">2026-04-08T09:40:00.0000000Z</dcterms:modified>
  <version/>
  <category/>
</coreProperties>
</file>