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143" w:rsidR="00045143" w:rsidRDefault="00CD1F0C" w14:paraId="03455251" w14:textId="4A8E7453">
      <w:pPr>
        <w:rPr>
          <w:rFonts w:ascii="Calibri" w:hAnsi="Calibri" w:cs="Calibri"/>
        </w:rPr>
      </w:pPr>
      <w:r w:rsidRPr="00045143">
        <w:rPr>
          <w:rFonts w:ascii="Calibri" w:hAnsi="Calibri" w:eastAsia="Aptos" w:cs="Calibri"/>
        </w:rPr>
        <w:t>28</w:t>
      </w:r>
      <w:r w:rsidRPr="00045143" w:rsidR="00045143">
        <w:rPr>
          <w:rFonts w:ascii="Calibri" w:hAnsi="Calibri" w:eastAsia="Aptos" w:cs="Calibri"/>
        </w:rPr>
        <w:t xml:space="preserve"> </w:t>
      </w:r>
      <w:r w:rsidRPr="00045143">
        <w:rPr>
          <w:rFonts w:ascii="Calibri" w:hAnsi="Calibri" w:eastAsia="Aptos" w:cs="Calibri"/>
        </w:rPr>
        <w:t>089</w:t>
      </w:r>
      <w:r w:rsidRPr="00045143" w:rsidR="00045143">
        <w:rPr>
          <w:rFonts w:ascii="Calibri" w:hAnsi="Calibri" w:eastAsia="Aptos" w:cs="Calibri"/>
        </w:rPr>
        <w:tab/>
      </w:r>
      <w:r w:rsidRPr="00045143" w:rsidR="00045143">
        <w:rPr>
          <w:rFonts w:ascii="Calibri" w:hAnsi="Calibri" w:eastAsia="Aptos" w:cs="Calibri"/>
        </w:rPr>
        <w:tab/>
      </w:r>
      <w:r w:rsidRPr="00045143" w:rsidR="00045143">
        <w:rPr>
          <w:rFonts w:ascii="Calibri" w:hAnsi="Calibri" w:cs="Calibri"/>
        </w:rPr>
        <w:t>Gezondheid en milieu</w:t>
      </w:r>
    </w:p>
    <w:p w:rsidRPr="00045143" w:rsidR="00045143" w:rsidP="00045143" w:rsidRDefault="00045143" w14:paraId="2D34CA95" w14:textId="21656989">
      <w:pPr>
        <w:rPr>
          <w:rFonts w:ascii="Calibri" w:hAnsi="Calibri" w:cs="Calibri"/>
        </w:rPr>
      </w:pPr>
      <w:r w:rsidRPr="00045143">
        <w:rPr>
          <w:rFonts w:ascii="Calibri" w:hAnsi="Calibri" w:cs="Calibri"/>
        </w:rPr>
        <w:t>29</w:t>
      </w:r>
      <w:r w:rsidRPr="00045143">
        <w:rPr>
          <w:rFonts w:ascii="Calibri" w:hAnsi="Calibri" w:cs="Calibri"/>
        </w:rPr>
        <w:t xml:space="preserve"> </w:t>
      </w:r>
      <w:r w:rsidRPr="00045143">
        <w:rPr>
          <w:rFonts w:ascii="Calibri" w:hAnsi="Calibri" w:cs="Calibri"/>
        </w:rPr>
        <w:t>826</w:t>
      </w:r>
      <w:r w:rsidRPr="00045143">
        <w:rPr>
          <w:rFonts w:ascii="Calibri" w:hAnsi="Calibri" w:cs="Calibri"/>
        </w:rPr>
        <w:tab/>
      </w:r>
      <w:r w:rsidRPr="00045143">
        <w:rPr>
          <w:rFonts w:ascii="Calibri" w:hAnsi="Calibri" w:cs="Calibri"/>
        </w:rPr>
        <w:tab/>
        <w:t>Industriebeleid</w:t>
      </w:r>
    </w:p>
    <w:p w:rsidRPr="00045143" w:rsidR="00045143" w:rsidP="00045143" w:rsidRDefault="00045143" w14:paraId="4308537E" w14:textId="77777777">
      <w:pPr>
        <w:ind w:left="1410" w:hanging="1410"/>
        <w:rPr>
          <w:rFonts w:ascii="Calibri" w:hAnsi="Calibri" w:cs="Calibri"/>
          <w:color w:val="000000"/>
        </w:rPr>
      </w:pPr>
      <w:r w:rsidRPr="00045143">
        <w:rPr>
          <w:rFonts w:ascii="Calibri" w:hAnsi="Calibri" w:eastAsia="Aptos" w:cs="Calibri"/>
        </w:rPr>
        <w:t xml:space="preserve">Nr. </w:t>
      </w:r>
      <w:r w:rsidRPr="00045143" w:rsidR="00CD1F0C">
        <w:rPr>
          <w:rFonts w:ascii="Calibri" w:hAnsi="Calibri" w:eastAsia="Aptos" w:cs="Calibri"/>
        </w:rPr>
        <w:t>350</w:t>
      </w:r>
      <w:r w:rsidRPr="00045143">
        <w:rPr>
          <w:rFonts w:ascii="Calibri" w:hAnsi="Calibri" w:eastAsia="Aptos" w:cs="Calibri"/>
        </w:rPr>
        <w:tab/>
      </w:r>
      <w:r w:rsidRPr="00045143">
        <w:rPr>
          <w:rFonts w:ascii="Calibri" w:hAnsi="Calibri" w:eastAsia="Aptos" w:cs="Calibri"/>
        </w:rPr>
        <w:tab/>
        <w:t xml:space="preserve">Brief van de minister van Klimaat en Groene Groei, de </w:t>
      </w:r>
      <w:r w:rsidRPr="00045143">
        <w:rPr>
          <w:rFonts w:ascii="Calibri" w:hAnsi="Calibri" w:cs="Calibri"/>
        </w:rPr>
        <w:t>staatssecretaris van Economische Zaken en Klimaat en de staatssecretaris van Infrastructuur en Waterstaat</w:t>
      </w:r>
    </w:p>
    <w:p w:rsidRPr="00045143" w:rsidR="00045143" w:rsidP="004474D9" w:rsidRDefault="00045143" w14:paraId="2427C62C" w14:textId="62B79350">
      <w:pPr>
        <w:rPr>
          <w:rFonts w:ascii="Calibri" w:hAnsi="Calibri" w:cs="Calibri"/>
        </w:rPr>
      </w:pPr>
      <w:r w:rsidRPr="00045143">
        <w:rPr>
          <w:rFonts w:ascii="Calibri" w:hAnsi="Calibri" w:cs="Calibri"/>
        </w:rPr>
        <w:t>Aan de Voorzitter van de Tweede Kamer der Staten-Generaal</w:t>
      </w:r>
    </w:p>
    <w:p w:rsidRPr="00045143" w:rsidR="00045143" w:rsidP="004474D9" w:rsidRDefault="00045143" w14:paraId="5CC4AB82" w14:textId="291C93D1">
      <w:pPr>
        <w:rPr>
          <w:rFonts w:ascii="Calibri" w:hAnsi="Calibri" w:cs="Calibri"/>
          <w:color w:val="000000"/>
        </w:rPr>
      </w:pPr>
      <w:r w:rsidRPr="00045143">
        <w:rPr>
          <w:rFonts w:ascii="Calibri" w:hAnsi="Calibri" w:cs="Calibri"/>
        </w:rPr>
        <w:t>Den Haag, 7 april 2026</w:t>
      </w:r>
    </w:p>
    <w:p w:rsidRPr="00045143" w:rsidR="00CD1F0C" w:rsidP="00CD1F0C" w:rsidRDefault="00CD1F0C" w14:paraId="02809310" w14:textId="77777777">
      <w:pPr>
        <w:rPr>
          <w:rFonts w:ascii="Calibri" w:hAnsi="Calibri" w:eastAsia="Aptos" w:cs="Calibri"/>
        </w:rPr>
      </w:pPr>
    </w:p>
    <w:p w:rsidRPr="00045143" w:rsidR="00CD1F0C" w:rsidP="00CD1F0C" w:rsidRDefault="00CD1F0C" w14:paraId="1BC639FF" w14:textId="77777777">
      <w:pPr>
        <w:rPr>
          <w:rFonts w:ascii="Calibri" w:hAnsi="Calibri" w:cs="Calibri"/>
        </w:rPr>
      </w:pPr>
      <w:r w:rsidRPr="00045143">
        <w:rPr>
          <w:rFonts w:ascii="Calibri" w:hAnsi="Calibri" w:cs="Calibri"/>
        </w:rPr>
        <w:t>Naar aanleiding van het verzoek van de vaste commissie voor Klimaat en Groene Groei van heden tijdens procedure (kenmerk: 2026Z07166) sturen wij u deze brief met een reactie op het interview met de bestuursvoorzitter van Tata Steel, met de titel ‘Geen staatssteun voor Tata Steel? Wij hebben geen plan B’. In het bijzonder gaan wij hierbij in op de passage over de lopende gesprekken over een mogelijk vervroegde sluiting van Kooksgasfabriek 1 en 2 bij Tata Steel IJmuiden, onderdeel van Tata Steel Nederland (TSN). We begrijpen dat de Volkskrant hierover vragen zijn ontstaan. In deze brief zullen we het voortraject rond beide Kooksgasfabrieken en de huidige stand van zaken nader toelichten, inclusief de implicaties van een mogelijk vervroegde sluiting.</w:t>
      </w:r>
    </w:p>
    <w:p w:rsidRPr="00045143" w:rsidR="00CD1F0C" w:rsidP="00CD1F0C" w:rsidRDefault="00CD1F0C" w14:paraId="1EAB9FF0" w14:textId="77777777">
      <w:pPr>
        <w:rPr>
          <w:rFonts w:ascii="Calibri" w:hAnsi="Calibri" w:cs="Calibri"/>
        </w:rPr>
      </w:pPr>
    </w:p>
    <w:p w:rsidRPr="00045143" w:rsidR="00CD1F0C" w:rsidP="00CD1F0C" w:rsidRDefault="00CD1F0C" w14:paraId="39238BC9" w14:textId="77777777">
      <w:pPr>
        <w:rPr>
          <w:rFonts w:ascii="Calibri" w:hAnsi="Calibri" w:cs="Calibri"/>
        </w:rPr>
      </w:pPr>
      <w:r w:rsidRPr="00045143">
        <w:rPr>
          <w:rFonts w:ascii="Calibri" w:hAnsi="Calibri" w:cs="Calibri"/>
        </w:rPr>
        <w:t>In het interview geeft de CEO van TSN aan dat het belang van de maatwerkafspraken groot is voor het bedrijf, en dat het bedrijf ook snel tot afspraken wil komen. In het interview geeft hij vervolgens ook aan dat het sluiten van de Kooksgasfabrieken losgekoppeld is van het Groen Staal plan, maar dat hierover wel gesprekken lopen met de Staat.</w:t>
      </w:r>
    </w:p>
    <w:p w:rsidRPr="00045143" w:rsidR="00CD1F0C" w:rsidP="00CD1F0C" w:rsidRDefault="00CD1F0C" w14:paraId="23B67071" w14:textId="77777777">
      <w:pPr>
        <w:rPr>
          <w:rFonts w:ascii="Calibri" w:hAnsi="Calibri" w:cs="Calibri"/>
        </w:rPr>
      </w:pPr>
    </w:p>
    <w:p w:rsidRPr="00045143" w:rsidR="00CD1F0C" w:rsidP="00CD1F0C" w:rsidRDefault="00CD1F0C" w14:paraId="29047166" w14:textId="11E35EB2">
      <w:pPr>
        <w:rPr>
          <w:rFonts w:ascii="Calibri" w:hAnsi="Calibri" w:cs="Calibri"/>
        </w:rPr>
      </w:pPr>
      <w:r w:rsidRPr="00045143">
        <w:rPr>
          <w:rFonts w:ascii="Calibri" w:hAnsi="Calibri" w:cs="Calibri"/>
        </w:rPr>
        <w:t xml:space="preserve">In de Kamerbrief over de milieuproblematiek (april 2025) is de Kamer geïnformeerd over de lopende handhavingstrajecten bij onder andere de Kooksgasfabrieken 1 en 2 (Kamerstuk 28 089, nr. 334). In die brief heeft het kabinet onder andere gemeld dat het de verantwoordelijkheid van het bedrijf zelf is om aan de geldende voorschriften te voldoen en dat, gelet op de lopende lasten onder dwangsom, het bedrijf hier prioriteit aan zou moeten geven en proactief mee aan de slag zou moeten gaan. De provincie Noord-Holland is als bevoegd gezag verantwoordelijk voor de taken op het gebied van vergunningverlening, toezicht en handhaving. Deze taken zijn gemandateerd aan de Omgevingsdienst Noordzeekanaalgebied (OD NZKG). Het bevoegd gezag voert deze taken onafhankelijk uit, binnen de wettelijke kaders die hiervoor gelden. Het kabinet heeft geen rol in de besluitvorming over individuele handhavingstrajecten, ook niet in dit geval. </w:t>
      </w:r>
    </w:p>
    <w:p w:rsidRPr="00045143" w:rsidR="00CD1F0C" w:rsidP="00CD1F0C" w:rsidRDefault="00CD1F0C" w14:paraId="2A7F216F" w14:textId="77777777">
      <w:pPr>
        <w:rPr>
          <w:rFonts w:ascii="Calibri" w:hAnsi="Calibri" w:cs="Calibri"/>
        </w:rPr>
      </w:pPr>
    </w:p>
    <w:p w:rsidRPr="00045143" w:rsidR="00CD1F0C" w:rsidP="00CD1F0C" w:rsidRDefault="00CD1F0C" w14:paraId="6A326ED2" w14:textId="77777777">
      <w:pPr>
        <w:rPr>
          <w:rFonts w:ascii="Calibri" w:hAnsi="Calibri" w:cs="Calibri"/>
        </w:rPr>
      </w:pPr>
      <w:r w:rsidRPr="00045143">
        <w:rPr>
          <w:rFonts w:ascii="Calibri" w:hAnsi="Calibri" w:cs="Calibri"/>
        </w:rPr>
        <w:lastRenderedPageBreak/>
        <w:t xml:space="preserve">Bij het sluiten van een maatwerkafspraak is het voor het kabinet van groot belang dat het bedrijf wet- en regelgeving naleeft, ook wel ‘de compliance’ genoemd. Compliance is daarom ook in de Joint Letter of Intent opgenomen, onder andere als opzeggrond voor de staat. Gelet op het belang van compliance wordt vanuit het Rijk in de onderhandelingen met het bedrijf aangedrongen op een zo snel mogelijke oplossing voor de lopende handhavingstrajecten. </w:t>
      </w:r>
    </w:p>
    <w:p w:rsidRPr="00045143" w:rsidR="00CD1F0C" w:rsidP="00CD1F0C" w:rsidRDefault="00CD1F0C" w14:paraId="2BD263C7" w14:textId="77777777">
      <w:pPr>
        <w:rPr>
          <w:rFonts w:ascii="Calibri" w:hAnsi="Calibri" w:cs="Calibri"/>
        </w:rPr>
      </w:pPr>
    </w:p>
    <w:p w:rsidRPr="00045143" w:rsidR="00CD1F0C" w:rsidP="00CD1F0C" w:rsidRDefault="00CD1F0C" w14:paraId="414A9BF0" w14:textId="77777777">
      <w:pPr>
        <w:rPr>
          <w:rFonts w:ascii="Calibri" w:hAnsi="Calibri" w:cs="Calibri"/>
        </w:rPr>
      </w:pPr>
      <w:r w:rsidRPr="00045143">
        <w:rPr>
          <w:rFonts w:ascii="Calibri" w:hAnsi="Calibri" w:cs="Calibri"/>
        </w:rPr>
        <w:t xml:space="preserve">Voor KGF2 was sluiting aanvankelijk voorzien in 2029, en voor KGF1 als onderdeel van de tweede fase verduurzaming. Wij zien het als een positieve ontwikkeling dat TSN nu publiekelijk aangeeft te kijken naar het vervroegd sluiten van beide fabrieken en dat het bedrijf het van groot belang vindt om de problemen rondom beide Kooksgasfabrieken op te lossen alvorens een maatwerkafspraak wordt gesloten. Versnelde sluitingen van de Kooksgasfabrieken kan een positieve impact hebben op het verder terugdringen van de gezondheidsrisico's en op het draagvlak in de omgeving. Deze plannen bevinden zich echter nog in een vroege fase. Daarom is uw Kamer hierover nog niet geïnformeerd. Tata Steel heeft als oplossing voor de overtredingen bij KGF1 en KGF2 aangegeven versnelde sluiting van beide KGF’s te overwegen. Het is aan TSN om deze plannen verder uit te werken en met de relevante partijen te bespreken. </w:t>
      </w:r>
    </w:p>
    <w:p w:rsidRPr="00045143" w:rsidR="00CD1F0C" w:rsidP="00CD1F0C" w:rsidRDefault="00CD1F0C" w14:paraId="664D2D70" w14:textId="77777777">
      <w:pPr>
        <w:rPr>
          <w:rFonts w:ascii="Calibri" w:hAnsi="Calibri" w:cs="Calibri"/>
        </w:rPr>
      </w:pPr>
    </w:p>
    <w:p w:rsidRPr="00045143" w:rsidR="00CD1F0C" w:rsidP="00CD1F0C" w:rsidRDefault="00CD1F0C" w14:paraId="39D50711" w14:textId="77777777">
      <w:pPr>
        <w:rPr>
          <w:rFonts w:ascii="Calibri" w:hAnsi="Calibri" w:cs="Calibri"/>
        </w:rPr>
      </w:pPr>
      <w:r w:rsidRPr="00045143">
        <w:rPr>
          <w:rFonts w:ascii="Calibri" w:hAnsi="Calibri" w:cs="Calibri"/>
        </w:rPr>
        <w:t>De maatwerkafspraak met TSN wordt de komende tijd verder uitgewerkt. Hierin zullen alle gezamenlijke afspraken worden verankerd. Voor KGF2 was het uiterlijke moment van sluiting al onderdeel van de maatwerkafspraak, omdat deze sluiting gekoppeld was aan de bouw van de DRP-EAF. Voor versnelde sluiting van de KGF2 kan, zoals eerder in schriftelijke antwoorden is gecommuniceerd, geen subsidie worden verstrekt, omdat hierbij geen sprake is van bovenwettelijkheid. Zodra er zicht is op een uitgewerkt plan, dat ook getoetst kan worden, zal het kabinet de Kamer hier uiteraard over informeren.</w:t>
      </w:r>
    </w:p>
    <w:p w:rsidRPr="00045143" w:rsidR="00CD1F0C" w:rsidP="00045143" w:rsidRDefault="00CD1F0C" w14:paraId="3C7CE7CD" w14:textId="77777777">
      <w:pPr>
        <w:pStyle w:val="Geenafstand"/>
        <w:rPr>
          <w:rFonts w:ascii="Calibri" w:hAnsi="Calibri" w:cs="Calibri"/>
        </w:rPr>
      </w:pPr>
    </w:p>
    <w:p w:rsidRPr="00045143" w:rsidR="00045143" w:rsidP="00045143" w:rsidRDefault="00045143" w14:paraId="05C074E5" w14:textId="22E857BB">
      <w:pPr>
        <w:pStyle w:val="Geenafstand"/>
        <w:rPr>
          <w:rFonts w:ascii="Calibri" w:hAnsi="Calibri" w:cs="Calibri"/>
        </w:rPr>
      </w:pPr>
      <w:bookmarkStart w:name="_Hlk222840271" w:id="0"/>
      <w:r w:rsidRPr="00045143">
        <w:rPr>
          <w:rFonts w:ascii="Calibri" w:hAnsi="Calibri" w:cs="Calibri"/>
        </w:rPr>
        <w:t>De m</w:t>
      </w:r>
      <w:r w:rsidRPr="00045143">
        <w:rPr>
          <w:rFonts w:ascii="Calibri" w:hAnsi="Calibri" w:cs="Calibri"/>
        </w:rPr>
        <w:t>inister van Klimaat en Groene Groei</w:t>
      </w:r>
      <w:r w:rsidRPr="00045143">
        <w:rPr>
          <w:rFonts w:ascii="Calibri" w:hAnsi="Calibri" w:cs="Calibri"/>
        </w:rPr>
        <w:t>,</w:t>
      </w:r>
    </w:p>
    <w:p w:rsidRPr="00045143" w:rsidR="00CD1F0C" w:rsidP="00045143" w:rsidRDefault="00CD1F0C" w14:paraId="299EC017" w14:textId="60DF30F7">
      <w:pPr>
        <w:pStyle w:val="Geenafstand"/>
        <w:rPr>
          <w:rFonts w:ascii="Calibri" w:hAnsi="Calibri" w:cs="Calibri"/>
        </w:rPr>
      </w:pPr>
      <w:r w:rsidRPr="00045143">
        <w:rPr>
          <w:rFonts w:ascii="Calibri" w:hAnsi="Calibri" w:cs="Calibri"/>
        </w:rPr>
        <w:t>S</w:t>
      </w:r>
      <w:r w:rsidRPr="00045143" w:rsidR="00045143">
        <w:rPr>
          <w:rFonts w:ascii="Calibri" w:hAnsi="Calibri" w:cs="Calibri"/>
        </w:rPr>
        <w:t>.</w:t>
      </w:r>
      <w:r w:rsidRPr="00045143">
        <w:rPr>
          <w:rFonts w:ascii="Calibri" w:hAnsi="Calibri" w:cs="Calibri"/>
        </w:rPr>
        <w:t xml:space="preserve"> van Veldhoven-van der Meer</w:t>
      </w:r>
    </w:p>
    <w:bookmarkEnd w:id="0"/>
    <w:p w:rsidRPr="00045143" w:rsidR="00CD1F0C" w:rsidP="00045143" w:rsidRDefault="00CD1F0C" w14:paraId="6074CDD2" w14:textId="77777777">
      <w:pPr>
        <w:pStyle w:val="Geenafstand"/>
        <w:rPr>
          <w:rFonts w:ascii="Calibri" w:hAnsi="Calibri" w:cs="Calibri"/>
        </w:rPr>
      </w:pPr>
    </w:p>
    <w:p w:rsidRPr="00045143" w:rsidR="00045143" w:rsidP="00045143" w:rsidRDefault="00045143" w14:paraId="348AF6FF" w14:textId="300CCC91">
      <w:pPr>
        <w:pStyle w:val="Geenafstand"/>
        <w:rPr>
          <w:rFonts w:ascii="Calibri" w:hAnsi="Calibri" w:cs="Calibri"/>
          <w:color w:val="000000"/>
        </w:rPr>
      </w:pPr>
      <w:r w:rsidRPr="00045143">
        <w:rPr>
          <w:rFonts w:ascii="Calibri" w:hAnsi="Calibri" w:cs="Calibri"/>
        </w:rPr>
        <w:t>De staatssecretaris van Economische Zaken en Klimaat,</w:t>
      </w:r>
    </w:p>
    <w:p w:rsidRPr="00045143" w:rsidR="00CD1F0C" w:rsidP="00045143" w:rsidRDefault="00CD1F0C" w14:paraId="7A932991" w14:textId="0154DF72">
      <w:pPr>
        <w:pStyle w:val="Geenafstand"/>
        <w:rPr>
          <w:rFonts w:ascii="Calibri" w:hAnsi="Calibri" w:cs="Calibri"/>
        </w:rPr>
      </w:pPr>
      <w:r w:rsidRPr="00045143">
        <w:rPr>
          <w:rFonts w:ascii="Calibri" w:hAnsi="Calibri" w:cs="Calibri"/>
        </w:rPr>
        <w:t>J</w:t>
      </w:r>
      <w:r w:rsidRPr="00045143" w:rsidR="00045143">
        <w:rPr>
          <w:rFonts w:ascii="Calibri" w:hAnsi="Calibri" w:cs="Calibri"/>
        </w:rPr>
        <w:t>.</w:t>
      </w:r>
      <w:r w:rsidRPr="00045143">
        <w:rPr>
          <w:rFonts w:ascii="Calibri" w:hAnsi="Calibri" w:cs="Calibri"/>
        </w:rPr>
        <w:t xml:space="preserve"> de Bat</w:t>
      </w:r>
    </w:p>
    <w:p w:rsidRPr="00045143" w:rsidR="00045143" w:rsidP="00045143" w:rsidRDefault="00045143" w14:paraId="75FDBB67" w14:textId="77777777">
      <w:pPr>
        <w:pStyle w:val="Geenafstand"/>
        <w:rPr>
          <w:rFonts w:ascii="Calibri" w:hAnsi="Calibri" w:cs="Calibri"/>
        </w:rPr>
      </w:pPr>
    </w:p>
    <w:p w:rsidRPr="00045143" w:rsidR="00045143" w:rsidP="00045143" w:rsidRDefault="00045143" w14:paraId="51ABC18D" w14:textId="4257582D">
      <w:pPr>
        <w:pStyle w:val="Geenafstand"/>
        <w:rPr>
          <w:rFonts w:ascii="Calibri" w:hAnsi="Calibri" w:cs="Calibri"/>
        </w:rPr>
      </w:pPr>
      <w:r w:rsidRPr="00045143">
        <w:rPr>
          <w:rFonts w:ascii="Calibri" w:hAnsi="Calibri" w:cs="Calibri"/>
        </w:rPr>
        <w:t>De s</w:t>
      </w:r>
      <w:r w:rsidRPr="00045143">
        <w:rPr>
          <w:rFonts w:ascii="Calibri" w:hAnsi="Calibri" w:cs="Calibri"/>
        </w:rPr>
        <w:t>taatssecretaris van Infrastructuur en Waterstaat</w:t>
      </w:r>
      <w:r w:rsidRPr="00045143">
        <w:rPr>
          <w:rFonts w:ascii="Calibri" w:hAnsi="Calibri" w:cs="Calibri"/>
        </w:rPr>
        <w:t>,</w:t>
      </w:r>
    </w:p>
    <w:p w:rsidRPr="00045143" w:rsidR="00CD1F0C" w:rsidP="00045143" w:rsidRDefault="00CD1F0C" w14:paraId="483FE2E8" w14:textId="6CEDA2EE">
      <w:pPr>
        <w:pStyle w:val="Geenafstand"/>
        <w:rPr>
          <w:rFonts w:ascii="Calibri" w:hAnsi="Calibri" w:cs="Calibri"/>
        </w:rPr>
      </w:pPr>
      <w:r w:rsidRPr="00045143">
        <w:rPr>
          <w:rFonts w:ascii="Calibri" w:hAnsi="Calibri" w:cs="Calibri"/>
        </w:rPr>
        <w:t>A</w:t>
      </w:r>
      <w:r w:rsidRPr="00045143" w:rsidR="00045143">
        <w:rPr>
          <w:rFonts w:ascii="Calibri" w:hAnsi="Calibri" w:cs="Calibri"/>
        </w:rPr>
        <w:t xml:space="preserve">.W.H. </w:t>
      </w:r>
      <w:r w:rsidRPr="00045143">
        <w:rPr>
          <w:rFonts w:ascii="Calibri" w:hAnsi="Calibri" w:cs="Calibri"/>
        </w:rPr>
        <w:t>Bertram</w:t>
      </w:r>
    </w:p>
    <w:p w:rsidRPr="00045143" w:rsidR="006F53E6" w:rsidP="00045143" w:rsidRDefault="006F53E6" w14:paraId="55F0BB57" w14:textId="77777777">
      <w:pPr>
        <w:pStyle w:val="Geenafstand"/>
        <w:rPr>
          <w:rFonts w:ascii="Calibri" w:hAnsi="Calibri" w:cs="Calibri"/>
        </w:rPr>
      </w:pPr>
    </w:p>
    <w:sectPr w:rsidRPr="00045143" w:rsidR="006F53E6" w:rsidSect="008B1B0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D764" w14:textId="77777777" w:rsidR="00A25B8D" w:rsidRDefault="00A25B8D" w:rsidP="00CD1F0C">
      <w:pPr>
        <w:spacing w:after="0" w:line="240" w:lineRule="auto"/>
      </w:pPr>
      <w:r>
        <w:separator/>
      </w:r>
    </w:p>
  </w:endnote>
  <w:endnote w:type="continuationSeparator" w:id="0">
    <w:p w14:paraId="19C20F77" w14:textId="77777777" w:rsidR="00A25B8D" w:rsidRDefault="00A25B8D" w:rsidP="00CD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6573" w14:textId="77777777" w:rsidR="00CD1F0C" w:rsidRPr="00CD1F0C" w:rsidRDefault="00CD1F0C" w:rsidP="00CD1F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8E5E" w14:textId="77777777" w:rsidR="00CD1F0C" w:rsidRPr="00CD1F0C" w:rsidRDefault="00CD1F0C" w:rsidP="00CD1F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E861" w14:textId="77777777" w:rsidR="00CD1F0C" w:rsidRPr="00CD1F0C" w:rsidRDefault="00CD1F0C" w:rsidP="00CD1F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9B4B" w14:textId="77777777" w:rsidR="00A25B8D" w:rsidRDefault="00A25B8D" w:rsidP="00CD1F0C">
      <w:pPr>
        <w:spacing w:after="0" w:line="240" w:lineRule="auto"/>
      </w:pPr>
      <w:r>
        <w:separator/>
      </w:r>
    </w:p>
  </w:footnote>
  <w:footnote w:type="continuationSeparator" w:id="0">
    <w:p w14:paraId="6C3280CD" w14:textId="77777777" w:rsidR="00A25B8D" w:rsidRDefault="00A25B8D" w:rsidP="00CD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5854" w14:textId="77777777" w:rsidR="00CD1F0C" w:rsidRPr="00CD1F0C" w:rsidRDefault="00CD1F0C" w:rsidP="00CD1F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0BFE" w14:textId="77777777" w:rsidR="00CD1F0C" w:rsidRPr="00CD1F0C" w:rsidRDefault="00CD1F0C" w:rsidP="00CD1F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86D6" w14:textId="77777777" w:rsidR="00CD1F0C" w:rsidRPr="00CD1F0C" w:rsidRDefault="00CD1F0C" w:rsidP="00CD1F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0C"/>
    <w:rsid w:val="00045143"/>
    <w:rsid w:val="0006691D"/>
    <w:rsid w:val="001C09E3"/>
    <w:rsid w:val="006F53E6"/>
    <w:rsid w:val="008B01AD"/>
    <w:rsid w:val="008B1B0D"/>
    <w:rsid w:val="00A25B8D"/>
    <w:rsid w:val="00A85014"/>
    <w:rsid w:val="00CD1F0C"/>
    <w:rsid w:val="00E8030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4D00"/>
  <w15:chartTrackingRefBased/>
  <w15:docId w15:val="{FECB63CD-B90C-481F-A5EB-63B0F604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1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1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1F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1F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1F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1F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1F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1F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1F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1F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1F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1F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1F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1F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1F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1F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1F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1F0C"/>
    <w:rPr>
      <w:rFonts w:eastAsiaTheme="majorEastAsia" w:cstheme="majorBidi"/>
      <w:color w:val="272727" w:themeColor="text1" w:themeTint="D8"/>
    </w:rPr>
  </w:style>
  <w:style w:type="paragraph" w:styleId="Titel">
    <w:name w:val="Title"/>
    <w:basedOn w:val="Standaard"/>
    <w:next w:val="Standaard"/>
    <w:link w:val="TitelChar"/>
    <w:uiPriority w:val="10"/>
    <w:qFormat/>
    <w:rsid w:val="00CD1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1F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1F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1F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1F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1F0C"/>
    <w:rPr>
      <w:i/>
      <w:iCs/>
      <w:color w:val="404040" w:themeColor="text1" w:themeTint="BF"/>
    </w:rPr>
  </w:style>
  <w:style w:type="paragraph" w:styleId="Lijstalinea">
    <w:name w:val="List Paragraph"/>
    <w:basedOn w:val="Standaard"/>
    <w:uiPriority w:val="34"/>
    <w:qFormat/>
    <w:rsid w:val="00CD1F0C"/>
    <w:pPr>
      <w:ind w:left="720"/>
      <w:contextualSpacing/>
    </w:pPr>
  </w:style>
  <w:style w:type="character" w:styleId="Intensievebenadrukking">
    <w:name w:val="Intense Emphasis"/>
    <w:basedOn w:val="Standaardalinea-lettertype"/>
    <w:uiPriority w:val="21"/>
    <w:qFormat/>
    <w:rsid w:val="00CD1F0C"/>
    <w:rPr>
      <w:i/>
      <w:iCs/>
      <w:color w:val="0F4761" w:themeColor="accent1" w:themeShade="BF"/>
    </w:rPr>
  </w:style>
  <w:style w:type="paragraph" w:styleId="Duidelijkcitaat">
    <w:name w:val="Intense Quote"/>
    <w:basedOn w:val="Standaard"/>
    <w:next w:val="Standaard"/>
    <w:link w:val="DuidelijkcitaatChar"/>
    <w:uiPriority w:val="30"/>
    <w:qFormat/>
    <w:rsid w:val="00CD1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1F0C"/>
    <w:rPr>
      <w:i/>
      <w:iCs/>
      <w:color w:val="0F4761" w:themeColor="accent1" w:themeShade="BF"/>
    </w:rPr>
  </w:style>
  <w:style w:type="character" w:styleId="Intensieveverwijzing">
    <w:name w:val="Intense Reference"/>
    <w:basedOn w:val="Standaardalinea-lettertype"/>
    <w:uiPriority w:val="32"/>
    <w:qFormat/>
    <w:rsid w:val="00CD1F0C"/>
    <w:rPr>
      <w:b/>
      <w:bCs/>
      <w:smallCaps/>
      <w:color w:val="0F4761" w:themeColor="accent1" w:themeShade="BF"/>
      <w:spacing w:val="5"/>
    </w:rPr>
  </w:style>
  <w:style w:type="paragraph" w:styleId="Koptekst">
    <w:name w:val="header"/>
    <w:basedOn w:val="Standaard"/>
    <w:link w:val="KoptekstChar"/>
    <w:rsid w:val="00CD1F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D1F0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D1F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D1F0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D1F0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D1F0C"/>
    <w:rPr>
      <w:rFonts w:ascii="Verdana" w:hAnsi="Verdana"/>
      <w:noProof/>
      <w:sz w:val="13"/>
      <w:szCs w:val="24"/>
      <w:lang w:eastAsia="nl-NL"/>
    </w:rPr>
  </w:style>
  <w:style w:type="paragraph" w:customStyle="1" w:styleId="Huisstijl-Gegeven">
    <w:name w:val="Huisstijl-Gegeven"/>
    <w:basedOn w:val="Standaard"/>
    <w:link w:val="Huisstijl-GegevenCharChar"/>
    <w:rsid w:val="00CD1F0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D1F0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D1F0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D1F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D1F0C"/>
    <w:pPr>
      <w:spacing w:after="0"/>
    </w:pPr>
    <w:rPr>
      <w:b/>
    </w:rPr>
  </w:style>
  <w:style w:type="paragraph" w:customStyle="1" w:styleId="Huisstijl-Paginanummering">
    <w:name w:val="Huisstijl-Paginanummering"/>
    <w:basedOn w:val="Standaard"/>
    <w:rsid w:val="00CD1F0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D1F0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045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691</ap:Words>
  <ap:Characters>3805</ap:Characters>
  <ap:DocSecurity>0</ap:DocSecurity>
  <ap:Lines>31</ap:Lines>
  <ap:Paragraphs>8</ap:Paragraphs>
  <ap:ScaleCrop>false</ap:ScaleCrop>
  <ap:LinksUpToDate>false</ap:LinksUpToDate>
  <ap:CharactersWithSpaces>4488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2026-05-20T08:21:00.0000000Z</dcterms:created>
  <dcterms:modified xsi:type="dcterms:W3CDTF">2026-05-20T08:22:00.0000000Z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