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4BF4" w:rsidR="00F21189" w:rsidP="00C34BF4" w:rsidRDefault="00F21189" w14:paraId="7E1E582F" w14:textId="7C7362F6">
      <w:pPr>
        <w:spacing w:after="0"/>
        <w:rPr>
          <w:b/>
          <w:lang w:val="nl-NL"/>
        </w:rPr>
      </w:pPr>
      <w:r w:rsidRPr="00F82D04">
        <w:rPr>
          <w:b/>
          <w:lang w:val="nl-NL"/>
        </w:rPr>
        <w:t xml:space="preserve">VERSLAG </w:t>
      </w:r>
      <w:r w:rsidRPr="00F82D04" w:rsidR="00E34CCD">
        <w:rPr>
          <w:b/>
          <w:lang w:val="nl-NL"/>
        </w:rPr>
        <w:t>VAN DE 14</w:t>
      </w:r>
      <w:r w:rsidRPr="00F82D04" w:rsidR="00E34CCD">
        <w:rPr>
          <w:b/>
          <w:vertAlign w:val="superscript"/>
          <w:lang w:val="nl-NL"/>
        </w:rPr>
        <w:t>e</w:t>
      </w:r>
      <w:r w:rsidRPr="00F82D04" w:rsidR="00E34CCD">
        <w:rPr>
          <w:b/>
          <w:lang w:val="nl-NL"/>
        </w:rPr>
        <w:t xml:space="preserve"> MINISTERIËLE CONFERENTIE VAN DE WERELDHANDELSORGANISATIE (WTO MC14) VAN 26 MAART – 29 MAART 2026 EN VAN DE RAAD BUITENLANDSE ZAKEN HANDEL OP 26 EN 29 MAART 202</w:t>
      </w:r>
      <w:r w:rsidRPr="00F82D04" w:rsidR="007212AB">
        <w:rPr>
          <w:b/>
          <w:lang w:val="nl-NL"/>
        </w:rPr>
        <w:t>6</w:t>
      </w:r>
    </w:p>
    <w:p w:rsidR="00F21189" w:rsidP="00F21189" w:rsidRDefault="00F21189" w14:paraId="6D2A03CC" w14:textId="77777777">
      <w:pPr>
        <w:rPr>
          <w:b/>
          <w:szCs w:val="18"/>
          <w:lang w:val="nl-NL" w:eastAsia="ja-JP"/>
        </w:rPr>
      </w:pPr>
    </w:p>
    <w:p w:rsidRPr="00C34BF4" w:rsidR="00F21189" w:rsidP="00F21189" w:rsidRDefault="00F21189" w14:paraId="7FE0ABB5" w14:textId="69371599">
      <w:pPr>
        <w:rPr>
          <w:b/>
          <w:color w:val="FF0000"/>
          <w:lang w:val="nl-NL" w:eastAsia="ja-JP"/>
        </w:rPr>
      </w:pPr>
      <w:r w:rsidRPr="00F82D04">
        <w:rPr>
          <w:b/>
          <w:lang w:val="nl-NL" w:eastAsia="ja-JP"/>
        </w:rPr>
        <w:t xml:space="preserve">Introductie </w:t>
      </w:r>
    </w:p>
    <w:p w:rsidRPr="00C34BF4" w:rsidR="00567EFC" w:rsidP="00567EFC" w:rsidRDefault="00567EFC" w14:paraId="7E68FD9C" w14:textId="262D3331">
      <w:pPr>
        <w:rPr>
          <w:lang w:val="nl-NL" w:eastAsia="ja-JP"/>
        </w:rPr>
      </w:pPr>
      <w:r w:rsidRPr="00F82D04">
        <w:rPr>
          <w:lang w:val="nl-NL" w:eastAsia="ja-JP"/>
        </w:rPr>
        <w:t>Van 26 maart tot en met 29 maart vond de 14</w:t>
      </w:r>
      <w:r w:rsidRPr="00F82D04">
        <w:rPr>
          <w:vertAlign w:val="superscript"/>
          <w:lang w:val="nl-NL" w:eastAsia="ja-JP"/>
        </w:rPr>
        <w:t>e</w:t>
      </w:r>
      <w:r w:rsidRPr="00F82D04">
        <w:rPr>
          <w:lang w:val="nl-NL" w:eastAsia="ja-JP"/>
        </w:rPr>
        <w:t xml:space="preserve"> Ministeriële Conferentie van de Wereldhandelsorganisatie (WTO MC14) plaats in Yaoundé, Kameroen. Het Koninkrijk werd vertegenwoordigd door een delegatie onder leiding van de Minister van Buitenlandse Handel en Ontwikkelingssamenwerking. </w:t>
      </w:r>
      <w:r w:rsidRPr="005A0A5D">
        <w:rPr>
          <w:lang w:val="nl-NL" w:eastAsia="ja-JP"/>
        </w:rPr>
        <w:t xml:space="preserve">Tot de </w:t>
      </w:r>
      <w:proofErr w:type="spellStart"/>
      <w:r w:rsidR="006F4E97">
        <w:rPr>
          <w:lang w:val="nl-NL" w:eastAsia="ja-JP"/>
        </w:rPr>
        <w:t>koninkrijks</w:t>
      </w:r>
      <w:r w:rsidRPr="005A0A5D">
        <w:rPr>
          <w:lang w:val="nl-NL" w:eastAsia="ja-JP"/>
        </w:rPr>
        <w:t>delegatie</w:t>
      </w:r>
      <w:proofErr w:type="spellEnd"/>
      <w:r w:rsidRPr="00F82D04">
        <w:rPr>
          <w:lang w:val="nl-NL" w:eastAsia="ja-JP"/>
        </w:rPr>
        <w:t xml:space="preserve"> behoorden ook de Tweede Kamerleden </w:t>
      </w:r>
      <w:proofErr w:type="spellStart"/>
      <w:r w:rsidRPr="00F82D04">
        <w:rPr>
          <w:lang w:val="nl-NL" w:eastAsia="ja-JP"/>
        </w:rPr>
        <w:t>Bamenga</w:t>
      </w:r>
      <w:proofErr w:type="spellEnd"/>
      <w:r w:rsidRPr="00F82D04">
        <w:rPr>
          <w:lang w:val="nl-NL" w:eastAsia="ja-JP"/>
        </w:rPr>
        <w:t xml:space="preserve"> (D66) en </w:t>
      </w:r>
      <w:proofErr w:type="spellStart"/>
      <w:r w:rsidRPr="00F82D04">
        <w:rPr>
          <w:lang w:val="nl-NL" w:eastAsia="ja-JP"/>
        </w:rPr>
        <w:t>Kröger</w:t>
      </w:r>
      <w:proofErr w:type="spellEnd"/>
      <w:r w:rsidRPr="00F82D04">
        <w:rPr>
          <w:lang w:val="nl-NL" w:eastAsia="ja-JP"/>
        </w:rPr>
        <w:t xml:space="preserve"> (GL-PvdA), een vertegenwoordiger van VNO-NCW en een vertegenwoordiger van Both ENDS. Curaçao was als </w:t>
      </w:r>
      <w:r w:rsidRPr="005A0A5D">
        <w:rPr>
          <w:lang w:val="nl-NL" w:eastAsia="ja-JP"/>
        </w:rPr>
        <w:t>toe</w:t>
      </w:r>
      <w:r w:rsidR="006257C8">
        <w:rPr>
          <w:lang w:val="nl-NL" w:eastAsia="ja-JP"/>
        </w:rPr>
        <w:t>treder</w:t>
      </w:r>
      <w:r w:rsidRPr="00F82D04">
        <w:rPr>
          <w:lang w:val="nl-NL" w:eastAsia="ja-JP"/>
        </w:rPr>
        <w:t xml:space="preserve"> van de WTO met een aparte delegatie aanwezig</w:t>
      </w:r>
      <w:r w:rsidR="005808FA">
        <w:rPr>
          <w:lang w:val="nl-NL" w:eastAsia="ja-JP"/>
        </w:rPr>
        <w:t xml:space="preserve">, </w:t>
      </w:r>
      <w:r w:rsidR="00047AD0">
        <w:rPr>
          <w:lang w:val="nl-NL" w:eastAsia="ja-JP"/>
        </w:rPr>
        <w:t>waarbij nauw contact werd gehouden tussen de beide delegaties</w:t>
      </w:r>
      <w:r w:rsidRPr="005A0A5D">
        <w:rPr>
          <w:lang w:val="nl-NL" w:eastAsia="ja-JP"/>
        </w:rPr>
        <w:t xml:space="preserve">. </w:t>
      </w:r>
    </w:p>
    <w:p w:rsidRPr="00C34BF4" w:rsidR="00567EFC" w:rsidP="00E34CCD" w:rsidRDefault="00567EFC" w14:paraId="6580953D" w14:textId="79132E3F">
      <w:pPr>
        <w:rPr>
          <w:b/>
          <w:lang w:val="nl-NL" w:eastAsia="ja-JP"/>
        </w:rPr>
      </w:pPr>
      <w:r w:rsidRPr="00F82D04">
        <w:rPr>
          <w:b/>
          <w:lang w:val="nl-NL" w:eastAsia="ja-JP"/>
        </w:rPr>
        <w:t>Raden Buitenlandse Zaken Handel op 26 en 29 maart</w:t>
      </w:r>
    </w:p>
    <w:p w:rsidRPr="00C34BF4" w:rsidR="00E34CCD" w:rsidP="00E34CCD" w:rsidRDefault="00E34CCD" w14:paraId="2AA68E2C" w14:textId="50679C7D">
      <w:pPr>
        <w:rPr>
          <w:lang w:val="nl-NL" w:eastAsia="ja-JP"/>
        </w:rPr>
      </w:pPr>
      <w:r w:rsidRPr="00F82D04">
        <w:rPr>
          <w:lang w:val="nl-NL" w:eastAsia="ja-JP"/>
        </w:rPr>
        <w:t>Direct voorafgaand aan MC1</w:t>
      </w:r>
      <w:r w:rsidRPr="00F82D04" w:rsidR="00FE7FD7">
        <w:rPr>
          <w:lang w:val="nl-NL" w:eastAsia="ja-JP"/>
        </w:rPr>
        <w:t>4</w:t>
      </w:r>
      <w:r w:rsidRPr="00F82D04">
        <w:rPr>
          <w:lang w:val="nl-NL" w:eastAsia="ja-JP"/>
        </w:rPr>
        <w:t xml:space="preserve"> vond op 26 maart jl. de Raad Buitenlandse Zaken Handel </w:t>
      </w:r>
      <w:r w:rsidRPr="00F82D04" w:rsidR="00567EFC">
        <w:rPr>
          <w:lang w:val="nl-NL" w:eastAsia="ja-JP"/>
        </w:rPr>
        <w:t xml:space="preserve">(RBZH) </w:t>
      </w:r>
      <w:r w:rsidRPr="00F82D04">
        <w:rPr>
          <w:lang w:val="nl-NL" w:eastAsia="ja-JP"/>
        </w:rPr>
        <w:t>plaats onder Cypriotisch voorzitterschap in Yaoundé</w:t>
      </w:r>
      <w:r w:rsidR="00523676">
        <w:rPr>
          <w:lang w:val="nl-NL" w:eastAsia="ja-JP"/>
        </w:rPr>
        <w:t>. O</w:t>
      </w:r>
      <w:r w:rsidRPr="005A0A5D" w:rsidR="00567EFC">
        <w:rPr>
          <w:lang w:val="nl-NL" w:eastAsia="ja-JP"/>
        </w:rPr>
        <w:t>p</w:t>
      </w:r>
      <w:r w:rsidRPr="00F82D04" w:rsidR="00567EFC">
        <w:rPr>
          <w:lang w:val="nl-NL" w:eastAsia="ja-JP"/>
        </w:rPr>
        <w:t xml:space="preserve"> 29 maart jl. </w:t>
      </w:r>
      <w:r w:rsidR="00523676">
        <w:rPr>
          <w:lang w:val="nl-NL" w:eastAsia="ja-JP"/>
        </w:rPr>
        <w:t>kwam de</w:t>
      </w:r>
      <w:r w:rsidRPr="005A0A5D" w:rsidR="00567EFC">
        <w:rPr>
          <w:lang w:val="nl-NL" w:eastAsia="ja-JP"/>
        </w:rPr>
        <w:t xml:space="preserve"> </w:t>
      </w:r>
      <w:r w:rsidRPr="00F82D04" w:rsidR="00567EFC">
        <w:rPr>
          <w:lang w:val="nl-NL" w:eastAsia="ja-JP"/>
        </w:rPr>
        <w:t xml:space="preserve">RBZH </w:t>
      </w:r>
      <w:r w:rsidR="00523676">
        <w:rPr>
          <w:lang w:val="nl-NL" w:eastAsia="ja-JP"/>
        </w:rPr>
        <w:t>opnieuw samen</w:t>
      </w:r>
      <w:r w:rsidRPr="005A0A5D" w:rsidR="00567EFC">
        <w:rPr>
          <w:lang w:val="nl-NL" w:eastAsia="ja-JP"/>
        </w:rPr>
        <w:t xml:space="preserve"> </w:t>
      </w:r>
      <w:r w:rsidRPr="00F82D04" w:rsidR="00567EFC">
        <w:rPr>
          <w:lang w:val="nl-NL" w:eastAsia="ja-JP"/>
        </w:rPr>
        <w:t xml:space="preserve">voorafgaand aan de </w:t>
      </w:r>
      <w:r w:rsidR="00523676">
        <w:rPr>
          <w:lang w:val="nl-NL" w:eastAsia="ja-JP"/>
        </w:rPr>
        <w:t xml:space="preserve">voorziene </w:t>
      </w:r>
      <w:r w:rsidRPr="00F82D04" w:rsidR="00567EFC">
        <w:rPr>
          <w:lang w:val="nl-NL" w:eastAsia="ja-JP"/>
        </w:rPr>
        <w:t xml:space="preserve">sluiting van de </w:t>
      </w:r>
      <w:r w:rsidR="00523676">
        <w:rPr>
          <w:lang w:val="nl-NL" w:eastAsia="ja-JP"/>
        </w:rPr>
        <w:t xml:space="preserve">WTO </w:t>
      </w:r>
      <w:r w:rsidRPr="00F82D04" w:rsidR="00567EFC">
        <w:rPr>
          <w:lang w:val="nl-NL" w:eastAsia="ja-JP"/>
        </w:rPr>
        <w:t>conferentie</w:t>
      </w:r>
      <w:r w:rsidRPr="00F82D04">
        <w:rPr>
          <w:lang w:val="nl-NL" w:eastAsia="ja-JP"/>
        </w:rPr>
        <w:t xml:space="preserve">. Tijdens deze </w:t>
      </w:r>
      <w:r w:rsidR="006916E9">
        <w:rPr>
          <w:lang w:val="nl-NL" w:eastAsia="ja-JP"/>
        </w:rPr>
        <w:t>Raadsbijeenkomsten</w:t>
      </w:r>
      <w:r w:rsidRPr="00F82D04">
        <w:rPr>
          <w:lang w:val="nl-NL" w:eastAsia="ja-JP"/>
        </w:rPr>
        <w:t xml:space="preserve"> schetste Eurocommissaris voor Handel en Economische Veiligheid </w:t>
      </w:r>
      <w:proofErr w:type="spellStart"/>
      <w:r w:rsidRPr="00F82D04">
        <w:rPr>
          <w:lang w:val="nl-NL" w:eastAsia="ja-JP"/>
        </w:rPr>
        <w:t>Maroš</w:t>
      </w:r>
      <w:proofErr w:type="spellEnd"/>
      <w:r w:rsidRPr="00F82D04">
        <w:rPr>
          <w:lang w:val="nl-NL" w:eastAsia="ja-JP"/>
        </w:rPr>
        <w:t xml:space="preserve"> </w:t>
      </w:r>
      <w:proofErr w:type="spellStart"/>
      <w:r w:rsidRPr="00F82D04">
        <w:rPr>
          <w:lang w:val="nl-NL" w:eastAsia="ja-JP"/>
        </w:rPr>
        <w:t>Šefčovič</w:t>
      </w:r>
      <w:proofErr w:type="spellEnd"/>
      <w:r w:rsidRPr="00F82D04">
        <w:rPr>
          <w:lang w:val="nl-NL" w:eastAsia="ja-JP"/>
        </w:rPr>
        <w:t xml:space="preserve"> de laatste stand van zaken op de verschillende dossiers</w:t>
      </w:r>
      <w:r w:rsidR="00523676">
        <w:rPr>
          <w:lang w:val="nl-NL" w:eastAsia="ja-JP"/>
        </w:rPr>
        <w:t>. De raadsbijeenkomst op 29 maart stond</w:t>
      </w:r>
      <w:r w:rsidR="005A0A5D">
        <w:rPr>
          <w:lang w:val="nl-NL" w:eastAsia="ja-JP"/>
        </w:rPr>
        <w:t xml:space="preserve"> met </w:t>
      </w:r>
      <w:r w:rsidR="00523676">
        <w:rPr>
          <w:lang w:val="nl-NL" w:eastAsia="ja-JP"/>
        </w:rPr>
        <w:t xml:space="preserve">name stil bij de </w:t>
      </w:r>
      <w:r w:rsidR="005A0A5D">
        <w:rPr>
          <w:lang w:val="nl-NL" w:eastAsia="ja-JP"/>
        </w:rPr>
        <w:t>mogelijke uitkomst</w:t>
      </w:r>
      <w:r w:rsidR="00523676">
        <w:rPr>
          <w:lang w:val="nl-NL" w:eastAsia="ja-JP"/>
        </w:rPr>
        <w:t xml:space="preserve"> van WTO MC14 en de in te nemen EU positie</w:t>
      </w:r>
      <w:r w:rsidRPr="005A0A5D">
        <w:rPr>
          <w:lang w:val="nl-NL" w:eastAsia="ja-JP"/>
        </w:rPr>
        <w:t>.</w:t>
      </w:r>
      <w:r w:rsidRPr="00F82D04" w:rsidR="00567EFC">
        <w:rPr>
          <w:lang w:val="nl-NL" w:eastAsia="ja-JP"/>
        </w:rPr>
        <w:t xml:space="preserve"> </w:t>
      </w:r>
    </w:p>
    <w:p w:rsidRPr="00DE3443" w:rsidR="00055058" w:rsidP="00055058" w:rsidRDefault="00E34CCD" w14:paraId="5C21A845" w14:textId="77777777">
      <w:pPr>
        <w:rPr>
          <w:lang w:val="nl-NL" w:eastAsia="ja-JP"/>
        </w:rPr>
      </w:pPr>
      <w:r w:rsidRPr="00F82D04">
        <w:rPr>
          <w:lang w:val="nl-NL" w:eastAsia="ja-JP"/>
        </w:rPr>
        <w:t xml:space="preserve">Nederland vroeg in de Raad aandacht voor de hoofdpunten van de </w:t>
      </w:r>
      <w:r w:rsidRPr="00F82D04" w:rsidR="00FE7FD7">
        <w:rPr>
          <w:lang w:val="nl-NL" w:eastAsia="ja-JP"/>
        </w:rPr>
        <w:t>Nederlandse inzet bi</w:t>
      </w:r>
      <w:r w:rsidRPr="00F82D04" w:rsidR="009B78E5">
        <w:rPr>
          <w:lang w:val="nl-NL" w:eastAsia="ja-JP"/>
        </w:rPr>
        <w:t xml:space="preserve">j </w:t>
      </w:r>
      <w:r w:rsidR="00523676">
        <w:rPr>
          <w:lang w:val="nl-NL" w:eastAsia="ja-JP"/>
        </w:rPr>
        <w:t>WTO</w:t>
      </w:r>
      <w:r w:rsidRPr="00F82D04" w:rsidR="00D46F2E">
        <w:rPr>
          <w:lang w:val="nl-NL" w:eastAsia="ja-JP"/>
        </w:rPr>
        <w:t xml:space="preserve"> </w:t>
      </w:r>
      <w:r w:rsidRPr="00F82D04" w:rsidR="009B78E5">
        <w:rPr>
          <w:lang w:val="nl-NL" w:eastAsia="ja-JP"/>
        </w:rPr>
        <w:t>MC14, namelijk</w:t>
      </w:r>
      <w:r w:rsidRPr="00F82D04">
        <w:rPr>
          <w:lang w:val="nl-NL" w:eastAsia="ja-JP"/>
        </w:rPr>
        <w:t xml:space="preserve"> ten aanzien van </w:t>
      </w:r>
      <w:r w:rsidRPr="00F82D04" w:rsidR="009B78E5">
        <w:rPr>
          <w:lang w:val="nl-NL" w:eastAsia="ja-JP"/>
        </w:rPr>
        <w:t xml:space="preserve">een </w:t>
      </w:r>
      <w:r w:rsidRPr="00F82D04">
        <w:rPr>
          <w:lang w:val="nl-NL" w:eastAsia="ja-JP"/>
        </w:rPr>
        <w:t>hervorming</w:t>
      </w:r>
      <w:r w:rsidRPr="00F82D04" w:rsidR="009B78E5">
        <w:rPr>
          <w:lang w:val="nl-NL" w:eastAsia="ja-JP"/>
        </w:rPr>
        <w:t>splan</w:t>
      </w:r>
      <w:r w:rsidRPr="00F82D04">
        <w:rPr>
          <w:lang w:val="nl-NL" w:eastAsia="ja-JP"/>
        </w:rPr>
        <w:t xml:space="preserve"> </w:t>
      </w:r>
      <w:r w:rsidRPr="00F82D04" w:rsidR="009B78E5">
        <w:rPr>
          <w:lang w:val="nl-NL" w:eastAsia="ja-JP"/>
        </w:rPr>
        <w:t>voor</w:t>
      </w:r>
      <w:r w:rsidRPr="00F82D04">
        <w:rPr>
          <w:lang w:val="nl-NL" w:eastAsia="ja-JP"/>
        </w:rPr>
        <w:t xml:space="preserve"> de WTO</w:t>
      </w:r>
      <w:r w:rsidRPr="00F82D04" w:rsidR="009B78E5">
        <w:rPr>
          <w:lang w:val="nl-NL" w:eastAsia="ja-JP"/>
        </w:rPr>
        <w:t xml:space="preserve">, </w:t>
      </w:r>
      <w:r w:rsidRPr="00F82D04">
        <w:rPr>
          <w:lang w:val="nl-NL" w:eastAsia="ja-JP"/>
        </w:rPr>
        <w:t>de noodzaak voor meer transparantie en duidelijkere WTO-regels voor industriële subsidies</w:t>
      </w:r>
      <w:r w:rsidRPr="00F82D04" w:rsidR="009B78E5">
        <w:rPr>
          <w:lang w:val="nl-NL" w:eastAsia="ja-JP"/>
        </w:rPr>
        <w:t xml:space="preserve"> en het belang van flexibelere WTO-</w:t>
      </w:r>
      <w:r w:rsidRPr="00DE3443" w:rsidR="009B78E5">
        <w:rPr>
          <w:lang w:val="nl-NL" w:eastAsia="ja-JP"/>
        </w:rPr>
        <w:t>besluitvorming.</w:t>
      </w:r>
      <w:r w:rsidRPr="00DE3443" w:rsidR="00055058">
        <w:rPr>
          <w:lang w:val="nl-NL" w:eastAsia="ja-JP"/>
        </w:rPr>
        <w:t xml:space="preserve"> Deze inzet werd goed gereflecteerd in de EU inzet. Ondanks de EU inzet is MC14 echter teleurstellend geëindigd, zonder een concreet resultaat op deze wezenlijke punten. </w:t>
      </w:r>
    </w:p>
    <w:p w:rsidRPr="00C34BF4" w:rsidR="00E34CCD" w:rsidP="00055058" w:rsidRDefault="00055058" w14:paraId="7668DD8C" w14:textId="1241389C">
      <w:pPr>
        <w:rPr>
          <w:lang w:val="nl-NL" w:eastAsia="ja-JP"/>
        </w:rPr>
      </w:pPr>
      <w:r w:rsidRPr="00DE3443">
        <w:rPr>
          <w:color w:val="000000" w:themeColor="text1"/>
          <w:lang w:val="nl-NL" w:eastAsia="ja-JP"/>
        </w:rPr>
        <w:t xml:space="preserve">Conform de motie van de Leden </w:t>
      </w:r>
      <w:proofErr w:type="spellStart"/>
      <w:r w:rsidRPr="00DE3443">
        <w:rPr>
          <w:color w:val="000000" w:themeColor="text1"/>
          <w:lang w:val="nl-NL" w:eastAsia="ja-JP"/>
        </w:rPr>
        <w:t>Kröger</w:t>
      </w:r>
      <w:proofErr w:type="spellEnd"/>
      <w:r w:rsidRPr="00DE3443">
        <w:rPr>
          <w:color w:val="000000" w:themeColor="text1"/>
          <w:lang w:val="nl-NL" w:eastAsia="ja-JP"/>
        </w:rPr>
        <w:t xml:space="preserve"> en </w:t>
      </w:r>
      <w:proofErr w:type="spellStart"/>
      <w:r w:rsidRPr="00DE3443">
        <w:rPr>
          <w:color w:val="000000" w:themeColor="text1"/>
          <w:lang w:val="nl-NL" w:eastAsia="ja-JP"/>
        </w:rPr>
        <w:t>Bamenga</w:t>
      </w:r>
      <w:proofErr w:type="spellEnd"/>
      <w:r w:rsidRPr="00DE3443">
        <w:rPr>
          <w:rStyle w:val="FootnoteReference"/>
          <w:color w:val="000000" w:themeColor="text1"/>
          <w:lang w:val="nl-NL" w:eastAsia="ja-JP"/>
        </w:rPr>
        <w:footnoteReference w:id="1"/>
      </w:r>
      <w:r w:rsidRPr="00DE3443">
        <w:rPr>
          <w:color w:val="000000" w:themeColor="text1"/>
          <w:lang w:val="nl-NL" w:eastAsia="ja-JP"/>
        </w:rPr>
        <w:t xml:space="preserve"> aangaande het verder integreren van klimaat- en milieustandaarden in de WTO-processen, is tijdens de EU coördinatie die in Yaoundé plaatsvond ter afstemming van de EU-positie in de onderhandelingen het belang benadrukt om vraagstukken op het snijvlak van handel met duurzaamheid en milieu nadrukkelijker binnen de WTO te bespreken. Het kabinet zal binnen de EU blijven bepleiten dat dit onderwerp deel uitmaakt van de EU inzet in de verdere onderhandelingen in Genève, zowel in de verdere onderhandelingen over het “Yaoundé pakket” en het reguliere multilaterale werk in Genève als in de verschillende </w:t>
      </w:r>
      <w:proofErr w:type="spellStart"/>
      <w:r w:rsidRPr="00DE3443">
        <w:rPr>
          <w:color w:val="000000" w:themeColor="text1"/>
          <w:lang w:val="nl-NL" w:eastAsia="ja-JP"/>
        </w:rPr>
        <w:t>plurilaterale</w:t>
      </w:r>
      <w:proofErr w:type="spellEnd"/>
      <w:r w:rsidRPr="00DE3443">
        <w:rPr>
          <w:color w:val="000000" w:themeColor="text1"/>
          <w:lang w:val="nl-NL" w:eastAsia="ja-JP"/>
        </w:rPr>
        <w:t xml:space="preserve"> initiatieven op dit onderwerp die al bestaan.</w:t>
      </w:r>
      <w:r w:rsidRPr="00DE3443">
        <w:rPr>
          <w:rStyle w:val="FootnoteReference"/>
          <w:color w:val="000000" w:themeColor="text1"/>
          <w:lang w:val="nl-NL" w:eastAsia="ja-JP"/>
        </w:rPr>
        <w:footnoteReference w:id="2"/>
      </w:r>
    </w:p>
    <w:p w:rsidRPr="002D4E18" w:rsidR="00E223E0" w:rsidRDefault="00567EFC" w14:paraId="7E856B6F" w14:textId="77777777">
      <w:pPr>
        <w:rPr>
          <w:lang w:val="nl-NL" w:eastAsia="ja-JP"/>
        </w:rPr>
      </w:pPr>
      <w:r w:rsidRPr="00F82D04">
        <w:rPr>
          <w:b/>
          <w:lang w:val="nl-NL" w:eastAsia="ja-JP"/>
        </w:rPr>
        <w:t>14</w:t>
      </w:r>
      <w:r w:rsidRPr="00F82D04">
        <w:rPr>
          <w:b/>
          <w:vertAlign w:val="superscript"/>
          <w:lang w:val="nl-NL" w:eastAsia="ja-JP"/>
        </w:rPr>
        <w:t>e</w:t>
      </w:r>
      <w:r w:rsidRPr="00F82D04">
        <w:rPr>
          <w:b/>
          <w:lang w:val="nl-NL" w:eastAsia="ja-JP"/>
        </w:rPr>
        <w:t xml:space="preserve"> Ministeriële Conferentie van de Wereldhandelsorganisatie</w:t>
      </w:r>
      <w:r w:rsidRPr="00F82D04">
        <w:rPr>
          <w:lang w:val="nl-NL" w:eastAsia="ja-JP"/>
        </w:rPr>
        <w:t xml:space="preserve"> </w:t>
      </w:r>
    </w:p>
    <w:p w:rsidRPr="00C34BF4" w:rsidR="00CF1A4E" w:rsidP="00F21189" w:rsidRDefault="00567EFC" w14:paraId="42CEAAC8" w14:textId="3C52C4E0">
      <w:pPr>
        <w:rPr>
          <w:color w:val="000000" w:themeColor="text1"/>
          <w:lang w:val="nl-NL" w:eastAsia="ja-JP"/>
        </w:rPr>
      </w:pPr>
      <w:r w:rsidRPr="00F82D04">
        <w:rPr>
          <w:color w:val="000000" w:themeColor="text1"/>
          <w:lang w:val="nl-NL" w:eastAsia="ja-JP"/>
        </w:rPr>
        <w:t xml:space="preserve">Door uitblijvende consensus </w:t>
      </w:r>
      <w:r w:rsidRPr="00F82D04" w:rsidR="00E223E0">
        <w:rPr>
          <w:color w:val="000000" w:themeColor="text1"/>
          <w:lang w:val="nl-NL" w:eastAsia="ja-JP"/>
        </w:rPr>
        <w:t xml:space="preserve">benodigd voor besluitvorming </w:t>
      </w:r>
      <w:r w:rsidRPr="00F82D04">
        <w:rPr>
          <w:color w:val="000000" w:themeColor="text1"/>
          <w:lang w:val="nl-NL" w:eastAsia="ja-JP"/>
        </w:rPr>
        <w:t xml:space="preserve">kent WTO </w:t>
      </w:r>
      <w:r w:rsidRPr="00F82D04" w:rsidR="009B78E5">
        <w:rPr>
          <w:color w:val="000000" w:themeColor="text1"/>
          <w:lang w:val="nl-NL" w:eastAsia="ja-JP"/>
        </w:rPr>
        <w:t xml:space="preserve">MC14 </w:t>
      </w:r>
      <w:r w:rsidRPr="00F82D04">
        <w:rPr>
          <w:color w:val="000000" w:themeColor="text1"/>
          <w:lang w:val="nl-NL" w:eastAsia="ja-JP"/>
        </w:rPr>
        <w:t xml:space="preserve">slechts een </w:t>
      </w:r>
      <w:r w:rsidR="00C832A0">
        <w:rPr>
          <w:color w:val="000000" w:themeColor="text1"/>
          <w:lang w:val="nl-NL" w:eastAsia="ja-JP"/>
        </w:rPr>
        <w:t xml:space="preserve">zeer </w:t>
      </w:r>
      <w:r w:rsidRPr="00F82D04">
        <w:rPr>
          <w:color w:val="000000" w:themeColor="text1"/>
          <w:lang w:val="nl-NL" w:eastAsia="ja-JP"/>
        </w:rPr>
        <w:t xml:space="preserve">beperkt pakket aan uitkomsten. </w:t>
      </w:r>
      <w:r w:rsidRPr="00F82D04" w:rsidR="00CF1A4E">
        <w:rPr>
          <w:color w:val="000000" w:themeColor="text1"/>
          <w:lang w:val="nl-NL" w:eastAsia="ja-JP"/>
        </w:rPr>
        <w:t xml:space="preserve">De multilaterale </w:t>
      </w:r>
      <w:r w:rsidR="00C832A0">
        <w:rPr>
          <w:color w:val="000000" w:themeColor="text1"/>
          <w:lang w:val="nl-NL" w:eastAsia="ja-JP"/>
        </w:rPr>
        <w:t>uitkomsten</w:t>
      </w:r>
      <w:r w:rsidRPr="00F82D04" w:rsidR="00CF1A4E">
        <w:rPr>
          <w:color w:val="000000" w:themeColor="text1"/>
          <w:lang w:val="nl-NL" w:eastAsia="ja-JP"/>
        </w:rPr>
        <w:t xml:space="preserve"> die wel in </w:t>
      </w:r>
      <w:r w:rsidRPr="005A0A5D" w:rsidR="00CF1A4E">
        <w:rPr>
          <w:color w:val="000000" w:themeColor="text1"/>
          <w:lang w:val="nl-NL" w:eastAsia="ja-JP"/>
        </w:rPr>
        <w:t>Yaound</w:t>
      </w:r>
      <w:r w:rsidR="00C832A0">
        <w:rPr>
          <w:color w:val="000000" w:themeColor="text1"/>
          <w:lang w:val="nl-NL" w:eastAsia="ja-JP"/>
        </w:rPr>
        <w:t>é</w:t>
      </w:r>
      <w:r w:rsidRPr="00F82D04" w:rsidR="00CF1A4E">
        <w:rPr>
          <w:color w:val="000000" w:themeColor="text1"/>
          <w:lang w:val="nl-NL" w:eastAsia="ja-JP"/>
        </w:rPr>
        <w:t xml:space="preserve"> zijn aangenomen, zijn het besluit om de onderhandelingen over het beperken van schadelijke visserijsubsidies voort te zetten met als doel om deze bij de volgende conferentie </w:t>
      </w:r>
      <w:r w:rsidR="00C832A0">
        <w:rPr>
          <w:color w:val="000000" w:themeColor="text1"/>
          <w:lang w:val="nl-NL" w:eastAsia="ja-JP"/>
        </w:rPr>
        <w:t xml:space="preserve">(MC15) </w:t>
      </w:r>
      <w:r w:rsidRPr="00F82D04" w:rsidR="00CF1A4E">
        <w:rPr>
          <w:color w:val="000000" w:themeColor="text1"/>
          <w:lang w:val="nl-NL" w:eastAsia="ja-JP"/>
        </w:rPr>
        <w:t>af te ronden, en twee verklaringen die afspraken bevestigen die dienen om ontwikkelingslanden te helpen bij hun integratie in het multilaterale handelssysteem.</w:t>
      </w:r>
    </w:p>
    <w:p w:rsidRPr="00C34BF4" w:rsidR="00CF1A4E" w:rsidP="00CF1A4E" w:rsidRDefault="00CF1A4E" w14:paraId="7EF256E8" w14:textId="38C5920D">
      <w:pPr>
        <w:rPr>
          <w:color w:val="000000" w:themeColor="text1"/>
          <w:lang w:val="nl-NL" w:eastAsia="ja-JP"/>
        </w:rPr>
      </w:pPr>
      <w:r w:rsidRPr="00F82D04">
        <w:rPr>
          <w:color w:val="000000" w:themeColor="text1"/>
          <w:lang w:val="nl-NL" w:eastAsia="ja-JP"/>
        </w:rPr>
        <w:t xml:space="preserve">Tegelijkertijd is op een aantal belangrijke onderwerpen </w:t>
      </w:r>
      <w:r w:rsidR="00C832A0">
        <w:rPr>
          <w:color w:val="000000" w:themeColor="text1"/>
          <w:lang w:val="nl-NL" w:eastAsia="ja-JP"/>
        </w:rPr>
        <w:t>- waar in aanloop naar en tijdens MC14 intensief over is onderhandeld -</w:t>
      </w:r>
      <w:r w:rsidRPr="005A0A5D">
        <w:rPr>
          <w:color w:val="000000" w:themeColor="text1"/>
          <w:lang w:val="nl-NL" w:eastAsia="ja-JP"/>
        </w:rPr>
        <w:t xml:space="preserve"> </w:t>
      </w:r>
      <w:r w:rsidRPr="00F82D04">
        <w:rPr>
          <w:color w:val="000000" w:themeColor="text1"/>
          <w:lang w:val="nl-NL" w:eastAsia="ja-JP"/>
        </w:rPr>
        <w:t xml:space="preserve">geen consensus bereikt, zoals over een WTO-hervormingsplan met daarin een referentie naar het gelijk speelveld </w:t>
      </w:r>
      <w:r w:rsidR="00C832A0">
        <w:rPr>
          <w:color w:val="000000" w:themeColor="text1"/>
          <w:lang w:val="nl-NL" w:eastAsia="ja-JP"/>
        </w:rPr>
        <w:t>voor industriële goederen</w:t>
      </w:r>
      <w:r w:rsidRPr="005A0A5D">
        <w:rPr>
          <w:color w:val="000000" w:themeColor="text1"/>
          <w:lang w:val="nl-NL" w:eastAsia="ja-JP"/>
        </w:rPr>
        <w:t xml:space="preserve"> </w:t>
      </w:r>
      <w:r w:rsidRPr="00F82D04">
        <w:rPr>
          <w:color w:val="000000" w:themeColor="text1"/>
          <w:lang w:val="nl-NL" w:eastAsia="ja-JP"/>
        </w:rPr>
        <w:t xml:space="preserve">en over het behoud van het moratorium voor invoerheffingen op elektronische transmissies (het zogenaamde e-commerce moratorium). Het voorstel om het </w:t>
      </w:r>
      <w:r w:rsidR="00C832A0">
        <w:rPr>
          <w:color w:val="000000" w:themeColor="text1"/>
          <w:lang w:val="nl-NL" w:eastAsia="ja-JP"/>
        </w:rPr>
        <w:t xml:space="preserve">e-commerce </w:t>
      </w:r>
      <w:r w:rsidRPr="00F82D04">
        <w:rPr>
          <w:color w:val="000000" w:themeColor="text1"/>
          <w:lang w:val="nl-NL" w:eastAsia="ja-JP"/>
        </w:rPr>
        <w:t xml:space="preserve">moratorium met vijf jaar te verlengen dat </w:t>
      </w:r>
      <w:r w:rsidR="00E00DCF">
        <w:rPr>
          <w:color w:val="000000" w:themeColor="text1"/>
          <w:lang w:val="nl-NL" w:eastAsia="ja-JP"/>
        </w:rPr>
        <w:t xml:space="preserve">op de laatste dag van MC14 </w:t>
      </w:r>
      <w:r w:rsidRPr="00F82D04">
        <w:rPr>
          <w:color w:val="000000" w:themeColor="text1"/>
          <w:lang w:val="nl-NL" w:eastAsia="ja-JP"/>
        </w:rPr>
        <w:t xml:space="preserve">in Yaoundé op tafel lag, kon weliswaar op brede steun rekenen maar bleek </w:t>
      </w:r>
      <w:r w:rsidR="00E00DCF">
        <w:rPr>
          <w:color w:val="000000" w:themeColor="text1"/>
          <w:lang w:val="nl-NL" w:eastAsia="ja-JP"/>
        </w:rPr>
        <w:t>uiteindelijk</w:t>
      </w:r>
      <w:r w:rsidRPr="00F82D04">
        <w:rPr>
          <w:color w:val="000000" w:themeColor="text1"/>
          <w:lang w:val="nl-NL" w:eastAsia="ja-JP"/>
        </w:rPr>
        <w:t xml:space="preserve"> toch niet acceptabel voor Brazilië. Hierdoor bleef een akkoord over verlenging van het e-commerce moratorium uit, </w:t>
      </w:r>
      <w:r w:rsidR="00C832A0">
        <w:rPr>
          <w:color w:val="000000" w:themeColor="text1"/>
          <w:lang w:val="nl-NL" w:eastAsia="ja-JP"/>
        </w:rPr>
        <w:t>waardoor enkele andere WTO leden niet langer bereid waren de ministeri</w:t>
      </w:r>
      <w:r w:rsidR="002F7B54">
        <w:rPr>
          <w:color w:val="000000" w:themeColor="text1"/>
          <w:lang w:val="nl-NL" w:eastAsia="ja-JP"/>
        </w:rPr>
        <w:t>ë</w:t>
      </w:r>
      <w:r w:rsidR="00C832A0">
        <w:rPr>
          <w:color w:val="000000" w:themeColor="text1"/>
          <w:lang w:val="nl-NL" w:eastAsia="ja-JP"/>
        </w:rPr>
        <w:t xml:space="preserve">le </w:t>
      </w:r>
      <w:r w:rsidRPr="005A0A5D">
        <w:rPr>
          <w:color w:val="000000" w:themeColor="text1"/>
          <w:lang w:val="nl-NL" w:eastAsia="ja-JP"/>
        </w:rPr>
        <w:t xml:space="preserve">verklaring over </w:t>
      </w:r>
      <w:r w:rsidRPr="00F82D04">
        <w:rPr>
          <w:color w:val="000000" w:themeColor="text1"/>
          <w:lang w:val="nl-NL" w:eastAsia="ja-JP"/>
        </w:rPr>
        <w:t xml:space="preserve">een WTO-hervormingsplan </w:t>
      </w:r>
      <w:r w:rsidR="00C832A0">
        <w:rPr>
          <w:color w:val="000000" w:themeColor="text1"/>
          <w:lang w:val="nl-NL" w:eastAsia="ja-JP"/>
        </w:rPr>
        <w:t>te steunen</w:t>
      </w:r>
      <w:r w:rsidRPr="005A0A5D">
        <w:rPr>
          <w:color w:val="000000" w:themeColor="text1"/>
          <w:lang w:val="nl-NL" w:eastAsia="ja-JP"/>
        </w:rPr>
        <w:t xml:space="preserve">. </w:t>
      </w:r>
      <w:r w:rsidR="00C832A0">
        <w:rPr>
          <w:color w:val="000000" w:themeColor="text1"/>
          <w:lang w:val="nl-NL" w:eastAsia="ja-JP"/>
        </w:rPr>
        <w:t>Deze verklaring was ge</w:t>
      </w:r>
      <w:r w:rsidR="00C703AD">
        <w:rPr>
          <w:color w:val="000000" w:themeColor="text1"/>
          <w:lang w:val="nl-NL" w:eastAsia="ja-JP"/>
        </w:rPr>
        <w:t>d</w:t>
      </w:r>
      <w:r w:rsidRPr="005A0A5D">
        <w:rPr>
          <w:color w:val="000000" w:themeColor="text1"/>
          <w:lang w:val="nl-NL" w:eastAsia="ja-JP"/>
        </w:rPr>
        <w:t xml:space="preserve">urende MC14 </w:t>
      </w:r>
      <w:r w:rsidR="00C832A0">
        <w:rPr>
          <w:color w:val="000000" w:themeColor="text1"/>
          <w:lang w:val="nl-NL" w:eastAsia="ja-JP"/>
        </w:rPr>
        <w:t>tot stand gekomen</w:t>
      </w:r>
      <w:r w:rsidRPr="00F82D04">
        <w:rPr>
          <w:color w:val="000000" w:themeColor="text1"/>
          <w:lang w:val="nl-NL" w:eastAsia="ja-JP"/>
        </w:rPr>
        <w:t xml:space="preserve"> na intensieve onderhandelingen tussen alle WTO-leden en met de EU als één van de drijvende krachten. Om toch de mogelijkheid te behouden dat op zowel hervormingen als het moratorium een resultaat bereikt wordt, zullen de onderhandelingen hierover in Genève worden voortgezet. Mocht dit succesvol zijn, dan zal het resultaat alsnog aan het “Yaoundé pakket” met MC14-uitkomsten worden toegevoegd. </w:t>
      </w:r>
      <w:r w:rsidR="00C832A0">
        <w:rPr>
          <w:color w:val="000000" w:themeColor="text1"/>
          <w:lang w:val="nl-NL" w:eastAsia="ja-JP"/>
        </w:rPr>
        <w:t>Het</w:t>
      </w:r>
      <w:r w:rsidRPr="00F82D04">
        <w:rPr>
          <w:color w:val="000000" w:themeColor="text1"/>
          <w:lang w:val="nl-NL" w:eastAsia="ja-JP"/>
        </w:rPr>
        <w:t xml:space="preserve"> bleek </w:t>
      </w:r>
      <w:r w:rsidR="00A85F5F">
        <w:rPr>
          <w:color w:val="000000" w:themeColor="text1"/>
          <w:lang w:val="nl-NL" w:eastAsia="ja-JP"/>
        </w:rPr>
        <w:lastRenderedPageBreak/>
        <w:t>tijdens MC14</w:t>
      </w:r>
      <w:r w:rsidRPr="005A0A5D">
        <w:rPr>
          <w:color w:val="000000" w:themeColor="text1"/>
          <w:lang w:val="nl-NL" w:eastAsia="ja-JP"/>
        </w:rPr>
        <w:t xml:space="preserve"> </w:t>
      </w:r>
      <w:r w:rsidR="00A85F5F">
        <w:rPr>
          <w:color w:val="000000" w:themeColor="text1"/>
          <w:lang w:val="nl-NL" w:eastAsia="ja-JP"/>
        </w:rPr>
        <w:t>evenmin</w:t>
      </w:r>
      <w:r w:rsidRPr="00F82D04">
        <w:rPr>
          <w:color w:val="000000" w:themeColor="text1"/>
          <w:lang w:val="nl-NL" w:eastAsia="ja-JP"/>
        </w:rPr>
        <w:t xml:space="preserve"> mogelijk om consensus te verkrijgen voor een gemeenschappelijke verklaring rond het aannemen van een WTO-werkprogramma voor onderhandelingen over hervormingen in landbouwafspraken</w:t>
      </w:r>
      <w:r w:rsidRPr="005A0A5D">
        <w:rPr>
          <w:color w:val="000000" w:themeColor="text1"/>
          <w:lang w:val="nl-NL" w:eastAsia="ja-JP"/>
        </w:rPr>
        <w:t>.</w:t>
      </w:r>
      <w:r w:rsidRPr="00F82D04">
        <w:rPr>
          <w:color w:val="000000" w:themeColor="text1"/>
          <w:lang w:val="nl-NL" w:eastAsia="ja-JP"/>
        </w:rPr>
        <w:t xml:space="preserve"> De reeds lopende onderhandelingen hierover zullen ook in Genève doorgaan. </w:t>
      </w:r>
    </w:p>
    <w:p w:rsidRPr="00C34BF4" w:rsidR="00C832A0" w:rsidP="00C832A0" w:rsidRDefault="00A85F5F" w14:paraId="69BE2554" w14:textId="0E581C4E">
      <w:pPr>
        <w:rPr>
          <w:color w:val="000000" w:themeColor="text1"/>
          <w:lang w:val="nl-NL" w:eastAsia="ja-JP"/>
        </w:rPr>
      </w:pPr>
      <w:r>
        <w:rPr>
          <w:color w:val="000000" w:themeColor="text1"/>
          <w:lang w:val="nl-NL" w:eastAsia="ja-JP"/>
        </w:rPr>
        <w:t>Tijdens MC14</w:t>
      </w:r>
      <w:r w:rsidRPr="005A0A5D" w:rsidR="00C832A0">
        <w:rPr>
          <w:color w:val="000000" w:themeColor="text1"/>
          <w:lang w:val="nl-NL" w:eastAsia="ja-JP"/>
        </w:rPr>
        <w:t xml:space="preserve"> zijn </w:t>
      </w:r>
      <w:r>
        <w:rPr>
          <w:color w:val="000000" w:themeColor="text1"/>
          <w:lang w:val="nl-NL" w:eastAsia="ja-JP"/>
        </w:rPr>
        <w:t xml:space="preserve">door een aantal WTO leden </w:t>
      </w:r>
      <w:r w:rsidRPr="005A0A5D" w:rsidR="00C832A0">
        <w:rPr>
          <w:color w:val="000000" w:themeColor="text1"/>
          <w:lang w:val="nl-NL" w:eastAsia="ja-JP"/>
        </w:rPr>
        <w:t xml:space="preserve">twee verklaringen aangenomen over </w:t>
      </w:r>
      <w:r>
        <w:rPr>
          <w:color w:val="000000" w:themeColor="text1"/>
          <w:lang w:val="nl-NL" w:eastAsia="ja-JP"/>
        </w:rPr>
        <w:t xml:space="preserve">zogenaamde </w:t>
      </w:r>
      <w:proofErr w:type="spellStart"/>
      <w:r w:rsidRPr="005A0A5D" w:rsidR="00C832A0">
        <w:rPr>
          <w:color w:val="000000" w:themeColor="text1"/>
          <w:lang w:val="nl-NL" w:eastAsia="ja-JP"/>
        </w:rPr>
        <w:t>plurilaterale</w:t>
      </w:r>
      <w:proofErr w:type="spellEnd"/>
      <w:r w:rsidRPr="005A0A5D" w:rsidR="00C832A0">
        <w:rPr>
          <w:color w:val="000000" w:themeColor="text1"/>
          <w:lang w:val="nl-NL" w:eastAsia="ja-JP"/>
        </w:rPr>
        <w:t xml:space="preserve"> WTO-akkoorden</w:t>
      </w:r>
      <w:r>
        <w:rPr>
          <w:color w:val="000000" w:themeColor="text1"/>
          <w:lang w:val="nl-NL" w:eastAsia="ja-JP"/>
        </w:rPr>
        <w:t>, dat wil zeggen akkoorden waar (vooralsnog) slechts een deel van de WTO leden zich bij aansluit. Een groot aantal WTO leden heeft eerder al</w:t>
      </w:r>
      <w:r w:rsidRPr="005A0A5D" w:rsidR="00C832A0">
        <w:rPr>
          <w:color w:val="000000" w:themeColor="text1"/>
          <w:lang w:val="nl-NL" w:eastAsia="ja-JP"/>
        </w:rPr>
        <w:t xml:space="preserve"> de </w:t>
      </w:r>
      <w:r w:rsidRPr="005A0A5D" w:rsidR="00C832A0">
        <w:rPr>
          <w:i/>
          <w:iCs/>
          <w:color w:val="000000" w:themeColor="text1"/>
          <w:lang w:val="nl-NL" w:eastAsia="ja-JP"/>
        </w:rPr>
        <w:t xml:space="preserve">Investment </w:t>
      </w:r>
      <w:proofErr w:type="spellStart"/>
      <w:r w:rsidRPr="005A0A5D" w:rsidR="00C832A0">
        <w:rPr>
          <w:i/>
          <w:iCs/>
          <w:color w:val="000000" w:themeColor="text1"/>
          <w:lang w:val="nl-NL" w:eastAsia="ja-JP"/>
        </w:rPr>
        <w:t>Facilitation</w:t>
      </w:r>
      <w:proofErr w:type="spellEnd"/>
      <w:r w:rsidRPr="005A0A5D" w:rsidR="00C832A0">
        <w:rPr>
          <w:i/>
          <w:iCs/>
          <w:color w:val="000000" w:themeColor="text1"/>
          <w:lang w:val="nl-NL" w:eastAsia="ja-JP"/>
        </w:rPr>
        <w:t xml:space="preserve"> </w:t>
      </w:r>
      <w:proofErr w:type="spellStart"/>
      <w:r w:rsidRPr="005A0A5D" w:rsidR="00C832A0">
        <w:rPr>
          <w:i/>
          <w:iCs/>
          <w:color w:val="000000" w:themeColor="text1"/>
          <w:lang w:val="nl-NL" w:eastAsia="ja-JP"/>
        </w:rPr>
        <w:t>for</w:t>
      </w:r>
      <w:proofErr w:type="spellEnd"/>
      <w:r w:rsidRPr="005A0A5D" w:rsidR="00C832A0">
        <w:rPr>
          <w:i/>
          <w:iCs/>
          <w:color w:val="000000" w:themeColor="text1"/>
          <w:lang w:val="nl-NL" w:eastAsia="ja-JP"/>
        </w:rPr>
        <w:t xml:space="preserve"> Development Agreement</w:t>
      </w:r>
      <w:r w:rsidRPr="005A0A5D" w:rsidR="00C832A0">
        <w:rPr>
          <w:color w:val="000000" w:themeColor="text1"/>
          <w:lang w:val="nl-NL" w:eastAsia="ja-JP"/>
        </w:rPr>
        <w:t xml:space="preserve"> (IFDA) </w:t>
      </w:r>
      <w:r>
        <w:rPr>
          <w:color w:val="000000" w:themeColor="text1"/>
          <w:lang w:val="nl-NL" w:eastAsia="ja-JP"/>
        </w:rPr>
        <w:t>uit onderhandeld.</w:t>
      </w:r>
      <w:r w:rsidRPr="005A0A5D" w:rsidR="00C832A0">
        <w:rPr>
          <w:color w:val="000000" w:themeColor="text1"/>
          <w:lang w:val="nl-NL" w:eastAsia="ja-JP"/>
        </w:rPr>
        <w:t xml:space="preserve"> Over IFDA bestond voorafgaand aan de conferentie de hoop dat dit akkoord in Yaoundé </w:t>
      </w:r>
      <w:r>
        <w:rPr>
          <w:color w:val="000000" w:themeColor="text1"/>
          <w:lang w:val="nl-NL" w:eastAsia="ja-JP"/>
        </w:rPr>
        <w:t xml:space="preserve">zou kunnen worden geïntegreerd in het WTO </w:t>
      </w:r>
      <w:proofErr w:type="spellStart"/>
      <w:r>
        <w:rPr>
          <w:i/>
          <w:iCs/>
          <w:color w:val="000000" w:themeColor="text1"/>
          <w:lang w:val="nl-NL" w:eastAsia="ja-JP"/>
        </w:rPr>
        <w:t>acquis</w:t>
      </w:r>
      <w:proofErr w:type="spellEnd"/>
      <w:r w:rsidRPr="005A0A5D" w:rsidR="00C832A0">
        <w:rPr>
          <w:color w:val="000000" w:themeColor="text1"/>
          <w:lang w:val="nl-NL" w:eastAsia="ja-JP"/>
        </w:rPr>
        <w:t xml:space="preserve">. Hiervoor was het wel nodig dat Turkije en India hun blokkerende houding zouden laten varen. Terwijl Turkije dit </w:t>
      </w:r>
      <w:r>
        <w:rPr>
          <w:color w:val="000000" w:themeColor="text1"/>
          <w:lang w:val="nl-NL" w:eastAsia="ja-JP"/>
        </w:rPr>
        <w:t xml:space="preserve">tijdens MC14 inderdaad </w:t>
      </w:r>
      <w:r w:rsidRPr="005A0A5D" w:rsidR="00C832A0">
        <w:rPr>
          <w:color w:val="000000" w:themeColor="text1"/>
          <w:lang w:val="nl-NL" w:eastAsia="ja-JP"/>
        </w:rPr>
        <w:t>deed, bleef India volharden in zijn verzet tegen</w:t>
      </w:r>
      <w:r>
        <w:rPr>
          <w:color w:val="000000" w:themeColor="text1"/>
          <w:lang w:val="nl-NL" w:eastAsia="ja-JP"/>
        </w:rPr>
        <w:t xml:space="preserve"> opname van </w:t>
      </w:r>
      <w:r w:rsidRPr="005A0A5D" w:rsidR="00C832A0">
        <w:rPr>
          <w:color w:val="000000" w:themeColor="text1"/>
          <w:lang w:val="nl-NL" w:eastAsia="ja-JP"/>
        </w:rPr>
        <w:t>IFDA</w:t>
      </w:r>
      <w:r>
        <w:rPr>
          <w:color w:val="000000" w:themeColor="text1"/>
          <w:lang w:val="nl-NL" w:eastAsia="ja-JP"/>
        </w:rPr>
        <w:t xml:space="preserve"> in het WTO </w:t>
      </w:r>
      <w:proofErr w:type="spellStart"/>
      <w:r>
        <w:rPr>
          <w:i/>
          <w:iCs/>
          <w:color w:val="000000" w:themeColor="text1"/>
          <w:lang w:val="nl-NL" w:eastAsia="ja-JP"/>
        </w:rPr>
        <w:t>acquis</w:t>
      </w:r>
      <w:proofErr w:type="spellEnd"/>
      <w:r w:rsidRPr="005A0A5D" w:rsidR="00C832A0">
        <w:rPr>
          <w:color w:val="000000" w:themeColor="text1"/>
          <w:lang w:val="nl-NL" w:eastAsia="ja-JP"/>
        </w:rPr>
        <w:t xml:space="preserve">. De ministeriële verklaring over IFDA die vervolgens door de deelnemende landen werd opgesteld benadrukt het belang van een transparant en voorspelbaar investeringsklimaat en </w:t>
      </w:r>
      <w:r w:rsidR="00E00DCF">
        <w:rPr>
          <w:color w:val="000000" w:themeColor="text1"/>
          <w:lang w:val="nl-NL" w:eastAsia="ja-JP"/>
        </w:rPr>
        <w:t xml:space="preserve">geeft aan dat de deelnemende landen gaan toewerken naar tussentijdse toepassing tussen de deelnemers, waarbij het uiteindelijke </w:t>
      </w:r>
      <w:r w:rsidRPr="005A0A5D" w:rsidR="00C832A0">
        <w:rPr>
          <w:color w:val="000000" w:themeColor="text1"/>
          <w:lang w:val="nl-NL" w:eastAsia="ja-JP"/>
        </w:rPr>
        <w:t>doel</w:t>
      </w:r>
      <w:r w:rsidR="00E00DCF">
        <w:rPr>
          <w:color w:val="000000" w:themeColor="text1"/>
          <w:lang w:val="nl-NL" w:eastAsia="ja-JP"/>
        </w:rPr>
        <w:t xml:space="preserve"> blijft</w:t>
      </w:r>
      <w:r w:rsidRPr="005A0A5D" w:rsidR="00C832A0">
        <w:rPr>
          <w:color w:val="000000" w:themeColor="text1"/>
          <w:lang w:val="nl-NL" w:eastAsia="ja-JP"/>
        </w:rPr>
        <w:t xml:space="preserve"> om dit akkoord binnen de WTO in</w:t>
      </w:r>
      <w:r w:rsidR="00E00DCF">
        <w:rPr>
          <w:color w:val="000000" w:themeColor="text1"/>
          <w:lang w:val="nl-NL" w:eastAsia="ja-JP"/>
        </w:rPr>
        <w:t xml:space="preserve"> </w:t>
      </w:r>
      <w:r w:rsidRPr="005A0A5D" w:rsidR="00C832A0">
        <w:rPr>
          <w:color w:val="000000" w:themeColor="text1"/>
          <w:lang w:val="nl-NL" w:eastAsia="ja-JP"/>
        </w:rPr>
        <w:t>werking te laten treden</w:t>
      </w:r>
      <w:r w:rsidR="00E00DCF">
        <w:rPr>
          <w:color w:val="000000" w:themeColor="text1"/>
          <w:lang w:val="nl-NL" w:eastAsia="ja-JP"/>
        </w:rPr>
        <w:t xml:space="preserve">. </w:t>
      </w:r>
      <w:r w:rsidRPr="005A0A5D" w:rsidR="00C832A0">
        <w:rPr>
          <w:color w:val="000000" w:themeColor="text1"/>
          <w:lang w:val="nl-NL" w:eastAsia="ja-JP"/>
        </w:rPr>
        <w:t>Over</w:t>
      </w:r>
      <w:r w:rsidR="00E00DCF">
        <w:rPr>
          <w:color w:val="000000" w:themeColor="text1"/>
          <w:lang w:val="nl-NL" w:eastAsia="ja-JP"/>
        </w:rPr>
        <w:t xml:space="preserve"> de </w:t>
      </w:r>
      <w:r w:rsidR="00E00DCF">
        <w:rPr>
          <w:i/>
          <w:iCs/>
          <w:color w:val="000000" w:themeColor="text1"/>
          <w:lang w:val="nl-NL" w:eastAsia="ja-JP"/>
        </w:rPr>
        <w:t>E-commerce Agreement (</w:t>
      </w:r>
      <w:r w:rsidRPr="005A0A5D" w:rsidR="00C832A0">
        <w:rPr>
          <w:color w:val="000000" w:themeColor="text1"/>
          <w:lang w:val="nl-NL" w:eastAsia="ja-JP"/>
        </w:rPr>
        <w:t>ECA</w:t>
      </w:r>
      <w:r w:rsidR="00E00DCF">
        <w:rPr>
          <w:color w:val="000000" w:themeColor="text1"/>
          <w:lang w:val="nl-NL" w:eastAsia="ja-JP"/>
        </w:rPr>
        <w:t>)</w:t>
      </w:r>
      <w:r w:rsidRPr="005A0A5D" w:rsidR="00C832A0">
        <w:rPr>
          <w:color w:val="000000" w:themeColor="text1"/>
          <w:lang w:val="nl-NL" w:eastAsia="ja-JP"/>
        </w:rPr>
        <w:t xml:space="preserve"> was voorafgaand aan de conferentie al duidelijk dat inwerkingtreding binnen het WTO</w:t>
      </w:r>
      <w:r w:rsidR="00E00DCF">
        <w:rPr>
          <w:color w:val="000000" w:themeColor="text1"/>
          <w:lang w:val="nl-NL" w:eastAsia="ja-JP"/>
        </w:rPr>
        <w:t xml:space="preserve"> </w:t>
      </w:r>
      <w:proofErr w:type="spellStart"/>
      <w:r w:rsidRPr="00E00DCF" w:rsidR="00C832A0">
        <w:rPr>
          <w:i/>
          <w:iCs/>
          <w:color w:val="000000" w:themeColor="text1"/>
          <w:lang w:val="nl-NL" w:eastAsia="ja-JP"/>
        </w:rPr>
        <w:t>acquis</w:t>
      </w:r>
      <w:proofErr w:type="spellEnd"/>
      <w:r w:rsidRPr="005A0A5D" w:rsidR="00C832A0">
        <w:rPr>
          <w:color w:val="000000" w:themeColor="text1"/>
          <w:lang w:val="nl-NL" w:eastAsia="ja-JP"/>
        </w:rPr>
        <w:t xml:space="preserve"> onmogelijk zou zijn, vanwege het gebrek aan consensus hieromtrent. Vandaar dat de deelnemende landen in Yaoundé hebben afgesproken om het akkoord op interim basis buiten de WTO toe te </w:t>
      </w:r>
      <w:r w:rsidR="00E00DCF">
        <w:rPr>
          <w:color w:val="000000" w:themeColor="text1"/>
          <w:lang w:val="nl-NL" w:eastAsia="ja-JP"/>
        </w:rPr>
        <w:t xml:space="preserve">gaan </w:t>
      </w:r>
      <w:r w:rsidRPr="005A0A5D" w:rsidR="00C832A0">
        <w:rPr>
          <w:color w:val="000000" w:themeColor="text1"/>
          <w:lang w:val="nl-NL" w:eastAsia="ja-JP"/>
        </w:rPr>
        <w:t xml:space="preserve">passen. Dit betekent dat de deelnemende landen de inhoud van het akkoord in hun onderlinge relaties zullen toepassen, </w:t>
      </w:r>
      <w:r w:rsidR="00E00DCF">
        <w:rPr>
          <w:color w:val="000000" w:themeColor="text1"/>
          <w:lang w:val="nl-NL" w:eastAsia="ja-JP"/>
        </w:rPr>
        <w:t>ook</w:t>
      </w:r>
      <w:r w:rsidRPr="005A0A5D" w:rsidR="00C832A0">
        <w:rPr>
          <w:color w:val="000000" w:themeColor="text1"/>
          <w:lang w:val="nl-NL" w:eastAsia="ja-JP"/>
        </w:rPr>
        <w:t xml:space="preserve"> al is het nog </w:t>
      </w:r>
      <w:r w:rsidR="00E00DCF">
        <w:rPr>
          <w:color w:val="000000" w:themeColor="text1"/>
          <w:lang w:val="nl-NL" w:eastAsia="ja-JP"/>
        </w:rPr>
        <w:t>geen</w:t>
      </w:r>
      <w:r w:rsidRPr="005A0A5D" w:rsidR="00C832A0">
        <w:rPr>
          <w:color w:val="000000" w:themeColor="text1"/>
          <w:lang w:val="nl-NL" w:eastAsia="ja-JP"/>
        </w:rPr>
        <w:t xml:space="preserve"> onderdeel van </w:t>
      </w:r>
      <w:r w:rsidR="00E00DCF">
        <w:rPr>
          <w:color w:val="000000" w:themeColor="text1"/>
          <w:lang w:val="nl-NL" w:eastAsia="ja-JP"/>
        </w:rPr>
        <w:t xml:space="preserve">het </w:t>
      </w:r>
      <w:r w:rsidRPr="005A0A5D" w:rsidR="00C832A0">
        <w:rPr>
          <w:color w:val="000000" w:themeColor="text1"/>
          <w:lang w:val="nl-NL" w:eastAsia="ja-JP"/>
        </w:rPr>
        <w:t>WTO</w:t>
      </w:r>
      <w:r w:rsidR="00E00DCF">
        <w:rPr>
          <w:color w:val="000000" w:themeColor="text1"/>
          <w:lang w:val="nl-NL" w:eastAsia="ja-JP"/>
        </w:rPr>
        <w:t xml:space="preserve"> </w:t>
      </w:r>
      <w:proofErr w:type="spellStart"/>
      <w:r w:rsidR="00E00DCF">
        <w:rPr>
          <w:i/>
          <w:iCs/>
          <w:color w:val="000000" w:themeColor="text1"/>
          <w:lang w:val="nl-NL" w:eastAsia="ja-JP"/>
        </w:rPr>
        <w:t>acquis</w:t>
      </w:r>
      <w:proofErr w:type="spellEnd"/>
      <w:r w:rsidRPr="005A0A5D" w:rsidR="00C832A0">
        <w:rPr>
          <w:color w:val="000000" w:themeColor="text1"/>
          <w:lang w:val="nl-NL" w:eastAsia="ja-JP"/>
        </w:rPr>
        <w:t xml:space="preserve">. </w:t>
      </w:r>
    </w:p>
    <w:p w:rsidRPr="00C34BF4" w:rsidR="00F21189" w:rsidP="00F21189" w:rsidRDefault="009D4612" w14:paraId="7E9A5A69" w14:textId="130B946B">
      <w:pPr>
        <w:rPr>
          <w:b/>
          <w:color w:val="FF0000"/>
          <w:lang w:val="nl-NL" w:eastAsia="ja-JP"/>
        </w:rPr>
      </w:pPr>
      <w:r>
        <w:rPr>
          <w:b/>
          <w:bCs/>
          <w:color w:val="000000" w:themeColor="text1"/>
          <w:lang w:val="nl-NL" w:eastAsia="ja-JP"/>
        </w:rPr>
        <w:t>Nadere t</w:t>
      </w:r>
      <w:r w:rsidRPr="005A0A5D" w:rsidR="00E34CCD">
        <w:rPr>
          <w:b/>
          <w:bCs/>
          <w:color w:val="000000" w:themeColor="text1"/>
          <w:lang w:val="nl-NL" w:eastAsia="ja-JP"/>
        </w:rPr>
        <w:t xml:space="preserve">oelichting </w:t>
      </w:r>
      <w:r w:rsidR="008D7F6C">
        <w:rPr>
          <w:b/>
          <w:bCs/>
          <w:color w:val="000000" w:themeColor="text1"/>
          <w:lang w:val="nl-NL" w:eastAsia="ja-JP"/>
        </w:rPr>
        <w:t>per onderwerp</w:t>
      </w:r>
    </w:p>
    <w:p w:rsidRPr="00C34BF4" w:rsidR="006A47A7" w:rsidP="00F21189" w:rsidRDefault="006A47A7" w14:paraId="2DBE1D5A" w14:textId="1E427B05">
      <w:pPr>
        <w:rPr>
          <w:rFonts w:cs="Times New Roman"/>
          <w:i/>
          <w:lang w:val="nl-NL" w:eastAsia="ja-JP"/>
        </w:rPr>
      </w:pPr>
      <w:r w:rsidRPr="00F82D04">
        <w:rPr>
          <w:rFonts w:cs="Times New Roman"/>
          <w:i/>
          <w:lang w:val="nl-NL" w:eastAsia="ja-JP"/>
        </w:rPr>
        <w:t xml:space="preserve">WTO-hervormingsplan </w:t>
      </w:r>
    </w:p>
    <w:p w:rsidRPr="00C34BF4" w:rsidR="00A758A6" w:rsidP="00F21189" w:rsidRDefault="00390AF7" w14:paraId="76B343E2" w14:textId="3E620352">
      <w:pPr>
        <w:rPr>
          <w:rFonts w:cs="Times New Roman"/>
          <w:lang w:val="nl-NL" w:eastAsia="ja-JP"/>
        </w:rPr>
      </w:pPr>
      <w:r w:rsidRPr="00F82D04">
        <w:rPr>
          <w:rFonts w:cs="Times New Roman"/>
          <w:lang w:val="nl-NL" w:eastAsia="ja-JP"/>
        </w:rPr>
        <w:t xml:space="preserve">De opgestelde </w:t>
      </w:r>
      <w:r w:rsidR="009D4612">
        <w:rPr>
          <w:rFonts w:cs="Times New Roman"/>
          <w:lang w:val="nl-NL" w:eastAsia="ja-JP"/>
        </w:rPr>
        <w:t>ministeri</w:t>
      </w:r>
      <w:r w:rsidRPr="002F7B54" w:rsidR="002F7B54">
        <w:rPr>
          <w:rFonts w:cs="Times New Roman"/>
          <w:lang w:val="nl-NL" w:eastAsia="ja-JP"/>
        </w:rPr>
        <w:t>ë</w:t>
      </w:r>
      <w:r w:rsidR="009D4612">
        <w:rPr>
          <w:rFonts w:cs="Times New Roman"/>
          <w:lang w:val="nl-NL" w:eastAsia="ja-JP"/>
        </w:rPr>
        <w:t>le</w:t>
      </w:r>
      <w:r w:rsidRPr="005A0A5D">
        <w:rPr>
          <w:rFonts w:cs="Times New Roman"/>
          <w:lang w:val="nl-NL" w:eastAsia="ja-JP"/>
        </w:rPr>
        <w:t xml:space="preserve"> </w:t>
      </w:r>
      <w:r w:rsidRPr="00F82D04">
        <w:rPr>
          <w:rFonts w:cs="Times New Roman"/>
          <w:lang w:val="nl-NL" w:eastAsia="ja-JP"/>
        </w:rPr>
        <w:t xml:space="preserve">verklaring over de </w:t>
      </w:r>
      <w:r w:rsidRPr="005A0A5D">
        <w:rPr>
          <w:rFonts w:cs="Times New Roman"/>
          <w:lang w:val="nl-NL" w:eastAsia="ja-JP"/>
        </w:rPr>
        <w:t>hervorming</w:t>
      </w:r>
      <w:r w:rsidRPr="00F82D04">
        <w:rPr>
          <w:rFonts w:cs="Times New Roman"/>
          <w:lang w:val="nl-NL" w:eastAsia="ja-JP"/>
        </w:rPr>
        <w:t xml:space="preserve"> van de WTO zet uiteen dat het </w:t>
      </w:r>
      <w:r w:rsidRPr="00F82D04" w:rsidR="00874DED">
        <w:rPr>
          <w:rFonts w:cs="Times New Roman"/>
          <w:lang w:val="nl-NL" w:eastAsia="ja-JP"/>
        </w:rPr>
        <w:t xml:space="preserve">hervormingswerk zich zou moeten toespitsen op de onderwerpen </w:t>
      </w:r>
      <w:r w:rsidRPr="00F82D04" w:rsidR="009A5758">
        <w:rPr>
          <w:rFonts w:cs="Times New Roman"/>
          <w:lang w:val="nl-NL" w:eastAsia="ja-JP"/>
        </w:rPr>
        <w:t xml:space="preserve">(1) </w:t>
      </w:r>
      <w:r w:rsidRPr="00F82D04" w:rsidR="00874DED">
        <w:rPr>
          <w:rFonts w:cs="Times New Roman"/>
          <w:lang w:val="nl-NL" w:eastAsia="ja-JP"/>
        </w:rPr>
        <w:t xml:space="preserve">besluitvorming binnen de WTO, </w:t>
      </w:r>
      <w:r w:rsidRPr="00F82D04" w:rsidR="009A5758">
        <w:rPr>
          <w:rFonts w:cs="Times New Roman"/>
          <w:lang w:val="nl-NL" w:eastAsia="ja-JP"/>
        </w:rPr>
        <w:t xml:space="preserve">(2) </w:t>
      </w:r>
      <w:r w:rsidRPr="00F82D04" w:rsidR="00874DED">
        <w:rPr>
          <w:rFonts w:cs="Times New Roman"/>
          <w:lang w:val="nl-NL" w:eastAsia="ja-JP"/>
        </w:rPr>
        <w:t xml:space="preserve">ontwikkelingsvraagstukken en </w:t>
      </w:r>
      <w:r w:rsidRPr="00F82D04" w:rsidR="009A5758">
        <w:rPr>
          <w:rFonts w:cs="Times New Roman"/>
          <w:lang w:val="nl-NL" w:eastAsia="ja-JP"/>
        </w:rPr>
        <w:t xml:space="preserve">(3) </w:t>
      </w:r>
      <w:r w:rsidRPr="00F82D04" w:rsidR="00874DED">
        <w:rPr>
          <w:rFonts w:cs="Times New Roman"/>
          <w:lang w:val="nl-NL" w:eastAsia="ja-JP"/>
        </w:rPr>
        <w:t>het gelijk</w:t>
      </w:r>
      <w:r w:rsidRPr="00F82D04">
        <w:rPr>
          <w:rFonts w:cs="Times New Roman"/>
          <w:lang w:val="nl-NL" w:eastAsia="ja-JP"/>
        </w:rPr>
        <w:t>e</w:t>
      </w:r>
      <w:r w:rsidRPr="00F82D04" w:rsidR="00874DED">
        <w:rPr>
          <w:rFonts w:cs="Times New Roman"/>
          <w:lang w:val="nl-NL" w:eastAsia="ja-JP"/>
        </w:rPr>
        <w:t xml:space="preserve"> speelveld tussen landen. </w:t>
      </w:r>
      <w:r w:rsidRPr="00F82D04" w:rsidR="00A758A6">
        <w:rPr>
          <w:rFonts w:cs="Times New Roman"/>
          <w:lang w:val="nl-NL" w:eastAsia="ja-JP"/>
        </w:rPr>
        <w:t>De EU</w:t>
      </w:r>
      <w:r w:rsidRPr="00F82D04" w:rsidR="00CA1E98">
        <w:rPr>
          <w:rFonts w:cs="Times New Roman"/>
          <w:lang w:val="nl-NL" w:eastAsia="ja-JP"/>
        </w:rPr>
        <w:t xml:space="preserve"> was één van de drijvende krachten achter de verklaring</w:t>
      </w:r>
      <w:r w:rsidRPr="00F82D04" w:rsidR="00A758A6">
        <w:rPr>
          <w:rFonts w:cs="Times New Roman"/>
          <w:lang w:val="nl-NL" w:eastAsia="ja-JP"/>
        </w:rPr>
        <w:t xml:space="preserve">, </w:t>
      </w:r>
      <w:r w:rsidRPr="00F82D04">
        <w:rPr>
          <w:rFonts w:cs="Times New Roman"/>
          <w:lang w:val="nl-NL" w:eastAsia="ja-JP"/>
        </w:rPr>
        <w:t xml:space="preserve">samen </w:t>
      </w:r>
      <w:r w:rsidRPr="00F82D04" w:rsidR="00A758A6">
        <w:rPr>
          <w:rFonts w:cs="Times New Roman"/>
          <w:lang w:val="nl-NL" w:eastAsia="ja-JP"/>
        </w:rPr>
        <w:t xml:space="preserve">met gelijkgezinde landen zoals Canada, het </w:t>
      </w:r>
      <w:r w:rsidRPr="00F82D04">
        <w:rPr>
          <w:rFonts w:cs="Times New Roman"/>
          <w:lang w:val="nl-NL" w:eastAsia="ja-JP"/>
        </w:rPr>
        <w:t>VK</w:t>
      </w:r>
      <w:r w:rsidRPr="00F82D04" w:rsidR="00A758A6">
        <w:rPr>
          <w:rFonts w:cs="Times New Roman"/>
          <w:lang w:val="nl-NL" w:eastAsia="ja-JP"/>
        </w:rPr>
        <w:t xml:space="preserve"> en Japan. Op de laatste dag van de conferentie bleek de consensus over dit plan </w:t>
      </w:r>
      <w:r w:rsidRPr="00F82D04" w:rsidR="00CA1E98">
        <w:rPr>
          <w:rFonts w:cs="Times New Roman"/>
          <w:lang w:val="nl-NL" w:eastAsia="ja-JP"/>
        </w:rPr>
        <w:t>toch</w:t>
      </w:r>
      <w:r w:rsidRPr="00F82D04" w:rsidR="00A758A6">
        <w:rPr>
          <w:rFonts w:cs="Times New Roman"/>
          <w:lang w:val="nl-NL" w:eastAsia="ja-JP"/>
        </w:rPr>
        <w:t xml:space="preserve"> te ontbreken</w:t>
      </w:r>
      <w:r w:rsidRPr="00F82D04" w:rsidR="00CA1E98">
        <w:rPr>
          <w:rFonts w:cs="Times New Roman"/>
          <w:lang w:val="nl-NL" w:eastAsia="ja-JP"/>
        </w:rPr>
        <w:t xml:space="preserve">, </w:t>
      </w:r>
      <w:r w:rsidRPr="00F82D04" w:rsidR="00874DED">
        <w:rPr>
          <w:rFonts w:cs="Times New Roman"/>
          <w:lang w:val="nl-NL" w:eastAsia="ja-JP"/>
        </w:rPr>
        <w:t>met als gevolg dat</w:t>
      </w:r>
      <w:r w:rsidRPr="00F82D04" w:rsidR="00CA1E98">
        <w:rPr>
          <w:rFonts w:cs="Times New Roman"/>
          <w:lang w:val="nl-NL" w:eastAsia="ja-JP"/>
        </w:rPr>
        <w:t xml:space="preserve"> in </w:t>
      </w:r>
      <w:r w:rsidRPr="00F82D04" w:rsidR="00A758A6">
        <w:rPr>
          <w:rFonts w:cs="Times New Roman"/>
          <w:lang w:val="nl-NL" w:eastAsia="ja-JP"/>
        </w:rPr>
        <w:t xml:space="preserve">Yaoundé geen </w:t>
      </w:r>
      <w:r w:rsidRPr="00F82D04" w:rsidR="00CA1E98">
        <w:rPr>
          <w:rFonts w:cs="Times New Roman"/>
          <w:lang w:val="nl-NL" w:eastAsia="ja-JP"/>
        </w:rPr>
        <w:t>afspraken over WTO-hervormingen zijn</w:t>
      </w:r>
      <w:r w:rsidRPr="00F82D04" w:rsidR="00A758A6">
        <w:rPr>
          <w:rFonts w:cs="Times New Roman"/>
          <w:lang w:val="nl-NL" w:eastAsia="ja-JP"/>
        </w:rPr>
        <w:t xml:space="preserve"> </w:t>
      </w:r>
      <w:r w:rsidRPr="00F82D04">
        <w:rPr>
          <w:rFonts w:cs="Times New Roman"/>
          <w:lang w:val="nl-NL" w:eastAsia="ja-JP"/>
        </w:rPr>
        <w:t>overeengekomen</w:t>
      </w:r>
      <w:r w:rsidRPr="00F82D04" w:rsidR="00874DED">
        <w:rPr>
          <w:rFonts w:cs="Times New Roman"/>
          <w:lang w:val="nl-NL" w:eastAsia="ja-JP"/>
        </w:rPr>
        <w:t>. Wel is</w:t>
      </w:r>
      <w:r w:rsidRPr="00F82D04" w:rsidR="00A758A6">
        <w:rPr>
          <w:rFonts w:cs="Times New Roman"/>
          <w:lang w:val="nl-NL" w:eastAsia="ja-JP"/>
        </w:rPr>
        <w:t xml:space="preserve"> besloten </w:t>
      </w:r>
      <w:r w:rsidRPr="00F82D04" w:rsidR="00874DED">
        <w:rPr>
          <w:rFonts w:cs="Times New Roman"/>
          <w:lang w:val="nl-NL" w:eastAsia="ja-JP"/>
        </w:rPr>
        <w:t>over dit onderwerp</w:t>
      </w:r>
      <w:r w:rsidRPr="00F82D04" w:rsidR="00A758A6">
        <w:rPr>
          <w:rFonts w:cs="Times New Roman"/>
          <w:lang w:val="nl-NL" w:eastAsia="ja-JP"/>
        </w:rPr>
        <w:t xml:space="preserve"> in de komende </w:t>
      </w:r>
      <w:r w:rsidRPr="00F82D04" w:rsidR="00874DED">
        <w:rPr>
          <w:rFonts w:cs="Times New Roman"/>
          <w:lang w:val="nl-NL" w:eastAsia="ja-JP"/>
        </w:rPr>
        <w:t>tijd</w:t>
      </w:r>
      <w:r w:rsidRPr="00F82D04" w:rsidR="00A758A6">
        <w:rPr>
          <w:rFonts w:cs="Times New Roman"/>
          <w:lang w:val="nl-NL" w:eastAsia="ja-JP"/>
        </w:rPr>
        <w:t xml:space="preserve"> in Gen</w:t>
      </w:r>
      <w:r w:rsidRPr="00F82D04" w:rsidR="003F7B35">
        <w:rPr>
          <w:rFonts w:cs="Times New Roman"/>
          <w:lang w:val="nl-NL" w:eastAsia="ja-JP"/>
        </w:rPr>
        <w:t>è</w:t>
      </w:r>
      <w:r w:rsidRPr="00F82D04" w:rsidR="00A758A6">
        <w:rPr>
          <w:rFonts w:cs="Times New Roman"/>
          <w:lang w:val="nl-NL" w:eastAsia="ja-JP"/>
        </w:rPr>
        <w:t xml:space="preserve">ve verder </w:t>
      </w:r>
      <w:r w:rsidRPr="00F82D04" w:rsidR="00874DED">
        <w:rPr>
          <w:rFonts w:cs="Times New Roman"/>
          <w:lang w:val="nl-NL" w:eastAsia="ja-JP"/>
        </w:rPr>
        <w:t xml:space="preserve">te blijven onderhandelen. </w:t>
      </w:r>
    </w:p>
    <w:p w:rsidRPr="00C34BF4" w:rsidR="006A47A7" w:rsidP="00F21189" w:rsidRDefault="006A47A7" w14:paraId="2B3744BC" w14:textId="433AF052">
      <w:pPr>
        <w:rPr>
          <w:rFonts w:cs="Times New Roman"/>
          <w:i/>
          <w:lang w:val="nl-NL" w:eastAsia="ja-JP"/>
        </w:rPr>
      </w:pPr>
      <w:r w:rsidRPr="00F82D04">
        <w:rPr>
          <w:rFonts w:cs="Times New Roman"/>
          <w:i/>
          <w:lang w:val="nl-NL" w:eastAsia="ja-JP"/>
        </w:rPr>
        <w:t>E-commerce moratorium</w:t>
      </w:r>
    </w:p>
    <w:p w:rsidRPr="00C34BF4" w:rsidR="006A47A7" w:rsidP="00F21189" w:rsidRDefault="006F68B4" w14:paraId="742A554B" w14:textId="31EB551B">
      <w:pPr>
        <w:rPr>
          <w:rFonts w:cs="Times New Roman"/>
          <w:lang w:val="nl-NL" w:eastAsia="ja-JP"/>
        </w:rPr>
      </w:pPr>
      <w:r w:rsidRPr="00F82D04">
        <w:rPr>
          <w:rFonts w:cs="Times New Roman"/>
          <w:lang w:val="nl-NL" w:eastAsia="ja-JP"/>
        </w:rPr>
        <w:t>H</w:t>
      </w:r>
      <w:r w:rsidRPr="00F82D04" w:rsidR="00363C7F">
        <w:rPr>
          <w:rFonts w:cs="Times New Roman"/>
          <w:lang w:val="nl-NL" w:eastAsia="ja-JP"/>
        </w:rPr>
        <w:t>et moratorium voor heffingen op elektronische transmissies (</w:t>
      </w:r>
      <w:r w:rsidR="00C90DD4">
        <w:rPr>
          <w:rFonts w:cs="Times New Roman"/>
          <w:lang w:val="nl-NL" w:eastAsia="ja-JP"/>
        </w:rPr>
        <w:t>het zogenaamde</w:t>
      </w:r>
      <w:r w:rsidRPr="005A0A5D">
        <w:rPr>
          <w:rFonts w:cs="Times New Roman"/>
          <w:lang w:val="nl-NL" w:eastAsia="ja-JP"/>
        </w:rPr>
        <w:t xml:space="preserve"> </w:t>
      </w:r>
      <w:r w:rsidR="00C90DD4">
        <w:rPr>
          <w:rFonts w:cs="Times New Roman"/>
          <w:lang w:val="nl-NL" w:eastAsia="ja-JP"/>
        </w:rPr>
        <w:t>“</w:t>
      </w:r>
      <w:r w:rsidRPr="00F82D04" w:rsidR="00363C7F">
        <w:rPr>
          <w:rFonts w:cs="Times New Roman"/>
          <w:lang w:val="nl-NL" w:eastAsia="ja-JP"/>
        </w:rPr>
        <w:t>e-commerce moratorium</w:t>
      </w:r>
      <w:r w:rsidR="00C90DD4">
        <w:rPr>
          <w:rFonts w:cs="Times New Roman"/>
          <w:lang w:val="nl-NL" w:eastAsia="ja-JP"/>
        </w:rPr>
        <w:t>”</w:t>
      </w:r>
      <w:r w:rsidRPr="005A0A5D" w:rsidR="00363C7F">
        <w:rPr>
          <w:rFonts w:cs="Times New Roman"/>
          <w:lang w:val="nl-NL" w:eastAsia="ja-JP"/>
        </w:rPr>
        <w:t>)</w:t>
      </w:r>
      <w:r w:rsidRPr="00F82D04">
        <w:rPr>
          <w:rFonts w:cs="Times New Roman"/>
          <w:lang w:val="nl-NL" w:eastAsia="ja-JP"/>
        </w:rPr>
        <w:t xml:space="preserve"> werd </w:t>
      </w:r>
      <w:r w:rsidRPr="005A0A5D">
        <w:rPr>
          <w:rFonts w:cs="Times New Roman"/>
          <w:lang w:val="nl-NL" w:eastAsia="ja-JP"/>
        </w:rPr>
        <w:t xml:space="preserve">tijdens </w:t>
      </w:r>
      <w:r w:rsidRPr="00F82D04" w:rsidR="00363C7F">
        <w:rPr>
          <w:rFonts w:cs="Times New Roman"/>
          <w:lang w:val="nl-NL" w:eastAsia="ja-JP"/>
        </w:rPr>
        <w:t xml:space="preserve">voorgaande </w:t>
      </w:r>
      <w:proofErr w:type="spellStart"/>
      <w:r w:rsidRPr="00F82D04">
        <w:rPr>
          <w:rFonts w:cs="Times New Roman"/>
          <w:lang w:val="nl-NL" w:eastAsia="ja-JP"/>
        </w:rPr>
        <w:t>MC’s</w:t>
      </w:r>
      <w:proofErr w:type="spellEnd"/>
      <w:r w:rsidRPr="00F82D04">
        <w:rPr>
          <w:rFonts w:cs="Times New Roman"/>
          <w:lang w:val="nl-NL" w:eastAsia="ja-JP"/>
        </w:rPr>
        <w:t xml:space="preserve"> telkens </w:t>
      </w:r>
      <w:r w:rsidRPr="00F82D04" w:rsidR="00363C7F">
        <w:rPr>
          <w:rFonts w:cs="Times New Roman"/>
          <w:lang w:val="nl-NL" w:eastAsia="ja-JP"/>
        </w:rPr>
        <w:t>met twee jaar</w:t>
      </w:r>
      <w:r w:rsidRPr="00F82D04" w:rsidR="00537722">
        <w:rPr>
          <w:rFonts w:cs="Times New Roman"/>
          <w:lang w:val="nl-NL" w:eastAsia="ja-JP"/>
        </w:rPr>
        <w:t xml:space="preserve"> </w:t>
      </w:r>
      <w:r w:rsidRPr="00F82D04" w:rsidR="00363C7F">
        <w:rPr>
          <w:rFonts w:cs="Times New Roman"/>
          <w:lang w:val="nl-NL" w:eastAsia="ja-JP"/>
        </w:rPr>
        <w:t>verlengd</w:t>
      </w:r>
      <w:r w:rsidRPr="00F82D04">
        <w:rPr>
          <w:rFonts w:cs="Times New Roman"/>
          <w:lang w:val="nl-NL" w:eastAsia="ja-JP"/>
        </w:rPr>
        <w:t>. O</w:t>
      </w:r>
      <w:r w:rsidRPr="00F82D04" w:rsidR="00363C7F">
        <w:rPr>
          <w:rFonts w:cs="Times New Roman"/>
          <w:lang w:val="nl-NL" w:eastAsia="ja-JP"/>
        </w:rPr>
        <w:t xml:space="preserve">p aandringen van met name de Verenigde Staten (VS) werd in Yaoundé voorgesteld deze verlengingstermijn </w:t>
      </w:r>
      <w:r w:rsidRPr="00F82D04" w:rsidR="00537722">
        <w:rPr>
          <w:rFonts w:cs="Times New Roman"/>
          <w:lang w:val="nl-NL" w:eastAsia="ja-JP"/>
        </w:rPr>
        <w:t>uit te breiden</w:t>
      </w:r>
      <w:r w:rsidRPr="00F82D04" w:rsidR="00363C7F">
        <w:rPr>
          <w:rFonts w:cs="Times New Roman"/>
          <w:lang w:val="nl-NL" w:eastAsia="ja-JP"/>
        </w:rPr>
        <w:t xml:space="preserve"> naar vijf jaar. Op de slotdag van de conferentie bleek hier geen consensus onder de WTO-leden </w:t>
      </w:r>
      <w:r w:rsidR="00C90DD4">
        <w:rPr>
          <w:rFonts w:cs="Times New Roman"/>
          <w:lang w:val="nl-NL" w:eastAsia="ja-JP"/>
        </w:rPr>
        <w:t xml:space="preserve">voor </w:t>
      </w:r>
      <w:r w:rsidRPr="00F82D04" w:rsidR="00363C7F">
        <w:rPr>
          <w:rFonts w:cs="Times New Roman"/>
          <w:lang w:val="nl-NL" w:eastAsia="ja-JP"/>
        </w:rPr>
        <w:t xml:space="preserve">te bestaan, </w:t>
      </w:r>
      <w:r w:rsidRPr="00F82D04" w:rsidR="00537722">
        <w:rPr>
          <w:rFonts w:cs="Times New Roman"/>
          <w:lang w:val="nl-NL" w:eastAsia="ja-JP"/>
        </w:rPr>
        <w:t>met als gevolg dat</w:t>
      </w:r>
      <w:r w:rsidRPr="00F82D04" w:rsidR="00363C7F">
        <w:rPr>
          <w:rFonts w:cs="Times New Roman"/>
          <w:lang w:val="nl-NL" w:eastAsia="ja-JP"/>
        </w:rPr>
        <w:t xml:space="preserve"> het moratorium op 31 maart jl. is </w:t>
      </w:r>
      <w:r w:rsidRPr="00F82D04" w:rsidR="00537722">
        <w:rPr>
          <w:rFonts w:cs="Times New Roman"/>
          <w:lang w:val="nl-NL" w:eastAsia="ja-JP"/>
        </w:rPr>
        <w:t>verlopen</w:t>
      </w:r>
      <w:r w:rsidRPr="00F82D04" w:rsidR="00363C7F">
        <w:rPr>
          <w:rFonts w:cs="Times New Roman"/>
          <w:lang w:val="nl-NL" w:eastAsia="ja-JP"/>
        </w:rPr>
        <w:t>. In theorie zouden landen daarom nu invoerheffingen op elektronische transmissies kunnen in</w:t>
      </w:r>
      <w:r w:rsidRPr="00F82D04" w:rsidR="00537722">
        <w:rPr>
          <w:rFonts w:cs="Times New Roman"/>
          <w:lang w:val="nl-NL" w:eastAsia="ja-JP"/>
        </w:rPr>
        <w:t>voeren</w:t>
      </w:r>
      <w:r w:rsidRPr="00F82D04">
        <w:rPr>
          <w:rFonts w:cs="Times New Roman"/>
          <w:lang w:val="nl-NL" w:eastAsia="ja-JP"/>
        </w:rPr>
        <w:t xml:space="preserve">. Tegelijkertijd is een dergelijke heffing complex uit te voeren, waarmee niet verwacht wordt dat landen deze op korte termijn invoeren. Er wordt in </w:t>
      </w:r>
      <w:r w:rsidRPr="00F82D04" w:rsidR="002201E7">
        <w:rPr>
          <w:rFonts w:cs="Times New Roman"/>
          <w:lang w:val="nl-NL" w:eastAsia="ja-JP"/>
        </w:rPr>
        <w:t xml:space="preserve">Genève </w:t>
      </w:r>
      <w:r w:rsidRPr="005A0A5D">
        <w:rPr>
          <w:rFonts w:cs="Times New Roman"/>
          <w:lang w:val="nl-NL" w:eastAsia="ja-JP"/>
        </w:rPr>
        <w:t>door</w:t>
      </w:r>
      <w:r w:rsidR="00C90DD4">
        <w:rPr>
          <w:rFonts w:cs="Times New Roman"/>
          <w:lang w:val="nl-NL" w:eastAsia="ja-JP"/>
        </w:rPr>
        <w:t xml:space="preserve"> </w:t>
      </w:r>
      <w:r w:rsidRPr="005A0A5D">
        <w:rPr>
          <w:rFonts w:cs="Times New Roman"/>
          <w:lang w:val="nl-NL" w:eastAsia="ja-JP"/>
        </w:rPr>
        <w:t>onderhandeld</w:t>
      </w:r>
      <w:r w:rsidRPr="00F82D04" w:rsidR="002201E7">
        <w:rPr>
          <w:rFonts w:cs="Times New Roman"/>
          <w:lang w:val="nl-NL" w:eastAsia="ja-JP"/>
        </w:rPr>
        <w:t xml:space="preserve"> </w:t>
      </w:r>
      <w:r w:rsidRPr="00F82D04" w:rsidR="00537722">
        <w:rPr>
          <w:rFonts w:cs="Times New Roman"/>
          <w:lang w:val="nl-NL" w:eastAsia="ja-JP"/>
        </w:rPr>
        <w:t>om toch tot een overeenkomst over</w:t>
      </w:r>
      <w:r w:rsidRPr="00F82D04" w:rsidR="002201E7">
        <w:rPr>
          <w:rFonts w:cs="Times New Roman"/>
          <w:lang w:val="nl-NL" w:eastAsia="ja-JP"/>
        </w:rPr>
        <w:t xml:space="preserve"> verlenging </w:t>
      </w:r>
      <w:r w:rsidRPr="00F82D04">
        <w:rPr>
          <w:rFonts w:cs="Times New Roman"/>
          <w:lang w:val="nl-NL" w:eastAsia="ja-JP"/>
        </w:rPr>
        <w:t>van het moratorium</w:t>
      </w:r>
      <w:r w:rsidRPr="00F82D04" w:rsidR="00DE76FF">
        <w:rPr>
          <w:rFonts w:cs="Times New Roman"/>
          <w:lang w:val="nl-NL" w:eastAsia="ja-JP"/>
        </w:rPr>
        <w:t xml:space="preserve"> </w:t>
      </w:r>
      <w:r w:rsidRPr="00F82D04" w:rsidR="00537722">
        <w:rPr>
          <w:rFonts w:cs="Times New Roman"/>
          <w:lang w:val="nl-NL" w:eastAsia="ja-JP"/>
        </w:rPr>
        <w:t>te komen.</w:t>
      </w:r>
    </w:p>
    <w:p w:rsidRPr="00C34BF4" w:rsidR="00F21189" w:rsidP="00F21189" w:rsidRDefault="006A47A7" w14:paraId="028B5EEA" w14:textId="02E0D4C4">
      <w:pPr>
        <w:rPr>
          <w:rFonts w:cs="Times New Roman"/>
          <w:lang w:eastAsia="ja-JP"/>
        </w:rPr>
      </w:pPr>
      <w:proofErr w:type="spellStart"/>
      <w:r w:rsidRPr="002D4E18">
        <w:rPr>
          <w:rFonts w:cs="Times New Roman"/>
          <w:i/>
          <w:lang w:eastAsia="ja-JP"/>
        </w:rPr>
        <w:t>Plurilatera</w:t>
      </w:r>
      <w:r w:rsidRPr="002D4E18" w:rsidR="006F68B4">
        <w:rPr>
          <w:rFonts w:cs="Times New Roman"/>
          <w:i/>
          <w:lang w:eastAsia="ja-JP"/>
        </w:rPr>
        <w:t>al</w:t>
      </w:r>
      <w:proofErr w:type="spellEnd"/>
      <w:r w:rsidRPr="002D4E18">
        <w:rPr>
          <w:rFonts w:cs="Times New Roman"/>
          <w:i/>
          <w:lang w:eastAsia="ja-JP"/>
        </w:rPr>
        <w:t xml:space="preserve"> </w:t>
      </w:r>
      <w:proofErr w:type="spellStart"/>
      <w:r w:rsidRPr="002D4E18">
        <w:rPr>
          <w:rFonts w:cs="Times New Roman"/>
          <w:i/>
          <w:lang w:eastAsia="ja-JP"/>
        </w:rPr>
        <w:t>akkoord</w:t>
      </w:r>
      <w:proofErr w:type="spellEnd"/>
      <w:r w:rsidRPr="002D4E18" w:rsidR="006F68B4">
        <w:rPr>
          <w:rFonts w:cs="Times New Roman"/>
          <w:i/>
          <w:lang w:eastAsia="ja-JP"/>
        </w:rPr>
        <w:t xml:space="preserve">: </w:t>
      </w:r>
      <w:r w:rsidRPr="00F82D04">
        <w:rPr>
          <w:rFonts w:cs="Times New Roman"/>
          <w:i/>
          <w:lang w:eastAsia="ja-JP"/>
        </w:rPr>
        <w:t>Investment Facilitation for Development</w:t>
      </w:r>
      <w:r w:rsidRPr="00F82D04" w:rsidR="00BD5C4E">
        <w:rPr>
          <w:rFonts w:cs="Times New Roman"/>
          <w:i/>
          <w:lang w:eastAsia="ja-JP"/>
        </w:rPr>
        <w:t xml:space="preserve"> Agreement</w:t>
      </w:r>
      <w:r w:rsidRPr="00F82D04" w:rsidR="00BD5C4E">
        <w:rPr>
          <w:rFonts w:cs="Times New Roman"/>
          <w:lang w:eastAsia="ja-JP"/>
        </w:rPr>
        <w:t xml:space="preserve"> (IFDA)</w:t>
      </w:r>
    </w:p>
    <w:p w:rsidR="00537722" w:rsidP="00F21189" w:rsidRDefault="00BB4D07" w14:paraId="3E034388" w14:textId="636D9F76">
      <w:pPr>
        <w:rPr>
          <w:rFonts w:cs="Times New Roman"/>
          <w:lang w:val="nl-NL" w:eastAsia="ja-JP"/>
        </w:rPr>
      </w:pPr>
      <w:r w:rsidRPr="008D7F6C">
        <w:rPr>
          <w:rFonts w:cs="Times New Roman"/>
          <w:lang w:val="nl-NL" w:eastAsia="ja-JP"/>
        </w:rPr>
        <w:t>IFD</w:t>
      </w:r>
      <w:r>
        <w:rPr>
          <w:rFonts w:cs="Times New Roman"/>
          <w:lang w:val="nl-NL" w:eastAsia="ja-JP"/>
        </w:rPr>
        <w:t xml:space="preserve">A (voorheen bekend als </w:t>
      </w:r>
      <w:r w:rsidRPr="008D7F6C">
        <w:rPr>
          <w:rFonts w:cs="Times New Roman"/>
          <w:i/>
          <w:lang w:val="nl-NL" w:eastAsia="ja-JP"/>
        </w:rPr>
        <w:t xml:space="preserve">Investment </w:t>
      </w:r>
      <w:proofErr w:type="spellStart"/>
      <w:r w:rsidRPr="008D7F6C">
        <w:rPr>
          <w:rFonts w:cs="Times New Roman"/>
          <w:i/>
          <w:lang w:val="nl-NL" w:eastAsia="ja-JP"/>
        </w:rPr>
        <w:t>Facilitation</w:t>
      </w:r>
      <w:proofErr w:type="spellEnd"/>
      <w:r w:rsidRPr="008D7F6C">
        <w:rPr>
          <w:rFonts w:cs="Times New Roman"/>
          <w:i/>
          <w:lang w:val="nl-NL" w:eastAsia="ja-JP"/>
        </w:rPr>
        <w:t xml:space="preserve"> </w:t>
      </w:r>
      <w:proofErr w:type="spellStart"/>
      <w:r w:rsidRPr="008D7F6C">
        <w:rPr>
          <w:rFonts w:cs="Times New Roman"/>
          <w:i/>
          <w:lang w:val="nl-NL" w:eastAsia="ja-JP"/>
        </w:rPr>
        <w:t>for</w:t>
      </w:r>
      <w:proofErr w:type="spellEnd"/>
      <w:r w:rsidRPr="008D7F6C">
        <w:rPr>
          <w:rFonts w:cs="Times New Roman"/>
          <w:i/>
          <w:lang w:val="nl-NL" w:eastAsia="ja-JP"/>
        </w:rPr>
        <w:t xml:space="preserve"> Development Joint Statement </w:t>
      </w:r>
      <w:proofErr w:type="spellStart"/>
      <w:r w:rsidRPr="008D7F6C">
        <w:rPr>
          <w:rFonts w:cs="Times New Roman"/>
          <w:i/>
          <w:lang w:val="nl-NL" w:eastAsia="ja-JP"/>
        </w:rPr>
        <w:t>Initiative</w:t>
      </w:r>
      <w:proofErr w:type="spellEnd"/>
      <w:r w:rsidRPr="008D7F6C">
        <w:rPr>
          <w:rFonts w:cs="Times New Roman"/>
          <w:lang w:val="nl-NL" w:eastAsia="ja-JP"/>
        </w:rPr>
        <w:t>) gaat over het ontwikkelen van WTO-afspraken om investeringen in ontwikkelings- en opkomende economieën te vergemakkelijken, bijvoorbeeld door meer transparantie, voorspelbare procedures en betere dienstverlening aan (buitenlandse) investeerders.</w:t>
      </w:r>
      <w:r>
        <w:rPr>
          <w:rFonts w:cs="Times New Roman"/>
          <w:lang w:val="nl-NL" w:eastAsia="ja-JP"/>
        </w:rPr>
        <w:t xml:space="preserve"> </w:t>
      </w:r>
      <w:r w:rsidRPr="005A0A5D" w:rsidR="00537722">
        <w:rPr>
          <w:rFonts w:cs="Times New Roman"/>
          <w:lang w:val="nl-NL" w:eastAsia="ja-JP"/>
        </w:rPr>
        <w:t xml:space="preserve">De </w:t>
      </w:r>
      <w:r w:rsidRPr="00F82D04" w:rsidR="00537722">
        <w:rPr>
          <w:rFonts w:cs="Times New Roman"/>
          <w:lang w:val="nl-NL" w:eastAsia="ja-JP"/>
        </w:rPr>
        <w:t xml:space="preserve">129 WTO-lidstaten die deelnemen aan IFDA hebben in Yaoundé een gemeenschappelijke ministeriële verklaring aangenomen, nadat duidelijk werd dat het </w:t>
      </w:r>
      <w:r w:rsidR="00C90DD4">
        <w:rPr>
          <w:rFonts w:cs="Times New Roman"/>
          <w:lang w:val="nl-NL" w:eastAsia="ja-JP"/>
        </w:rPr>
        <w:t>tijdens</w:t>
      </w:r>
      <w:r w:rsidRPr="005A0A5D" w:rsidR="00537722">
        <w:rPr>
          <w:rFonts w:cs="Times New Roman"/>
          <w:lang w:val="nl-NL" w:eastAsia="ja-JP"/>
        </w:rPr>
        <w:t xml:space="preserve"> </w:t>
      </w:r>
      <w:r w:rsidRPr="00F82D04" w:rsidR="00537722">
        <w:rPr>
          <w:rFonts w:cs="Times New Roman"/>
          <w:lang w:val="nl-NL" w:eastAsia="ja-JP"/>
        </w:rPr>
        <w:t xml:space="preserve">MC14 niet zou </w:t>
      </w:r>
      <w:r w:rsidR="00C90DD4">
        <w:rPr>
          <w:rFonts w:cs="Times New Roman"/>
          <w:lang w:val="nl-NL" w:eastAsia="ja-JP"/>
        </w:rPr>
        <w:t>lukken</w:t>
      </w:r>
      <w:r w:rsidRPr="00F82D04" w:rsidR="00537722">
        <w:rPr>
          <w:rFonts w:cs="Times New Roman"/>
          <w:lang w:val="nl-NL" w:eastAsia="ja-JP"/>
        </w:rPr>
        <w:t xml:space="preserve"> om dit akkoord binnen de WTO inwerking te laten treden. India bleef </w:t>
      </w:r>
      <w:r w:rsidR="00C90DD4">
        <w:rPr>
          <w:rFonts w:cs="Times New Roman"/>
          <w:lang w:val="nl-NL" w:eastAsia="ja-JP"/>
        </w:rPr>
        <w:t xml:space="preserve">opname in het WTO </w:t>
      </w:r>
      <w:proofErr w:type="spellStart"/>
      <w:r w:rsidR="00C90DD4">
        <w:rPr>
          <w:rFonts w:cs="Times New Roman"/>
          <w:i/>
          <w:iCs/>
          <w:lang w:val="nl-NL" w:eastAsia="ja-JP"/>
        </w:rPr>
        <w:t>acquis</w:t>
      </w:r>
      <w:proofErr w:type="spellEnd"/>
      <w:r w:rsidRPr="00F82D04" w:rsidR="00537722">
        <w:rPr>
          <w:rFonts w:cs="Times New Roman"/>
          <w:lang w:val="nl-NL" w:eastAsia="ja-JP"/>
        </w:rPr>
        <w:t xml:space="preserve"> als enige land blokkeren, vooral vanwege een principieel bezwaar tegen </w:t>
      </w:r>
      <w:proofErr w:type="spellStart"/>
      <w:r w:rsidRPr="005A0A5D" w:rsidR="00537722">
        <w:rPr>
          <w:rFonts w:cs="Times New Roman"/>
          <w:lang w:val="nl-NL" w:eastAsia="ja-JP"/>
        </w:rPr>
        <w:t>plurilateral</w:t>
      </w:r>
      <w:r w:rsidRPr="005A0A5D" w:rsidR="00DE76FF">
        <w:rPr>
          <w:rFonts w:cs="Times New Roman"/>
          <w:lang w:val="nl-NL" w:eastAsia="ja-JP"/>
        </w:rPr>
        <w:t>e</w:t>
      </w:r>
      <w:proofErr w:type="spellEnd"/>
      <w:r w:rsidRPr="00F82D04" w:rsidR="00537722">
        <w:rPr>
          <w:rFonts w:cs="Times New Roman"/>
          <w:lang w:val="nl-NL" w:eastAsia="ja-JP"/>
        </w:rPr>
        <w:t xml:space="preserve"> initiatie</w:t>
      </w:r>
      <w:r w:rsidRPr="00F82D04" w:rsidR="00DE76FF">
        <w:rPr>
          <w:rFonts w:cs="Times New Roman"/>
          <w:lang w:val="nl-NL" w:eastAsia="ja-JP"/>
        </w:rPr>
        <w:t xml:space="preserve">ven </w:t>
      </w:r>
      <w:r w:rsidRPr="005A0A5D" w:rsidR="00DE76FF">
        <w:rPr>
          <w:rFonts w:cs="Times New Roman"/>
          <w:lang w:val="nl-NL" w:eastAsia="ja-JP"/>
        </w:rPr>
        <w:t>binnen</w:t>
      </w:r>
      <w:r w:rsidRPr="00F82D04" w:rsidR="00537722">
        <w:rPr>
          <w:rFonts w:cs="Times New Roman"/>
          <w:lang w:val="nl-NL" w:eastAsia="ja-JP"/>
        </w:rPr>
        <w:t xml:space="preserve"> de WTO.</w:t>
      </w:r>
      <w:r w:rsidRPr="00F82D04" w:rsidR="00481231">
        <w:rPr>
          <w:rFonts w:cs="Times New Roman"/>
          <w:lang w:val="nl-NL" w:eastAsia="ja-JP"/>
        </w:rPr>
        <w:t xml:space="preserve"> In </w:t>
      </w:r>
      <w:r w:rsidR="00C90DD4">
        <w:rPr>
          <w:rFonts w:cs="Times New Roman"/>
          <w:lang w:val="nl-NL" w:eastAsia="ja-JP"/>
        </w:rPr>
        <w:t>een</w:t>
      </w:r>
      <w:r w:rsidRPr="00F82D04" w:rsidR="00481231">
        <w:rPr>
          <w:rFonts w:cs="Times New Roman"/>
          <w:lang w:val="nl-NL" w:eastAsia="ja-JP"/>
        </w:rPr>
        <w:t xml:space="preserve"> verklaring </w:t>
      </w:r>
      <w:r w:rsidR="00C90DD4">
        <w:rPr>
          <w:rFonts w:cs="Times New Roman"/>
          <w:lang w:val="nl-NL" w:eastAsia="ja-JP"/>
        </w:rPr>
        <w:t>geven</w:t>
      </w:r>
      <w:r w:rsidRPr="00F82D04" w:rsidR="00481231">
        <w:rPr>
          <w:rFonts w:cs="Times New Roman"/>
          <w:lang w:val="nl-NL" w:eastAsia="ja-JP"/>
        </w:rPr>
        <w:t xml:space="preserve"> de deelnemende landen </w:t>
      </w:r>
      <w:r w:rsidR="00C90DD4">
        <w:rPr>
          <w:rFonts w:cs="Times New Roman"/>
          <w:lang w:val="nl-NL" w:eastAsia="ja-JP"/>
        </w:rPr>
        <w:t xml:space="preserve">aan het akkoord nu tussentijds onderling te willen gaan toepassen maar </w:t>
      </w:r>
      <w:r w:rsidRPr="00F82D04" w:rsidR="00481231">
        <w:rPr>
          <w:rFonts w:cs="Times New Roman"/>
          <w:lang w:val="nl-NL" w:eastAsia="ja-JP"/>
        </w:rPr>
        <w:t xml:space="preserve">dat hun doelstelling blijft om IFDA </w:t>
      </w:r>
      <w:r w:rsidR="00C90DD4">
        <w:rPr>
          <w:rFonts w:cs="Times New Roman"/>
          <w:lang w:val="nl-NL" w:eastAsia="ja-JP"/>
        </w:rPr>
        <w:t xml:space="preserve">uiteindelijk </w:t>
      </w:r>
      <w:r w:rsidRPr="00F82D04" w:rsidR="00481231">
        <w:rPr>
          <w:rFonts w:cs="Times New Roman"/>
          <w:lang w:val="nl-NL" w:eastAsia="ja-JP"/>
        </w:rPr>
        <w:t xml:space="preserve">binnen de WTO in werking te laten treden. </w:t>
      </w:r>
      <w:r w:rsidRPr="00F82D04" w:rsidR="00537722">
        <w:rPr>
          <w:rFonts w:cs="Times New Roman"/>
          <w:lang w:val="nl-NL" w:eastAsia="ja-JP"/>
        </w:rPr>
        <w:t xml:space="preserve"> </w:t>
      </w:r>
    </w:p>
    <w:p w:rsidR="00DE3443" w:rsidP="00F21189" w:rsidRDefault="00DE3443" w14:paraId="22026A06" w14:textId="77777777">
      <w:pPr>
        <w:rPr>
          <w:rFonts w:cs="Times New Roman"/>
          <w:lang w:val="nl-NL" w:eastAsia="ja-JP"/>
        </w:rPr>
      </w:pPr>
    </w:p>
    <w:p w:rsidRPr="00C34BF4" w:rsidR="00DE3443" w:rsidP="00F21189" w:rsidRDefault="00DE3443" w14:paraId="087D707B" w14:textId="77777777">
      <w:pPr>
        <w:rPr>
          <w:rFonts w:cs="Times New Roman"/>
          <w:lang w:val="nl-NL" w:eastAsia="ja-JP"/>
        </w:rPr>
      </w:pPr>
    </w:p>
    <w:p w:rsidRPr="002D4E18" w:rsidR="006A47A7" w:rsidP="00F21189" w:rsidRDefault="006A47A7" w14:paraId="642AA6F9" w14:textId="586E5D08">
      <w:pPr>
        <w:rPr>
          <w:rFonts w:cs="Times New Roman"/>
          <w:lang w:val="nl-NL" w:eastAsia="ja-JP"/>
        </w:rPr>
      </w:pPr>
      <w:proofErr w:type="spellStart"/>
      <w:r w:rsidRPr="002D4E18">
        <w:rPr>
          <w:rFonts w:cs="Times New Roman"/>
          <w:i/>
          <w:lang w:val="nl-NL" w:eastAsia="ja-JP"/>
        </w:rPr>
        <w:lastRenderedPageBreak/>
        <w:t>Plurilatera</w:t>
      </w:r>
      <w:r w:rsidRPr="002D4E18" w:rsidR="006F68B4">
        <w:rPr>
          <w:rFonts w:cs="Times New Roman"/>
          <w:i/>
          <w:lang w:val="nl-NL" w:eastAsia="ja-JP"/>
        </w:rPr>
        <w:t>a</w:t>
      </w:r>
      <w:r w:rsidRPr="002D4E18">
        <w:rPr>
          <w:rFonts w:cs="Times New Roman"/>
          <w:i/>
          <w:lang w:val="nl-NL" w:eastAsia="ja-JP"/>
        </w:rPr>
        <w:t>l</w:t>
      </w:r>
      <w:proofErr w:type="spellEnd"/>
      <w:r w:rsidRPr="002D4E18">
        <w:rPr>
          <w:rFonts w:cs="Times New Roman"/>
          <w:i/>
          <w:lang w:val="nl-NL" w:eastAsia="ja-JP"/>
        </w:rPr>
        <w:t xml:space="preserve"> akkoord</w:t>
      </w:r>
      <w:r w:rsidRPr="002D4E18" w:rsidR="006F68B4">
        <w:rPr>
          <w:rFonts w:cs="Times New Roman"/>
          <w:i/>
          <w:lang w:val="nl-NL" w:eastAsia="ja-JP"/>
        </w:rPr>
        <w:t>:</w:t>
      </w:r>
      <w:r w:rsidRPr="002D4E18">
        <w:rPr>
          <w:rFonts w:cs="Times New Roman"/>
          <w:lang w:val="nl-NL" w:eastAsia="ja-JP"/>
        </w:rPr>
        <w:t xml:space="preserve"> </w:t>
      </w:r>
      <w:r w:rsidRPr="002D4E18">
        <w:rPr>
          <w:rFonts w:cs="Times New Roman"/>
          <w:i/>
          <w:lang w:val="nl-NL" w:eastAsia="ja-JP"/>
        </w:rPr>
        <w:t>E-commerce</w:t>
      </w:r>
      <w:r w:rsidRPr="002D4E18" w:rsidR="00BD5C4E">
        <w:rPr>
          <w:rFonts w:cs="Times New Roman"/>
          <w:i/>
          <w:lang w:val="nl-NL" w:eastAsia="ja-JP"/>
        </w:rPr>
        <w:t xml:space="preserve"> Agreement</w:t>
      </w:r>
      <w:r w:rsidRPr="002D4E18" w:rsidR="00BD5C4E">
        <w:rPr>
          <w:rFonts w:cs="Times New Roman"/>
          <w:lang w:val="nl-NL" w:eastAsia="ja-JP"/>
        </w:rPr>
        <w:t xml:space="preserve"> (ECA)</w:t>
      </w:r>
    </w:p>
    <w:p w:rsidRPr="00C34BF4" w:rsidR="006A47A7" w:rsidP="00F21189" w:rsidRDefault="00920C63" w14:paraId="148F5014" w14:textId="7F8B506C">
      <w:pPr>
        <w:rPr>
          <w:rFonts w:cs="Times New Roman"/>
          <w:lang w:val="nl-NL" w:eastAsia="ja-JP"/>
        </w:rPr>
      </w:pPr>
      <w:r>
        <w:rPr>
          <w:rFonts w:cs="Times New Roman"/>
          <w:lang w:val="nl-NL" w:eastAsia="ja-JP"/>
        </w:rPr>
        <w:t xml:space="preserve">De </w:t>
      </w:r>
      <w:r w:rsidRPr="008D7F6C">
        <w:rPr>
          <w:rFonts w:cs="Times New Roman"/>
          <w:lang w:val="nl-NL" w:eastAsia="ja-JP"/>
        </w:rPr>
        <w:t>e-commerce</w:t>
      </w:r>
      <w:r w:rsidR="00C90DD4">
        <w:rPr>
          <w:rFonts w:cs="Times New Roman"/>
          <w:lang w:val="nl-NL" w:eastAsia="ja-JP"/>
        </w:rPr>
        <w:t xml:space="preserve"> </w:t>
      </w:r>
      <w:r>
        <w:rPr>
          <w:rFonts w:cs="Times New Roman"/>
          <w:lang w:val="nl-NL" w:eastAsia="ja-JP"/>
        </w:rPr>
        <w:t xml:space="preserve">overeenkomst (voorheen bekend als </w:t>
      </w:r>
      <w:r w:rsidRPr="008D7F6C">
        <w:rPr>
          <w:rFonts w:cs="Times New Roman"/>
          <w:i/>
          <w:lang w:val="nl-NL" w:eastAsia="ja-JP"/>
        </w:rPr>
        <w:t xml:space="preserve">Joint Statement </w:t>
      </w:r>
      <w:proofErr w:type="spellStart"/>
      <w:r w:rsidRPr="008D7F6C">
        <w:rPr>
          <w:rFonts w:cs="Times New Roman"/>
          <w:i/>
          <w:lang w:val="nl-NL" w:eastAsia="ja-JP"/>
        </w:rPr>
        <w:t>Initiative</w:t>
      </w:r>
      <w:proofErr w:type="spellEnd"/>
      <w:r w:rsidRPr="008D7F6C">
        <w:rPr>
          <w:rFonts w:cs="Times New Roman"/>
          <w:lang w:val="nl-NL" w:eastAsia="ja-JP"/>
        </w:rPr>
        <w:t>) gaat over het ontwikkelen van WTO-afspraken en -regels voor digitaal en elektronisch handelsverkeer, zoals grensoverschrijdende datastromen, broncode</w:t>
      </w:r>
      <w:r>
        <w:rPr>
          <w:rFonts w:cs="Times New Roman"/>
          <w:lang w:val="nl-NL" w:eastAsia="ja-JP"/>
        </w:rPr>
        <w:t xml:space="preserve"> en</w:t>
      </w:r>
      <w:r w:rsidRPr="008D7F6C">
        <w:rPr>
          <w:rFonts w:cs="Times New Roman"/>
          <w:lang w:val="nl-NL" w:eastAsia="ja-JP"/>
        </w:rPr>
        <w:t xml:space="preserve"> elektronische contracten online.</w:t>
      </w:r>
      <w:r>
        <w:rPr>
          <w:rFonts w:cs="Times New Roman"/>
          <w:lang w:val="nl-NL" w:eastAsia="ja-JP"/>
        </w:rPr>
        <w:t xml:space="preserve"> </w:t>
      </w:r>
      <w:r w:rsidRPr="00F82D04" w:rsidR="00261D62">
        <w:rPr>
          <w:rFonts w:cs="Times New Roman"/>
          <w:lang w:val="nl-NL" w:eastAsia="ja-JP"/>
        </w:rPr>
        <w:t xml:space="preserve">De </w:t>
      </w:r>
      <w:r w:rsidRPr="00F82D04" w:rsidR="00A94BA8">
        <w:rPr>
          <w:rFonts w:cs="Times New Roman"/>
          <w:lang w:val="nl-NL" w:eastAsia="ja-JP"/>
        </w:rPr>
        <w:t>66 WTO-</w:t>
      </w:r>
      <w:r w:rsidRPr="00F82D04" w:rsidR="00261D62">
        <w:rPr>
          <w:rFonts w:cs="Times New Roman"/>
          <w:lang w:val="nl-NL" w:eastAsia="ja-JP"/>
        </w:rPr>
        <w:t>lidstaten die deelnemen aan ECA hebben in Yaoundé een verklaring gepubliceerd wa</w:t>
      </w:r>
      <w:r w:rsidRPr="00F82D04" w:rsidR="00DB43B8">
        <w:rPr>
          <w:rFonts w:cs="Times New Roman"/>
          <w:lang w:val="nl-NL" w:eastAsia="ja-JP"/>
        </w:rPr>
        <w:t>a</w:t>
      </w:r>
      <w:r w:rsidRPr="00F82D04" w:rsidR="00261D62">
        <w:rPr>
          <w:rFonts w:cs="Times New Roman"/>
          <w:lang w:val="nl-NL" w:eastAsia="ja-JP"/>
        </w:rPr>
        <w:t xml:space="preserve">rin ze aangeven dat ze het akkoord op voorlopige basis buiten de WTO in werking laten treden na ratificatie door </w:t>
      </w:r>
      <w:r w:rsidR="002A3CA3">
        <w:rPr>
          <w:rFonts w:cs="Times New Roman"/>
          <w:lang w:val="nl-NL" w:eastAsia="ja-JP"/>
        </w:rPr>
        <w:t xml:space="preserve">tenminste </w:t>
      </w:r>
      <w:r w:rsidRPr="00F82D04" w:rsidR="00261D62">
        <w:rPr>
          <w:rFonts w:cs="Times New Roman"/>
          <w:lang w:val="nl-NL" w:eastAsia="ja-JP"/>
        </w:rPr>
        <w:t>45 landen.</w:t>
      </w:r>
      <w:r w:rsidRPr="00F82D04" w:rsidR="00727404">
        <w:rPr>
          <w:rStyle w:val="FootnoteReference"/>
          <w:rFonts w:cs="Times New Roman"/>
          <w:lang w:val="nl-NL" w:eastAsia="ja-JP"/>
        </w:rPr>
        <w:footnoteReference w:id="3"/>
      </w:r>
      <w:r w:rsidRPr="00F82D04" w:rsidR="00261D62">
        <w:rPr>
          <w:rFonts w:cs="Times New Roman"/>
          <w:lang w:val="nl-NL" w:eastAsia="ja-JP"/>
        </w:rPr>
        <w:t xml:space="preserve"> Deze </w:t>
      </w:r>
      <w:r w:rsidRPr="005A0A5D" w:rsidR="00261D62">
        <w:rPr>
          <w:rFonts w:cs="Times New Roman"/>
          <w:lang w:val="nl-NL" w:eastAsia="ja-JP"/>
        </w:rPr>
        <w:t>inwerkingtreding</w:t>
      </w:r>
      <w:r w:rsidRPr="00F82D04" w:rsidR="00261D62">
        <w:rPr>
          <w:rFonts w:cs="Times New Roman"/>
          <w:lang w:val="nl-NL" w:eastAsia="ja-JP"/>
        </w:rPr>
        <w:t xml:space="preserve"> zal als interim-oplossing dienen, aangezien het doel blijft om ECA </w:t>
      </w:r>
      <w:r w:rsidR="002A3CA3">
        <w:rPr>
          <w:rFonts w:cs="Times New Roman"/>
          <w:lang w:val="nl-NL" w:eastAsia="ja-JP"/>
        </w:rPr>
        <w:t>uiteindelijk</w:t>
      </w:r>
      <w:r w:rsidRPr="005A0A5D" w:rsidR="00261D62">
        <w:rPr>
          <w:rFonts w:cs="Times New Roman"/>
          <w:lang w:val="nl-NL" w:eastAsia="ja-JP"/>
        </w:rPr>
        <w:t xml:space="preserve"> </w:t>
      </w:r>
      <w:r w:rsidRPr="00F82D04" w:rsidR="00261D62">
        <w:rPr>
          <w:rFonts w:cs="Times New Roman"/>
          <w:lang w:val="nl-NL" w:eastAsia="ja-JP"/>
        </w:rPr>
        <w:t>binnen het WTO-</w:t>
      </w:r>
      <w:proofErr w:type="spellStart"/>
      <w:r w:rsidRPr="00F82D04" w:rsidR="00261D62">
        <w:rPr>
          <w:rFonts w:cs="Times New Roman"/>
          <w:i/>
          <w:lang w:val="nl-NL" w:eastAsia="ja-JP"/>
        </w:rPr>
        <w:t>acquis</w:t>
      </w:r>
      <w:proofErr w:type="spellEnd"/>
      <w:r w:rsidRPr="00F82D04" w:rsidR="00261D62">
        <w:rPr>
          <w:rFonts w:cs="Times New Roman"/>
          <w:lang w:val="nl-NL" w:eastAsia="ja-JP"/>
        </w:rPr>
        <w:t xml:space="preserve"> op te nemen.    </w:t>
      </w:r>
    </w:p>
    <w:p w:rsidRPr="002D4E18" w:rsidR="006A47A7" w:rsidP="00F21189" w:rsidRDefault="006A47A7" w14:paraId="6699C7CC" w14:textId="6350E768">
      <w:pPr>
        <w:rPr>
          <w:rFonts w:cs="Times New Roman"/>
          <w:i/>
          <w:lang w:val="nl-NL" w:eastAsia="ja-JP"/>
        </w:rPr>
      </w:pPr>
      <w:r w:rsidRPr="002D4E18">
        <w:rPr>
          <w:rFonts w:cs="Times New Roman"/>
          <w:i/>
          <w:lang w:val="nl-NL" w:eastAsia="ja-JP"/>
        </w:rPr>
        <w:t>Landbouw</w:t>
      </w:r>
    </w:p>
    <w:p w:rsidRPr="00C34BF4" w:rsidR="00F73976" w:rsidP="00F21189" w:rsidRDefault="009F0322" w14:paraId="25B14F3D" w14:textId="3F835A2A">
      <w:pPr>
        <w:rPr>
          <w:rFonts w:cs="Times New Roman"/>
          <w:lang w:val="nl-NL" w:eastAsia="ja-JP"/>
        </w:rPr>
      </w:pPr>
      <w:r w:rsidRPr="00F82D04">
        <w:rPr>
          <w:rFonts w:cs="Times New Roman"/>
          <w:lang w:val="nl-NL" w:eastAsia="ja-JP"/>
        </w:rPr>
        <w:t xml:space="preserve">Voor veel WTO-leden, met name ontwikkelingslanden, is het van groot belang dat er voortgang wordt geboekt op de reeds </w:t>
      </w:r>
      <w:r w:rsidRPr="005A0A5D">
        <w:rPr>
          <w:rFonts w:cs="Times New Roman"/>
          <w:lang w:val="nl-NL" w:eastAsia="ja-JP"/>
        </w:rPr>
        <w:t>lang</w:t>
      </w:r>
      <w:r w:rsidR="002A3CA3">
        <w:rPr>
          <w:rFonts w:cs="Times New Roman"/>
          <w:lang w:val="nl-NL" w:eastAsia="ja-JP"/>
        </w:rPr>
        <w:t xml:space="preserve"> </w:t>
      </w:r>
      <w:r w:rsidRPr="005A0A5D">
        <w:rPr>
          <w:rFonts w:cs="Times New Roman"/>
          <w:lang w:val="nl-NL" w:eastAsia="ja-JP"/>
        </w:rPr>
        <w:t>lopende</w:t>
      </w:r>
      <w:r w:rsidRPr="00F82D04">
        <w:rPr>
          <w:rFonts w:cs="Times New Roman"/>
          <w:lang w:val="nl-NL" w:eastAsia="ja-JP"/>
        </w:rPr>
        <w:t xml:space="preserve"> onderhandelingen aangaande het aannemen van een werkprogramma over hervormingen van landbouwafspraken. Ondanks een constructieve houding van de EU is er </w:t>
      </w:r>
      <w:r w:rsidR="002A3CA3">
        <w:rPr>
          <w:rFonts w:cs="Times New Roman"/>
          <w:lang w:val="nl-NL" w:eastAsia="ja-JP"/>
        </w:rPr>
        <w:t>tijdens</w:t>
      </w:r>
      <w:r w:rsidRPr="00F82D04">
        <w:rPr>
          <w:rFonts w:cs="Times New Roman"/>
          <w:lang w:val="nl-NL" w:eastAsia="ja-JP"/>
        </w:rPr>
        <w:t xml:space="preserve"> MC14 geen consensus bereikt over een </w:t>
      </w:r>
      <w:r w:rsidRPr="005A0A5D">
        <w:rPr>
          <w:rFonts w:cs="Times New Roman"/>
          <w:lang w:val="nl-NL" w:eastAsia="ja-JP"/>
        </w:rPr>
        <w:t>ministeri</w:t>
      </w:r>
      <w:r w:rsidR="002F7B54">
        <w:rPr>
          <w:rFonts w:cs="Times New Roman"/>
          <w:lang w:val="nl-NL" w:eastAsia="ja-JP"/>
        </w:rPr>
        <w:t>ë</w:t>
      </w:r>
      <w:r w:rsidRPr="005A0A5D">
        <w:rPr>
          <w:rFonts w:cs="Times New Roman"/>
          <w:lang w:val="nl-NL" w:eastAsia="ja-JP"/>
        </w:rPr>
        <w:t>l</w:t>
      </w:r>
      <w:r w:rsidR="002A3CA3">
        <w:rPr>
          <w:rFonts w:cs="Times New Roman"/>
          <w:lang w:val="nl-NL" w:eastAsia="ja-JP"/>
        </w:rPr>
        <w:t>e verklaring of</w:t>
      </w:r>
      <w:r w:rsidRPr="00F82D04">
        <w:rPr>
          <w:rFonts w:cs="Times New Roman"/>
          <w:lang w:val="nl-NL" w:eastAsia="ja-JP"/>
        </w:rPr>
        <w:t xml:space="preserve"> besluit op dit terrein. </w:t>
      </w:r>
    </w:p>
    <w:p w:rsidRPr="002D4E18" w:rsidR="00BD5C4E" w:rsidP="00F21189" w:rsidRDefault="00BD5C4E" w14:paraId="14C425CC" w14:textId="688C368B">
      <w:pPr>
        <w:rPr>
          <w:rFonts w:cs="Times New Roman"/>
          <w:i/>
          <w:lang w:val="nl-NL" w:eastAsia="ja-JP"/>
        </w:rPr>
      </w:pPr>
      <w:r w:rsidRPr="002D4E18">
        <w:rPr>
          <w:rFonts w:cs="Times New Roman"/>
          <w:i/>
          <w:lang w:val="nl-NL" w:eastAsia="ja-JP"/>
        </w:rPr>
        <w:t>Bilaterale gesprekken en door Nederland georganiseerde events</w:t>
      </w:r>
    </w:p>
    <w:p w:rsidRPr="00C34BF4" w:rsidR="00F21189" w:rsidP="00F21189" w:rsidRDefault="002A3CA3" w14:paraId="1A869027" w14:textId="3D58B3FF">
      <w:pPr>
        <w:rPr>
          <w:rFonts w:cs="Times New Roman"/>
          <w:lang w:val="nl-NL" w:eastAsia="ja-JP"/>
        </w:rPr>
      </w:pPr>
      <w:r>
        <w:rPr>
          <w:rFonts w:cs="Times New Roman"/>
          <w:lang w:val="nl-NL" w:eastAsia="ja-JP"/>
        </w:rPr>
        <w:t xml:space="preserve">En marge van de WTO conferentie zijn door Nederland bilaterale gesprekken gevoerd met ongeveer 15 andere </w:t>
      </w:r>
      <w:r w:rsidRPr="004348C6">
        <w:rPr>
          <w:rFonts w:cs="Times New Roman"/>
          <w:lang w:val="nl-NL" w:eastAsia="ja-JP"/>
        </w:rPr>
        <w:t>landen</w:t>
      </w:r>
      <w:r w:rsidRPr="004348C6" w:rsidR="00055058">
        <w:rPr>
          <w:rFonts w:cs="Times New Roman"/>
          <w:lang w:val="nl-NL" w:eastAsia="ja-JP"/>
        </w:rPr>
        <w:t>, waaronder China, Turkije, India en Zuid-Korea</w:t>
      </w:r>
      <w:r w:rsidRPr="004348C6">
        <w:rPr>
          <w:rFonts w:cs="Times New Roman"/>
          <w:lang w:val="nl-NL" w:eastAsia="ja-JP"/>
        </w:rPr>
        <w:t>.</w:t>
      </w:r>
      <w:r w:rsidRPr="004348C6" w:rsidR="007821EA">
        <w:rPr>
          <w:rFonts w:cs="Times New Roman"/>
          <w:lang w:val="nl-NL" w:eastAsia="ja-JP"/>
        </w:rPr>
        <w:t xml:space="preserve"> </w:t>
      </w:r>
      <w:r w:rsidRPr="004348C6" w:rsidR="00E223E0">
        <w:rPr>
          <w:rFonts w:cs="Times New Roman"/>
          <w:lang w:val="nl-NL" w:eastAsia="ja-JP"/>
        </w:rPr>
        <w:t>Voorts</w:t>
      </w:r>
      <w:r w:rsidRPr="005A0A5D" w:rsidR="00E223E0">
        <w:rPr>
          <w:rFonts w:cs="Times New Roman"/>
          <w:lang w:val="nl-NL" w:eastAsia="ja-JP"/>
        </w:rPr>
        <w:t xml:space="preserve"> </w:t>
      </w:r>
      <w:r w:rsidRPr="005A0A5D" w:rsidR="0034286E">
        <w:rPr>
          <w:rFonts w:cs="Times New Roman"/>
          <w:lang w:val="nl-NL" w:eastAsia="ja-JP"/>
        </w:rPr>
        <w:t xml:space="preserve">organiseerde </w:t>
      </w:r>
      <w:r w:rsidRPr="005A0A5D" w:rsidR="00E223E0">
        <w:rPr>
          <w:rFonts w:cs="Times New Roman"/>
          <w:lang w:val="nl-NL" w:eastAsia="ja-JP"/>
        </w:rPr>
        <w:t>N</w:t>
      </w:r>
      <w:r w:rsidRPr="005A0A5D" w:rsidR="0034286E">
        <w:rPr>
          <w:rFonts w:cs="Times New Roman"/>
          <w:lang w:val="nl-NL" w:eastAsia="ja-JP"/>
        </w:rPr>
        <w:t xml:space="preserve">ederland </w:t>
      </w:r>
      <w:r w:rsidRPr="00F82D04" w:rsidR="0034286E">
        <w:rPr>
          <w:rFonts w:cs="Times New Roman"/>
          <w:lang w:val="nl-NL" w:eastAsia="ja-JP"/>
        </w:rPr>
        <w:t>twee side-events</w:t>
      </w:r>
      <w:r w:rsidRPr="00F82D04" w:rsidR="00D14E0A">
        <w:rPr>
          <w:rFonts w:cs="Times New Roman"/>
          <w:lang w:val="nl-NL" w:eastAsia="ja-JP"/>
        </w:rPr>
        <w:t xml:space="preserve"> en marge</w:t>
      </w:r>
      <w:r w:rsidRPr="00F82D04" w:rsidR="0034286E">
        <w:rPr>
          <w:rFonts w:cs="Times New Roman"/>
          <w:lang w:val="nl-NL" w:eastAsia="ja-JP"/>
        </w:rPr>
        <w:t xml:space="preserve"> van </w:t>
      </w:r>
      <w:r w:rsidRPr="00F82D04" w:rsidR="00D14E0A">
        <w:rPr>
          <w:rFonts w:cs="Times New Roman"/>
          <w:lang w:val="nl-NL" w:eastAsia="ja-JP"/>
        </w:rPr>
        <w:t>MC14</w:t>
      </w:r>
      <w:r w:rsidRPr="00F82D04" w:rsidR="00E223E0">
        <w:rPr>
          <w:rFonts w:cs="Times New Roman"/>
          <w:lang w:val="nl-NL" w:eastAsia="ja-JP"/>
        </w:rPr>
        <w:t xml:space="preserve">, namelijk 1) </w:t>
      </w:r>
      <w:r w:rsidRPr="00F82D04" w:rsidR="00AE245D">
        <w:rPr>
          <w:rFonts w:cs="Times New Roman"/>
          <w:lang w:val="nl-NL" w:eastAsia="ja-JP"/>
        </w:rPr>
        <w:t xml:space="preserve">in </w:t>
      </w:r>
      <w:r w:rsidRPr="005A0A5D" w:rsidR="00AE245D">
        <w:rPr>
          <w:rFonts w:cs="Times New Roman"/>
          <w:lang w:val="nl-NL" w:eastAsia="ja-JP"/>
        </w:rPr>
        <w:t xml:space="preserve">samenwerking met </w:t>
      </w:r>
      <w:r w:rsidRPr="00F82D04" w:rsidR="00AE245D">
        <w:rPr>
          <w:rFonts w:cs="Times New Roman"/>
          <w:lang w:val="nl-NL" w:eastAsia="ja-JP"/>
        </w:rPr>
        <w:t>Duitsland</w:t>
      </w:r>
      <w:r w:rsidRPr="00F82D04" w:rsidR="00C52616">
        <w:rPr>
          <w:rFonts w:cs="Times New Roman"/>
          <w:lang w:val="nl-NL" w:eastAsia="ja-JP"/>
        </w:rPr>
        <w:t xml:space="preserve"> over </w:t>
      </w:r>
      <w:r w:rsidRPr="00F82D04" w:rsidR="00AB02AB">
        <w:rPr>
          <w:rFonts w:cs="Times New Roman"/>
          <w:lang w:val="nl-NL" w:eastAsia="ja-JP"/>
        </w:rPr>
        <w:t xml:space="preserve">het belang van </w:t>
      </w:r>
      <w:r w:rsidRPr="00F82D04" w:rsidR="00E223E0">
        <w:rPr>
          <w:rFonts w:cs="Times New Roman"/>
          <w:lang w:val="nl-NL" w:eastAsia="ja-JP"/>
        </w:rPr>
        <w:t xml:space="preserve">het </w:t>
      </w:r>
      <w:r w:rsidRPr="00F82D04" w:rsidR="00AB02AB">
        <w:rPr>
          <w:rFonts w:cs="Times New Roman"/>
          <w:lang w:val="nl-NL" w:eastAsia="ja-JP"/>
        </w:rPr>
        <w:t>gelijk</w:t>
      </w:r>
      <w:r w:rsidRPr="00F82D04" w:rsidR="00E223E0">
        <w:rPr>
          <w:rFonts w:cs="Times New Roman"/>
          <w:lang w:val="nl-NL" w:eastAsia="ja-JP"/>
        </w:rPr>
        <w:t>e</w:t>
      </w:r>
      <w:r w:rsidRPr="00F82D04" w:rsidR="00AB02AB">
        <w:rPr>
          <w:rFonts w:cs="Times New Roman"/>
          <w:lang w:val="nl-NL" w:eastAsia="ja-JP"/>
        </w:rPr>
        <w:t xml:space="preserve"> speelveld voor </w:t>
      </w:r>
      <w:r w:rsidRPr="00F82D04" w:rsidR="00C52616">
        <w:rPr>
          <w:rFonts w:cs="Times New Roman"/>
          <w:lang w:val="nl-NL" w:eastAsia="ja-JP"/>
        </w:rPr>
        <w:t>industriële subsidies</w:t>
      </w:r>
      <w:r w:rsidRPr="00F82D04" w:rsidR="00E223E0">
        <w:rPr>
          <w:rFonts w:cs="Times New Roman"/>
          <w:lang w:val="nl-NL" w:eastAsia="ja-JP"/>
        </w:rPr>
        <w:t>; en 2</w:t>
      </w:r>
      <w:r w:rsidRPr="005A0A5D" w:rsidR="00E223E0">
        <w:rPr>
          <w:rFonts w:cs="Times New Roman"/>
          <w:lang w:val="nl-NL" w:eastAsia="ja-JP"/>
        </w:rPr>
        <w:t>)</w:t>
      </w:r>
      <w:r w:rsidRPr="005A0A5D" w:rsidR="00C52616">
        <w:rPr>
          <w:rFonts w:cs="Times New Roman"/>
          <w:lang w:val="nl-NL" w:eastAsia="ja-JP"/>
        </w:rPr>
        <w:t xml:space="preserve"> in samenwerking met </w:t>
      </w:r>
      <w:r w:rsidRPr="005A0A5D" w:rsidR="00E223E0">
        <w:rPr>
          <w:rFonts w:cs="Times New Roman"/>
          <w:lang w:val="nl-NL" w:eastAsia="ja-JP"/>
        </w:rPr>
        <w:t xml:space="preserve">het </w:t>
      </w:r>
      <w:proofErr w:type="spellStart"/>
      <w:r w:rsidRPr="00F82D04" w:rsidR="00C52616">
        <w:rPr>
          <w:rFonts w:cs="Times New Roman"/>
          <w:i/>
          <w:lang w:val="nl-NL" w:eastAsia="ja-JP"/>
        </w:rPr>
        <w:t>Advisory</w:t>
      </w:r>
      <w:proofErr w:type="spellEnd"/>
      <w:r w:rsidRPr="00F82D04" w:rsidR="00C52616">
        <w:rPr>
          <w:rFonts w:cs="Times New Roman"/>
          <w:i/>
          <w:lang w:val="nl-NL" w:eastAsia="ja-JP"/>
        </w:rPr>
        <w:t xml:space="preserve"> Center </w:t>
      </w:r>
      <w:proofErr w:type="spellStart"/>
      <w:r w:rsidRPr="00F82D04" w:rsidR="00C52616">
        <w:rPr>
          <w:rFonts w:cs="Times New Roman"/>
          <w:i/>
          <w:lang w:val="nl-NL" w:eastAsia="ja-JP"/>
        </w:rPr>
        <w:t>for</w:t>
      </w:r>
      <w:proofErr w:type="spellEnd"/>
      <w:r w:rsidRPr="00F82D04" w:rsidR="00C52616">
        <w:rPr>
          <w:rFonts w:cs="Times New Roman"/>
          <w:i/>
          <w:lang w:val="nl-NL" w:eastAsia="ja-JP"/>
        </w:rPr>
        <w:t xml:space="preserve"> WTO </w:t>
      </w:r>
      <w:proofErr w:type="spellStart"/>
      <w:r w:rsidRPr="00F82D04" w:rsidR="00C52616">
        <w:rPr>
          <w:rFonts w:cs="Times New Roman"/>
          <w:i/>
          <w:lang w:val="nl-NL" w:eastAsia="ja-JP"/>
        </w:rPr>
        <w:t>Law</w:t>
      </w:r>
      <w:proofErr w:type="spellEnd"/>
      <w:r w:rsidRPr="00F82D04" w:rsidR="00C52616">
        <w:rPr>
          <w:rFonts w:cs="Times New Roman"/>
          <w:lang w:val="nl-NL" w:eastAsia="ja-JP"/>
        </w:rPr>
        <w:t xml:space="preserve"> (ACWL</w:t>
      </w:r>
      <w:r w:rsidRPr="005A0A5D" w:rsidR="00C52616">
        <w:rPr>
          <w:rFonts w:cs="Times New Roman"/>
          <w:lang w:val="nl-NL" w:eastAsia="ja-JP"/>
        </w:rPr>
        <w:t>)</w:t>
      </w:r>
      <w:r>
        <w:rPr>
          <w:rFonts w:cs="Times New Roman"/>
          <w:lang w:val="nl-NL" w:eastAsia="ja-JP"/>
        </w:rPr>
        <w:t xml:space="preserve"> ter gelegenheid van het 25-jarig bestaan van ACWL</w:t>
      </w:r>
      <w:r w:rsidRPr="005A0A5D" w:rsidR="00C52616">
        <w:rPr>
          <w:rFonts w:cs="Times New Roman"/>
          <w:lang w:val="nl-NL" w:eastAsia="ja-JP"/>
        </w:rPr>
        <w:t>.</w:t>
      </w:r>
      <w:r w:rsidRPr="00F82D04" w:rsidR="00C52616">
        <w:rPr>
          <w:rFonts w:cs="Times New Roman"/>
          <w:lang w:val="nl-NL" w:eastAsia="ja-JP"/>
        </w:rPr>
        <w:t xml:space="preserve"> </w:t>
      </w:r>
      <w:r w:rsidRPr="006A17BB" w:rsidR="00C52616">
        <w:rPr>
          <w:rFonts w:eastAsia="Times New Roman"/>
          <w:lang w:val="nl-NL"/>
        </w:rPr>
        <w:t xml:space="preserve">ACWL ondersteunt ontwikkelingslanden door juridisch advies </w:t>
      </w:r>
      <w:r w:rsidR="00855F9E">
        <w:rPr>
          <w:rFonts w:eastAsia="Times New Roman"/>
          <w:lang w:val="nl-NL"/>
        </w:rPr>
        <w:t>en trainingen aan</w:t>
      </w:r>
      <w:r w:rsidRPr="006A17BB" w:rsidR="00C52616">
        <w:rPr>
          <w:rFonts w:eastAsia="Times New Roman"/>
          <w:lang w:val="nl-NL"/>
        </w:rPr>
        <w:t xml:space="preserve"> te bieden </w:t>
      </w:r>
      <w:r>
        <w:rPr>
          <w:rFonts w:eastAsia="Times New Roman"/>
          <w:lang w:val="nl-NL"/>
        </w:rPr>
        <w:t>over het WTO-recht.</w:t>
      </w:r>
      <w:r w:rsidRPr="006A17BB" w:rsidR="00C52616">
        <w:rPr>
          <w:rFonts w:eastAsia="Times New Roman"/>
          <w:lang w:val="nl-NL"/>
        </w:rPr>
        <w:t xml:space="preserve"> </w:t>
      </w:r>
      <w:r w:rsidR="00E223E0">
        <w:rPr>
          <w:rFonts w:eastAsia="Times New Roman"/>
          <w:lang w:val="nl-NL"/>
        </w:rPr>
        <w:t xml:space="preserve">Nederland is </w:t>
      </w:r>
      <w:proofErr w:type="spellStart"/>
      <w:r w:rsidR="00E223E0">
        <w:rPr>
          <w:rFonts w:eastAsia="Times New Roman"/>
          <w:lang w:val="nl-NL"/>
        </w:rPr>
        <w:t>mede-oprichter</w:t>
      </w:r>
      <w:proofErr w:type="spellEnd"/>
      <w:r w:rsidR="00E223E0">
        <w:rPr>
          <w:rFonts w:eastAsia="Times New Roman"/>
          <w:lang w:val="nl-NL"/>
        </w:rPr>
        <w:t xml:space="preserve"> en langjarige donor van deze organisatie. </w:t>
      </w:r>
    </w:p>
    <w:p w:rsidRPr="00C34BF4" w:rsidR="00F21189" w:rsidP="00F21189" w:rsidRDefault="00E34CCD" w14:paraId="6727BB12" w14:textId="748E44FF">
      <w:pPr>
        <w:rPr>
          <w:rFonts w:cs="Times New Roman"/>
          <w:b/>
          <w:lang w:val="nl-NL"/>
        </w:rPr>
      </w:pPr>
      <w:r w:rsidRPr="00F82D04">
        <w:rPr>
          <w:rFonts w:cs="Times New Roman"/>
          <w:b/>
          <w:lang w:val="nl-NL"/>
        </w:rPr>
        <w:t xml:space="preserve">Appreciatie WTO MC14 </w:t>
      </w:r>
    </w:p>
    <w:p w:rsidRPr="00C34BF4" w:rsidR="00AD52DD" w:rsidP="00F21189" w:rsidRDefault="00835898" w14:paraId="51C4EB6D" w14:textId="73A30945">
      <w:pPr>
        <w:rPr>
          <w:rFonts w:cs="Times New Roman"/>
          <w:lang w:val="nl-NL"/>
        </w:rPr>
      </w:pPr>
      <w:r w:rsidRPr="00F82D04">
        <w:rPr>
          <w:rFonts w:cs="Times New Roman"/>
          <w:lang w:val="nl-NL"/>
        </w:rPr>
        <w:t>Ondanks dat MC14 tot enkele</w:t>
      </w:r>
      <w:r w:rsidRPr="005A0A5D">
        <w:rPr>
          <w:rFonts w:cs="Times New Roman"/>
          <w:lang w:val="nl-NL"/>
        </w:rPr>
        <w:t xml:space="preserve"> </w:t>
      </w:r>
      <w:r w:rsidRPr="00F82D04">
        <w:rPr>
          <w:rFonts w:cs="Times New Roman"/>
          <w:lang w:val="nl-NL"/>
        </w:rPr>
        <w:t>positieve uitkomsten heeft geleid</w:t>
      </w:r>
      <w:r w:rsidRPr="00F82D04" w:rsidR="00437985">
        <w:rPr>
          <w:rFonts w:cs="Times New Roman"/>
          <w:lang w:val="nl-NL"/>
        </w:rPr>
        <w:t xml:space="preserve">, </w:t>
      </w:r>
      <w:r w:rsidRPr="00F82D04" w:rsidR="00E223E0">
        <w:rPr>
          <w:rFonts w:cs="Times New Roman"/>
          <w:lang w:val="nl-NL"/>
        </w:rPr>
        <w:t xml:space="preserve">zoals </w:t>
      </w:r>
      <w:r w:rsidR="008D7F6C">
        <w:rPr>
          <w:rFonts w:cs="Times New Roman"/>
          <w:lang w:val="nl-NL"/>
        </w:rPr>
        <w:t>het streven toe te werken naar</w:t>
      </w:r>
      <w:r w:rsidR="00437985">
        <w:rPr>
          <w:rFonts w:cs="Times New Roman"/>
          <w:lang w:val="nl-NL"/>
        </w:rPr>
        <w:t xml:space="preserve"> </w:t>
      </w:r>
      <w:r w:rsidRPr="00F82D04" w:rsidR="00437985">
        <w:rPr>
          <w:rFonts w:cs="Times New Roman"/>
          <w:lang w:val="nl-NL"/>
        </w:rPr>
        <w:t xml:space="preserve">de </w:t>
      </w:r>
      <w:r w:rsidRPr="00F82D04">
        <w:rPr>
          <w:rFonts w:cs="Times New Roman"/>
          <w:lang w:val="nl-NL"/>
        </w:rPr>
        <w:t>interim</w:t>
      </w:r>
      <w:r w:rsidRPr="00F82D04" w:rsidR="00E223E0">
        <w:rPr>
          <w:rFonts w:cs="Times New Roman"/>
          <w:lang w:val="nl-NL"/>
        </w:rPr>
        <w:t>-</w:t>
      </w:r>
      <w:r w:rsidRPr="00F82D04">
        <w:rPr>
          <w:rFonts w:cs="Times New Roman"/>
          <w:lang w:val="nl-NL"/>
        </w:rPr>
        <w:t xml:space="preserve">inwerkingtreding </w:t>
      </w:r>
      <w:r w:rsidRPr="00F82D04" w:rsidR="00437985">
        <w:rPr>
          <w:rFonts w:cs="Times New Roman"/>
          <w:lang w:val="nl-NL"/>
        </w:rPr>
        <w:t>van ECA,</w:t>
      </w:r>
      <w:r w:rsidRPr="00F82D04" w:rsidR="00AD52DD">
        <w:rPr>
          <w:rFonts w:cs="Times New Roman"/>
          <w:lang w:val="nl-NL"/>
        </w:rPr>
        <w:t xml:space="preserve"> is het algehele resultaat teleurstellend. </w:t>
      </w:r>
      <w:r w:rsidRPr="00F82D04" w:rsidR="00044DA3">
        <w:rPr>
          <w:rFonts w:cs="Times New Roman"/>
          <w:lang w:val="nl-NL"/>
        </w:rPr>
        <w:t>Nederland</w:t>
      </w:r>
      <w:r w:rsidRPr="00F82D04" w:rsidR="00AD52DD">
        <w:rPr>
          <w:rFonts w:cs="Times New Roman"/>
          <w:lang w:val="nl-NL"/>
        </w:rPr>
        <w:t xml:space="preserve"> heeft zich</w:t>
      </w:r>
      <w:r w:rsidRPr="00F82D04" w:rsidR="00F962AA">
        <w:rPr>
          <w:rFonts w:cs="Times New Roman"/>
          <w:lang w:val="nl-NL"/>
        </w:rPr>
        <w:t xml:space="preserve">, in </w:t>
      </w:r>
      <w:r w:rsidRPr="00F82D04" w:rsidR="00044DA3">
        <w:rPr>
          <w:rFonts w:cs="Times New Roman"/>
          <w:lang w:val="nl-NL"/>
        </w:rPr>
        <w:t>zowel EU-verband als in bilaterale contacten</w:t>
      </w:r>
      <w:r w:rsidRPr="00F82D04" w:rsidR="00F962AA">
        <w:rPr>
          <w:rFonts w:cs="Times New Roman"/>
          <w:lang w:val="nl-NL"/>
        </w:rPr>
        <w:t>,</w:t>
      </w:r>
      <w:r w:rsidRPr="00F82D04" w:rsidR="00AD52DD">
        <w:rPr>
          <w:rFonts w:cs="Times New Roman"/>
          <w:lang w:val="nl-NL"/>
        </w:rPr>
        <w:t xml:space="preserve"> in de maanden voorafgaand aan MC14 en tijdens de conferentie nadrukkelijk </w:t>
      </w:r>
      <w:r w:rsidRPr="00F82D04" w:rsidR="00044DA3">
        <w:rPr>
          <w:rFonts w:cs="Times New Roman"/>
          <w:lang w:val="nl-NL"/>
        </w:rPr>
        <w:t>uitgesproken voor</w:t>
      </w:r>
      <w:r w:rsidRPr="00F82D04" w:rsidR="00AD52DD">
        <w:rPr>
          <w:rFonts w:cs="Times New Roman"/>
          <w:lang w:val="nl-NL"/>
        </w:rPr>
        <w:t xml:space="preserve"> een ambitieus </w:t>
      </w:r>
      <w:r w:rsidRPr="00F82D04" w:rsidR="00044DA3">
        <w:rPr>
          <w:rFonts w:cs="Times New Roman"/>
          <w:lang w:val="nl-NL"/>
        </w:rPr>
        <w:t>WTO-</w:t>
      </w:r>
      <w:r w:rsidRPr="00F82D04" w:rsidR="00AD52DD">
        <w:rPr>
          <w:rFonts w:cs="Times New Roman"/>
          <w:lang w:val="nl-NL"/>
        </w:rPr>
        <w:t xml:space="preserve">hervormingsplan, met daarin afspraken die het industrieel gelijk speelveld kunnen versterken en die bijdragen aan flexibelere besluitvorming binnen de WTO. </w:t>
      </w:r>
      <w:r w:rsidRPr="00F82D04" w:rsidR="00983CE5">
        <w:rPr>
          <w:rFonts w:cs="Times New Roman"/>
          <w:lang w:val="nl-NL"/>
        </w:rPr>
        <w:t>Een</w:t>
      </w:r>
      <w:r w:rsidRPr="00F82D04" w:rsidR="00AD52DD">
        <w:rPr>
          <w:rFonts w:cs="Times New Roman"/>
          <w:lang w:val="nl-NL"/>
        </w:rPr>
        <w:t xml:space="preserve"> </w:t>
      </w:r>
      <w:r w:rsidRPr="00F82D04" w:rsidR="00044DA3">
        <w:rPr>
          <w:rFonts w:cs="Times New Roman"/>
          <w:lang w:val="nl-NL"/>
        </w:rPr>
        <w:t xml:space="preserve">compromis </w:t>
      </w:r>
      <w:r w:rsidRPr="00F82D04" w:rsidR="00AD52DD">
        <w:rPr>
          <w:rFonts w:cs="Times New Roman"/>
          <w:lang w:val="nl-NL"/>
        </w:rPr>
        <w:t>akkoord over een breed gedragen</w:t>
      </w:r>
      <w:r w:rsidRPr="00F82D04" w:rsidR="00044DA3">
        <w:rPr>
          <w:rFonts w:cs="Times New Roman"/>
          <w:lang w:val="nl-NL"/>
        </w:rPr>
        <w:t xml:space="preserve"> verklaring over hervormingen</w:t>
      </w:r>
      <w:r w:rsidRPr="00F82D04" w:rsidR="00AD52DD">
        <w:rPr>
          <w:rFonts w:cs="Times New Roman"/>
          <w:lang w:val="nl-NL"/>
        </w:rPr>
        <w:t xml:space="preserve"> </w:t>
      </w:r>
      <w:r w:rsidRPr="00F82D04" w:rsidR="00983CE5">
        <w:rPr>
          <w:rFonts w:cs="Times New Roman"/>
          <w:lang w:val="nl-NL"/>
        </w:rPr>
        <w:t xml:space="preserve">leek </w:t>
      </w:r>
      <w:r w:rsidRPr="00F82D04" w:rsidR="00AD52DD">
        <w:rPr>
          <w:rFonts w:cs="Times New Roman"/>
          <w:lang w:val="nl-NL"/>
        </w:rPr>
        <w:t>binnen handbereik</w:t>
      </w:r>
      <w:r w:rsidRPr="00F82D04" w:rsidR="00983CE5">
        <w:rPr>
          <w:rFonts w:cs="Times New Roman"/>
          <w:lang w:val="nl-NL"/>
        </w:rPr>
        <w:t>, maar uiteindelijk bleek toch de</w:t>
      </w:r>
      <w:r w:rsidRPr="00F82D04" w:rsidR="00AD52DD">
        <w:rPr>
          <w:rFonts w:cs="Times New Roman"/>
          <w:lang w:val="nl-NL"/>
        </w:rPr>
        <w:t xml:space="preserve"> noodzakelijke consensus aan het einde van MC14 te ontbreken.</w:t>
      </w:r>
      <w:r w:rsidRPr="00F82D04" w:rsidR="00437985">
        <w:rPr>
          <w:rFonts w:cs="Times New Roman"/>
          <w:lang w:val="nl-NL"/>
        </w:rPr>
        <w:t xml:space="preserve"> Hetzelfde gold voor voortzetting van het e-commerce moratorium</w:t>
      </w:r>
      <w:r w:rsidRPr="005A0A5D" w:rsidR="00437985">
        <w:rPr>
          <w:rFonts w:cs="Times New Roman"/>
          <w:lang w:val="nl-NL"/>
        </w:rPr>
        <w:t>.</w:t>
      </w:r>
    </w:p>
    <w:p w:rsidRPr="002D4E18" w:rsidR="00E223E0" w:rsidRDefault="00AD52DD" w14:paraId="44BF0719" w14:textId="50A78258">
      <w:pPr>
        <w:rPr>
          <w:rFonts w:cs="Times New Roman"/>
          <w:lang w:val="nl-NL"/>
        </w:rPr>
      </w:pPr>
      <w:r w:rsidRPr="00F82D04">
        <w:rPr>
          <w:rFonts w:cs="Times New Roman"/>
          <w:lang w:val="nl-NL"/>
        </w:rPr>
        <w:t>Dat het niet is gelukt op deze</w:t>
      </w:r>
      <w:r w:rsidRPr="00F82D04" w:rsidR="00B93FAE">
        <w:rPr>
          <w:rFonts w:cs="Times New Roman"/>
          <w:lang w:val="nl-NL"/>
        </w:rPr>
        <w:t xml:space="preserve"> belangrijke</w:t>
      </w:r>
      <w:r w:rsidRPr="00F82D04">
        <w:rPr>
          <w:rFonts w:cs="Times New Roman"/>
          <w:lang w:val="nl-NL"/>
        </w:rPr>
        <w:t xml:space="preserve"> onderwerpen overeenstemming </w:t>
      </w:r>
      <w:r w:rsidRPr="00F82D04" w:rsidR="00B93FAE">
        <w:rPr>
          <w:rFonts w:cs="Times New Roman"/>
          <w:lang w:val="nl-NL"/>
        </w:rPr>
        <w:t xml:space="preserve">te bereiken, </w:t>
      </w:r>
      <w:r w:rsidRPr="00F82D04">
        <w:rPr>
          <w:rFonts w:cs="Times New Roman"/>
          <w:lang w:val="nl-NL"/>
        </w:rPr>
        <w:t xml:space="preserve">toont de </w:t>
      </w:r>
      <w:r w:rsidRPr="00F82D04" w:rsidR="00983CE5">
        <w:rPr>
          <w:rFonts w:cs="Times New Roman"/>
          <w:lang w:val="nl-NL"/>
        </w:rPr>
        <w:t xml:space="preserve">complexe situatie </w:t>
      </w:r>
      <w:r w:rsidRPr="00F82D04">
        <w:rPr>
          <w:rFonts w:cs="Times New Roman"/>
          <w:lang w:val="nl-NL"/>
        </w:rPr>
        <w:t>waar</w:t>
      </w:r>
      <w:r w:rsidRPr="00F82D04" w:rsidR="00534C22">
        <w:rPr>
          <w:rFonts w:cs="Times New Roman"/>
          <w:lang w:val="nl-NL"/>
        </w:rPr>
        <w:t>in</w:t>
      </w:r>
      <w:r w:rsidRPr="00F82D04">
        <w:rPr>
          <w:rFonts w:cs="Times New Roman"/>
          <w:lang w:val="nl-NL"/>
        </w:rPr>
        <w:t xml:space="preserve"> de WTO en het multilaterale handelssysteem </w:t>
      </w:r>
      <w:r w:rsidRPr="00F82D04" w:rsidR="00534C22">
        <w:rPr>
          <w:rFonts w:cs="Times New Roman"/>
          <w:lang w:val="nl-NL"/>
        </w:rPr>
        <w:t>momenteel in verkeren</w:t>
      </w:r>
      <w:r w:rsidRPr="00F82D04">
        <w:rPr>
          <w:rFonts w:cs="Times New Roman"/>
          <w:lang w:val="nl-NL"/>
        </w:rPr>
        <w:t xml:space="preserve">. Het belang </w:t>
      </w:r>
      <w:r w:rsidRPr="00F82D04" w:rsidR="00044DA3">
        <w:rPr>
          <w:rFonts w:cs="Times New Roman"/>
          <w:lang w:val="nl-NL"/>
        </w:rPr>
        <w:t>van</w:t>
      </w:r>
      <w:r w:rsidRPr="00F82D04">
        <w:rPr>
          <w:rFonts w:cs="Times New Roman"/>
          <w:lang w:val="nl-NL"/>
        </w:rPr>
        <w:t xml:space="preserve"> hervormingen </w:t>
      </w:r>
      <w:r w:rsidRPr="00F82D04" w:rsidR="00B93FAE">
        <w:rPr>
          <w:rFonts w:cs="Times New Roman"/>
          <w:lang w:val="nl-NL"/>
        </w:rPr>
        <w:t>ter versterking en modernisering van het multilaterale</w:t>
      </w:r>
      <w:r w:rsidRPr="00F82D04">
        <w:rPr>
          <w:rFonts w:cs="Times New Roman"/>
          <w:lang w:val="nl-NL"/>
        </w:rPr>
        <w:t xml:space="preserve"> handelssysteem</w:t>
      </w:r>
      <w:r w:rsidRPr="00F82D04" w:rsidR="00B93FAE">
        <w:rPr>
          <w:rFonts w:cs="Times New Roman"/>
          <w:lang w:val="nl-NL"/>
        </w:rPr>
        <w:t xml:space="preserve"> </w:t>
      </w:r>
      <w:r w:rsidRPr="00F82D04">
        <w:rPr>
          <w:rFonts w:cs="Times New Roman"/>
          <w:lang w:val="nl-NL"/>
        </w:rPr>
        <w:t xml:space="preserve">wordt </w:t>
      </w:r>
      <w:r w:rsidRPr="00F82D04" w:rsidR="00044DA3">
        <w:rPr>
          <w:rFonts w:cs="Times New Roman"/>
          <w:lang w:val="nl-NL"/>
        </w:rPr>
        <w:t>door veel WTO-</w:t>
      </w:r>
      <w:r w:rsidR="008D7F6C">
        <w:rPr>
          <w:rFonts w:cs="Times New Roman"/>
          <w:lang w:val="nl-NL"/>
        </w:rPr>
        <w:t>leden</w:t>
      </w:r>
      <w:r w:rsidRPr="00F82D04" w:rsidR="00044DA3">
        <w:rPr>
          <w:rFonts w:cs="Times New Roman"/>
          <w:lang w:val="nl-NL"/>
        </w:rPr>
        <w:t xml:space="preserve"> erken</w:t>
      </w:r>
      <w:r w:rsidRPr="00F82D04" w:rsidR="3338D8FE">
        <w:rPr>
          <w:rFonts w:cs="Times New Roman"/>
          <w:lang w:val="nl-NL"/>
        </w:rPr>
        <w:t>d</w:t>
      </w:r>
      <w:r w:rsidRPr="00F82D04" w:rsidR="005F3460">
        <w:rPr>
          <w:rFonts w:cs="Times New Roman"/>
          <w:lang w:val="nl-NL"/>
        </w:rPr>
        <w:t>. M</w:t>
      </w:r>
      <w:r w:rsidRPr="00F82D04">
        <w:rPr>
          <w:rFonts w:cs="Times New Roman"/>
          <w:lang w:val="nl-NL"/>
        </w:rPr>
        <w:t xml:space="preserve">aar vanwege </w:t>
      </w:r>
      <w:r w:rsidRPr="00F82D04" w:rsidR="00B93FAE">
        <w:rPr>
          <w:rFonts w:cs="Times New Roman"/>
          <w:lang w:val="nl-NL"/>
        </w:rPr>
        <w:t>aanhoudende</w:t>
      </w:r>
      <w:r w:rsidRPr="00F82D04">
        <w:rPr>
          <w:rFonts w:cs="Times New Roman"/>
          <w:lang w:val="nl-NL"/>
        </w:rPr>
        <w:t xml:space="preserve"> belangen</w:t>
      </w:r>
      <w:r w:rsidRPr="00F82D04" w:rsidR="00B93FAE">
        <w:rPr>
          <w:rFonts w:cs="Times New Roman"/>
          <w:lang w:val="nl-NL"/>
        </w:rPr>
        <w:t>conflicten</w:t>
      </w:r>
      <w:r w:rsidRPr="00F82D04" w:rsidR="00044DA3">
        <w:rPr>
          <w:rFonts w:cs="Times New Roman"/>
          <w:lang w:val="nl-NL"/>
        </w:rPr>
        <w:t>,</w:t>
      </w:r>
      <w:r w:rsidRPr="00F82D04">
        <w:rPr>
          <w:rFonts w:cs="Times New Roman"/>
          <w:lang w:val="nl-NL"/>
        </w:rPr>
        <w:t xml:space="preserve"> </w:t>
      </w:r>
      <w:r w:rsidRPr="00F82D04" w:rsidR="00044DA3">
        <w:rPr>
          <w:rFonts w:cs="Times New Roman"/>
          <w:lang w:val="nl-NL"/>
        </w:rPr>
        <w:t>in combinatie met</w:t>
      </w:r>
      <w:r w:rsidRPr="00F82D04" w:rsidR="00B93FAE">
        <w:rPr>
          <w:rFonts w:cs="Times New Roman"/>
          <w:lang w:val="nl-NL"/>
        </w:rPr>
        <w:t xml:space="preserve"> een WTO-besluitvormingssysteem waarin één land een uitkomst kan blokkeren</w:t>
      </w:r>
      <w:r w:rsidRPr="00F82D04" w:rsidR="00C111A6">
        <w:rPr>
          <w:rFonts w:cs="Times New Roman"/>
          <w:lang w:val="nl-NL"/>
        </w:rPr>
        <w:t>,</w:t>
      </w:r>
      <w:r w:rsidRPr="00F82D04" w:rsidR="00B93FAE">
        <w:rPr>
          <w:rFonts w:cs="Times New Roman"/>
          <w:lang w:val="nl-NL"/>
        </w:rPr>
        <w:t xml:space="preserve"> </w:t>
      </w:r>
      <w:r w:rsidRPr="00F82D04" w:rsidR="00534C22">
        <w:rPr>
          <w:rFonts w:cs="Times New Roman"/>
          <w:lang w:val="nl-NL"/>
        </w:rPr>
        <w:t xml:space="preserve">zijn concrete, multilaterale </w:t>
      </w:r>
      <w:r w:rsidRPr="00F82D04" w:rsidR="00534C22">
        <w:rPr>
          <w:rFonts w:cs="Times New Roman"/>
          <w:i/>
          <w:lang w:val="nl-NL"/>
        </w:rPr>
        <w:t>deliverables</w:t>
      </w:r>
      <w:r w:rsidRPr="00F82D04" w:rsidR="00534C22">
        <w:rPr>
          <w:rFonts w:cs="Times New Roman"/>
          <w:lang w:val="nl-NL"/>
        </w:rPr>
        <w:t xml:space="preserve"> bij de MC14 uitgebleven</w:t>
      </w:r>
      <w:r w:rsidRPr="00F82D04" w:rsidR="00B93FAE">
        <w:rPr>
          <w:rFonts w:cs="Times New Roman"/>
          <w:lang w:val="nl-NL"/>
        </w:rPr>
        <w:t xml:space="preserve">. </w:t>
      </w:r>
    </w:p>
    <w:p w:rsidRPr="00D8598E" w:rsidR="00895661" w:rsidRDefault="00017AD0" w14:paraId="240E01DD" w14:textId="6E41D470">
      <w:pPr>
        <w:rPr>
          <w:szCs w:val="18"/>
          <w:lang w:val="nl-NL"/>
        </w:rPr>
      </w:pPr>
      <w:r w:rsidRPr="00F82D04">
        <w:rPr>
          <w:rFonts w:cs="Times New Roman"/>
          <w:lang w:val="nl-NL"/>
        </w:rPr>
        <w:t xml:space="preserve">Positief is wel dat er expliciet is afgesproken, ook door de blokkerende landen, dat er in de komende periode in </w:t>
      </w:r>
      <w:r w:rsidR="00DE3248">
        <w:rPr>
          <w:rFonts w:cs="Times New Roman"/>
          <w:lang w:val="nl-NL"/>
        </w:rPr>
        <w:t>Genève</w:t>
      </w:r>
      <w:r w:rsidRPr="00F82D04">
        <w:rPr>
          <w:rFonts w:cs="Times New Roman"/>
          <w:lang w:val="nl-NL"/>
        </w:rPr>
        <w:t xml:space="preserve"> wordt door onderhandeld over hervormingen, het e-commerce moratorium en </w:t>
      </w:r>
      <w:r w:rsidRPr="00F82D04">
        <w:rPr>
          <w:rFonts w:cs="Times New Roman"/>
          <w:i/>
          <w:lang w:val="nl-NL"/>
        </w:rPr>
        <w:t>deliverables</w:t>
      </w:r>
      <w:r w:rsidRPr="00F82D04">
        <w:rPr>
          <w:rFonts w:cs="Times New Roman"/>
          <w:lang w:val="nl-NL"/>
        </w:rPr>
        <w:t xml:space="preserve"> over ontwikkelingsvraagstukken bij de WTO. Het kabinet zal in Brussel ervoor pleiten dat de EU actief en met een constructieve grondhouding aan deze gesprekken blijft </w:t>
      </w:r>
      <w:r w:rsidR="00C703AD">
        <w:rPr>
          <w:rFonts w:cs="Times New Roman"/>
          <w:lang w:val="nl-NL"/>
        </w:rPr>
        <w:t>deelnemen</w:t>
      </w:r>
      <w:r w:rsidRPr="00F82D04">
        <w:rPr>
          <w:rFonts w:cs="Times New Roman"/>
          <w:lang w:val="nl-NL"/>
        </w:rPr>
        <w:t>. Met name een uitkomst rond WTO-hervormingen met een duidelijke referentie naar het gelijk speelveld is van groot belang voor Nederland.</w:t>
      </w:r>
    </w:p>
    <w:sectPr w:rsidRPr="00D8598E" w:rsidR="00895661" w:rsidSect="00BB15CB">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5C073" w14:textId="77777777" w:rsidR="006375CB" w:rsidRDefault="006375CB" w:rsidP="006375CB">
      <w:pPr>
        <w:spacing w:after="0"/>
      </w:pPr>
      <w:r>
        <w:separator/>
      </w:r>
    </w:p>
  </w:endnote>
  <w:endnote w:type="continuationSeparator" w:id="0">
    <w:p w14:paraId="2CF7D3A8" w14:textId="77777777" w:rsidR="006375CB" w:rsidRDefault="006375CB" w:rsidP="006375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62E0" w14:textId="77777777" w:rsidR="00275635" w:rsidRDefault="00275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107726"/>
      <w:docPartObj>
        <w:docPartGallery w:val="Page Numbers (Bottom of Page)"/>
        <w:docPartUnique/>
      </w:docPartObj>
    </w:sdtPr>
    <w:sdtEndPr/>
    <w:sdtContent>
      <w:sdt>
        <w:sdtPr>
          <w:id w:val="1728636285"/>
          <w:docPartObj>
            <w:docPartGallery w:val="Page Numbers (Top of Page)"/>
            <w:docPartUnique/>
          </w:docPartObj>
        </w:sdtPr>
        <w:sdtEndPr/>
        <w:sdtContent>
          <w:p w14:paraId="39301E42" w14:textId="6DD00330" w:rsidR="006375CB" w:rsidRDefault="00275635" w:rsidP="00275635">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sdtContent>
  </w:sdt>
  <w:p w14:paraId="325A4D5E" w14:textId="77777777" w:rsidR="006375CB" w:rsidRDefault="006375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ED7C" w14:textId="77777777" w:rsidR="00275635" w:rsidRDefault="00275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43545" w14:textId="77777777" w:rsidR="006375CB" w:rsidRDefault="006375CB" w:rsidP="006375CB">
      <w:pPr>
        <w:spacing w:after="0"/>
      </w:pPr>
      <w:r>
        <w:separator/>
      </w:r>
    </w:p>
  </w:footnote>
  <w:footnote w:type="continuationSeparator" w:id="0">
    <w:p w14:paraId="7E391902" w14:textId="77777777" w:rsidR="006375CB" w:rsidRDefault="006375CB" w:rsidP="006375CB">
      <w:pPr>
        <w:spacing w:after="0"/>
      </w:pPr>
      <w:r>
        <w:continuationSeparator/>
      </w:r>
    </w:p>
  </w:footnote>
  <w:footnote w:id="1">
    <w:p w14:paraId="6B256E78" w14:textId="77777777" w:rsidR="00055058" w:rsidRPr="002D4E18" w:rsidRDefault="00055058" w:rsidP="00055058">
      <w:pPr>
        <w:pStyle w:val="FootnoteText"/>
        <w:rPr>
          <w:sz w:val="14"/>
          <w:szCs w:val="14"/>
          <w:lang w:val="nl-NL"/>
        </w:rPr>
      </w:pPr>
      <w:r w:rsidRPr="002D4E18">
        <w:rPr>
          <w:rStyle w:val="FootnoteReference"/>
          <w:sz w:val="14"/>
          <w:szCs w:val="14"/>
        </w:rPr>
        <w:footnoteRef/>
      </w:r>
      <w:r w:rsidRPr="002D4E18">
        <w:rPr>
          <w:sz w:val="14"/>
          <w:szCs w:val="14"/>
          <w:lang w:val="nl-NL"/>
        </w:rPr>
        <w:t xml:space="preserve"> Kamerstukken II, vergaderjaar 2025-2026, 21 501-02, nr. 3364</w:t>
      </w:r>
    </w:p>
  </w:footnote>
  <w:footnote w:id="2">
    <w:p w14:paraId="160BDB78" w14:textId="77777777" w:rsidR="00055058" w:rsidRPr="00DC220B" w:rsidRDefault="00055058" w:rsidP="00055058">
      <w:pPr>
        <w:pStyle w:val="FootnoteText"/>
        <w:rPr>
          <w:sz w:val="14"/>
          <w:szCs w:val="14"/>
          <w:lang w:val="nl-NL"/>
        </w:rPr>
      </w:pPr>
      <w:r w:rsidRPr="009D4612">
        <w:rPr>
          <w:rStyle w:val="FootnoteReference"/>
          <w:sz w:val="14"/>
          <w:szCs w:val="14"/>
        </w:rPr>
        <w:footnoteRef/>
      </w:r>
      <w:r w:rsidRPr="00DC220B">
        <w:rPr>
          <w:sz w:val="14"/>
          <w:szCs w:val="14"/>
          <w:lang w:val="nl-NL"/>
        </w:rPr>
        <w:t xml:space="preserve"> Deze initiatieven zijn nader beschreven in de </w:t>
      </w:r>
      <w:proofErr w:type="spellStart"/>
      <w:r w:rsidRPr="00DC220B">
        <w:rPr>
          <w:sz w:val="14"/>
          <w:szCs w:val="14"/>
          <w:lang w:val="nl-NL"/>
        </w:rPr>
        <w:t>Koninkrijksinstructie</w:t>
      </w:r>
      <w:proofErr w:type="spellEnd"/>
      <w:r w:rsidRPr="00DC220B">
        <w:rPr>
          <w:sz w:val="14"/>
          <w:szCs w:val="14"/>
          <w:lang w:val="nl-NL"/>
        </w:rPr>
        <w:t xml:space="preserve"> voor MC14</w:t>
      </w:r>
    </w:p>
  </w:footnote>
  <w:footnote w:id="3">
    <w:p w14:paraId="3DD8750D" w14:textId="2FFAF057" w:rsidR="00727404" w:rsidRPr="006A17BB" w:rsidRDefault="00727404">
      <w:pPr>
        <w:pStyle w:val="FootnoteText"/>
        <w:rPr>
          <w:lang w:val="nl-NL"/>
        </w:rPr>
      </w:pPr>
      <w:r w:rsidRPr="002D4E18">
        <w:rPr>
          <w:rStyle w:val="FootnoteReference"/>
          <w:sz w:val="14"/>
          <w:szCs w:val="14"/>
        </w:rPr>
        <w:footnoteRef/>
      </w:r>
      <w:r w:rsidRPr="002D4E18">
        <w:rPr>
          <w:sz w:val="14"/>
          <w:szCs w:val="14"/>
          <w:lang w:val="nl-NL"/>
        </w:rPr>
        <w:t xml:space="preserve"> </w:t>
      </w:r>
      <w:r w:rsidRPr="009248B2">
        <w:rPr>
          <w:sz w:val="14"/>
          <w:szCs w:val="14"/>
          <w:lang w:val="nl-NL"/>
        </w:rPr>
        <w:t>https://docs.wto.org/dol2fe/Pages/SS/directdoc.aspx?filename=Q:/WT/MIN26/W26.pdf&amp;Open=True</w:t>
      </w:r>
      <w:r w:rsidRPr="002D4E18">
        <w:rPr>
          <w:sz w:val="14"/>
          <w:szCs w:val="14"/>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DCCF" w14:textId="77777777" w:rsidR="00275635" w:rsidRDefault="002756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F442" w14:textId="77777777" w:rsidR="00275635" w:rsidRDefault="002756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9F4E" w14:textId="77777777" w:rsidR="00275635" w:rsidRDefault="002756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189"/>
    <w:rsid w:val="00000F4A"/>
    <w:rsid w:val="00002610"/>
    <w:rsid w:val="0000274D"/>
    <w:rsid w:val="000153CF"/>
    <w:rsid w:val="0001601C"/>
    <w:rsid w:val="00017165"/>
    <w:rsid w:val="00017AD0"/>
    <w:rsid w:val="000210C5"/>
    <w:rsid w:val="0002246E"/>
    <w:rsid w:val="00035DF7"/>
    <w:rsid w:val="00044DA3"/>
    <w:rsid w:val="00047AD0"/>
    <w:rsid w:val="00055058"/>
    <w:rsid w:val="000644A3"/>
    <w:rsid w:val="000659C8"/>
    <w:rsid w:val="00074763"/>
    <w:rsid w:val="00087108"/>
    <w:rsid w:val="00087870"/>
    <w:rsid w:val="000A5C7F"/>
    <w:rsid w:val="000B3A5D"/>
    <w:rsid w:val="000B55F5"/>
    <w:rsid w:val="000B636D"/>
    <w:rsid w:val="000D6441"/>
    <w:rsid w:val="000E736F"/>
    <w:rsid w:val="000F77FD"/>
    <w:rsid w:val="00103ECD"/>
    <w:rsid w:val="001072B1"/>
    <w:rsid w:val="001138AA"/>
    <w:rsid w:val="00123A9B"/>
    <w:rsid w:val="00140676"/>
    <w:rsid w:val="00145961"/>
    <w:rsid w:val="00172998"/>
    <w:rsid w:val="00174E5F"/>
    <w:rsid w:val="00175CEE"/>
    <w:rsid w:val="00177F7E"/>
    <w:rsid w:val="00180128"/>
    <w:rsid w:val="00186D55"/>
    <w:rsid w:val="00195833"/>
    <w:rsid w:val="001A0A72"/>
    <w:rsid w:val="001A6891"/>
    <w:rsid w:val="001B42BD"/>
    <w:rsid w:val="001C1F8E"/>
    <w:rsid w:val="001C362A"/>
    <w:rsid w:val="001C4AF9"/>
    <w:rsid w:val="001D0979"/>
    <w:rsid w:val="001D2050"/>
    <w:rsid w:val="001D255D"/>
    <w:rsid w:val="001E0310"/>
    <w:rsid w:val="001E4DFF"/>
    <w:rsid w:val="002027DD"/>
    <w:rsid w:val="002201E7"/>
    <w:rsid w:val="00234F4C"/>
    <w:rsid w:val="00236453"/>
    <w:rsid w:val="00241E11"/>
    <w:rsid w:val="00247C78"/>
    <w:rsid w:val="00254927"/>
    <w:rsid w:val="0026034E"/>
    <w:rsid w:val="00261D62"/>
    <w:rsid w:val="002739B0"/>
    <w:rsid w:val="00275635"/>
    <w:rsid w:val="00281373"/>
    <w:rsid w:val="002817E9"/>
    <w:rsid w:val="002906FB"/>
    <w:rsid w:val="002947E3"/>
    <w:rsid w:val="002A0C4D"/>
    <w:rsid w:val="002A2063"/>
    <w:rsid w:val="002A3CA3"/>
    <w:rsid w:val="002D2718"/>
    <w:rsid w:val="002D4E18"/>
    <w:rsid w:val="002E335E"/>
    <w:rsid w:val="002E53CF"/>
    <w:rsid w:val="002F3E75"/>
    <w:rsid w:val="002F649E"/>
    <w:rsid w:val="002F727F"/>
    <w:rsid w:val="002F7B54"/>
    <w:rsid w:val="003000CC"/>
    <w:rsid w:val="003148FB"/>
    <w:rsid w:val="00324886"/>
    <w:rsid w:val="003255EC"/>
    <w:rsid w:val="0034286E"/>
    <w:rsid w:val="00363C7F"/>
    <w:rsid w:val="00385D27"/>
    <w:rsid w:val="00386ABF"/>
    <w:rsid w:val="00390AF7"/>
    <w:rsid w:val="003A1A4E"/>
    <w:rsid w:val="003A4E4E"/>
    <w:rsid w:val="003B005E"/>
    <w:rsid w:val="003B16CD"/>
    <w:rsid w:val="003D7870"/>
    <w:rsid w:val="003E6017"/>
    <w:rsid w:val="003F31D2"/>
    <w:rsid w:val="003F7B35"/>
    <w:rsid w:val="004176FE"/>
    <w:rsid w:val="004348C6"/>
    <w:rsid w:val="00436D49"/>
    <w:rsid w:val="00437985"/>
    <w:rsid w:val="00440798"/>
    <w:rsid w:val="004523D9"/>
    <w:rsid w:val="00460D99"/>
    <w:rsid w:val="00464D66"/>
    <w:rsid w:val="00476D96"/>
    <w:rsid w:val="00481231"/>
    <w:rsid w:val="00483059"/>
    <w:rsid w:val="004917FE"/>
    <w:rsid w:val="004A1573"/>
    <w:rsid w:val="004A1C3C"/>
    <w:rsid w:val="00500326"/>
    <w:rsid w:val="00523676"/>
    <w:rsid w:val="00533ABB"/>
    <w:rsid w:val="00534C22"/>
    <w:rsid w:val="00537722"/>
    <w:rsid w:val="00563FBE"/>
    <w:rsid w:val="00567EFC"/>
    <w:rsid w:val="00572279"/>
    <w:rsid w:val="005808FA"/>
    <w:rsid w:val="005823B3"/>
    <w:rsid w:val="00587E0D"/>
    <w:rsid w:val="005919DF"/>
    <w:rsid w:val="00594A12"/>
    <w:rsid w:val="005A0A5D"/>
    <w:rsid w:val="005A1106"/>
    <w:rsid w:val="005A7EAE"/>
    <w:rsid w:val="005B0B79"/>
    <w:rsid w:val="005D6502"/>
    <w:rsid w:val="005E1BEE"/>
    <w:rsid w:val="005E3F8D"/>
    <w:rsid w:val="005E7614"/>
    <w:rsid w:val="005F3460"/>
    <w:rsid w:val="006229B5"/>
    <w:rsid w:val="006257C8"/>
    <w:rsid w:val="006313A1"/>
    <w:rsid w:val="006359A2"/>
    <w:rsid w:val="00637222"/>
    <w:rsid w:val="006375CB"/>
    <w:rsid w:val="00643FEB"/>
    <w:rsid w:val="0064500A"/>
    <w:rsid w:val="00645122"/>
    <w:rsid w:val="006763B3"/>
    <w:rsid w:val="006838F9"/>
    <w:rsid w:val="0068392D"/>
    <w:rsid w:val="006916E9"/>
    <w:rsid w:val="006A17BB"/>
    <w:rsid w:val="006A300C"/>
    <w:rsid w:val="006A47A7"/>
    <w:rsid w:val="006A4DB0"/>
    <w:rsid w:val="006B56E4"/>
    <w:rsid w:val="006F4E97"/>
    <w:rsid w:val="006F50EB"/>
    <w:rsid w:val="006F68B4"/>
    <w:rsid w:val="007036D8"/>
    <w:rsid w:val="007212AB"/>
    <w:rsid w:val="0072177C"/>
    <w:rsid w:val="00723325"/>
    <w:rsid w:val="00726C7D"/>
    <w:rsid w:val="00727404"/>
    <w:rsid w:val="00731D5B"/>
    <w:rsid w:val="00735109"/>
    <w:rsid w:val="0073781F"/>
    <w:rsid w:val="007437AD"/>
    <w:rsid w:val="00744DE2"/>
    <w:rsid w:val="00756C86"/>
    <w:rsid w:val="00764995"/>
    <w:rsid w:val="00776E4D"/>
    <w:rsid w:val="00777A44"/>
    <w:rsid w:val="007821EA"/>
    <w:rsid w:val="007847D4"/>
    <w:rsid w:val="007917C3"/>
    <w:rsid w:val="0079474C"/>
    <w:rsid w:val="007C3FCA"/>
    <w:rsid w:val="007E0976"/>
    <w:rsid w:val="007F571E"/>
    <w:rsid w:val="007F5AAE"/>
    <w:rsid w:val="008169B5"/>
    <w:rsid w:val="0081701D"/>
    <w:rsid w:val="00827C61"/>
    <w:rsid w:val="00835898"/>
    <w:rsid w:val="0084507D"/>
    <w:rsid w:val="008458E8"/>
    <w:rsid w:val="00853664"/>
    <w:rsid w:val="00854CC9"/>
    <w:rsid w:val="00855396"/>
    <w:rsid w:val="00855F9E"/>
    <w:rsid w:val="0086229C"/>
    <w:rsid w:val="0087079F"/>
    <w:rsid w:val="00870E97"/>
    <w:rsid w:val="00874DED"/>
    <w:rsid w:val="008823DD"/>
    <w:rsid w:val="00891E5B"/>
    <w:rsid w:val="00893B06"/>
    <w:rsid w:val="00895661"/>
    <w:rsid w:val="008A5A74"/>
    <w:rsid w:val="008B4B3E"/>
    <w:rsid w:val="008D05F5"/>
    <w:rsid w:val="008D7F6C"/>
    <w:rsid w:val="008E72D9"/>
    <w:rsid w:val="008F4842"/>
    <w:rsid w:val="00912D4D"/>
    <w:rsid w:val="00920A8A"/>
    <w:rsid w:val="00920C63"/>
    <w:rsid w:val="009241D6"/>
    <w:rsid w:val="009246BA"/>
    <w:rsid w:val="009248B2"/>
    <w:rsid w:val="009276F8"/>
    <w:rsid w:val="00935A32"/>
    <w:rsid w:val="00942853"/>
    <w:rsid w:val="009569E2"/>
    <w:rsid w:val="00957118"/>
    <w:rsid w:val="00962D77"/>
    <w:rsid w:val="009631D8"/>
    <w:rsid w:val="00973893"/>
    <w:rsid w:val="009756D1"/>
    <w:rsid w:val="00983CE5"/>
    <w:rsid w:val="00995EC9"/>
    <w:rsid w:val="009A5758"/>
    <w:rsid w:val="009A6E8B"/>
    <w:rsid w:val="009B2CAF"/>
    <w:rsid w:val="009B78E5"/>
    <w:rsid w:val="009C2241"/>
    <w:rsid w:val="009D4612"/>
    <w:rsid w:val="009D614E"/>
    <w:rsid w:val="009E2D14"/>
    <w:rsid w:val="009F0322"/>
    <w:rsid w:val="009F12A9"/>
    <w:rsid w:val="009F7DA1"/>
    <w:rsid w:val="00A265DE"/>
    <w:rsid w:val="00A33BAA"/>
    <w:rsid w:val="00A3532F"/>
    <w:rsid w:val="00A758A6"/>
    <w:rsid w:val="00A85F5F"/>
    <w:rsid w:val="00A903E3"/>
    <w:rsid w:val="00A94BA8"/>
    <w:rsid w:val="00AB02AB"/>
    <w:rsid w:val="00AC5AD8"/>
    <w:rsid w:val="00AD52DD"/>
    <w:rsid w:val="00AD6715"/>
    <w:rsid w:val="00AE183D"/>
    <w:rsid w:val="00AE245D"/>
    <w:rsid w:val="00AE432C"/>
    <w:rsid w:val="00AE6B4D"/>
    <w:rsid w:val="00B10414"/>
    <w:rsid w:val="00B1496C"/>
    <w:rsid w:val="00B15231"/>
    <w:rsid w:val="00B3558A"/>
    <w:rsid w:val="00B3774A"/>
    <w:rsid w:val="00B42D71"/>
    <w:rsid w:val="00B4483D"/>
    <w:rsid w:val="00B76372"/>
    <w:rsid w:val="00B902C5"/>
    <w:rsid w:val="00B93FAE"/>
    <w:rsid w:val="00BA3CE8"/>
    <w:rsid w:val="00BA6205"/>
    <w:rsid w:val="00BB064D"/>
    <w:rsid w:val="00BB15CB"/>
    <w:rsid w:val="00BB267A"/>
    <w:rsid w:val="00BB4D07"/>
    <w:rsid w:val="00BC0151"/>
    <w:rsid w:val="00BC13A5"/>
    <w:rsid w:val="00BC32D9"/>
    <w:rsid w:val="00BD5C4E"/>
    <w:rsid w:val="00BE3D89"/>
    <w:rsid w:val="00BF7BF7"/>
    <w:rsid w:val="00C111A6"/>
    <w:rsid w:val="00C17D67"/>
    <w:rsid w:val="00C26986"/>
    <w:rsid w:val="00C328EF"/>
    <w:rsid w:val="00C34BF4"/>
    <w:rsid w:val="00C45574"/>
    <w:rsid w:val="00C52616"/>
    <w:rsid w:val="00C66C44"/>
    <w:rsid w:val="00C703AD"/>
    <w:rsid w:val="00C832A0"/>
    <w:rsid w:val="00C85EAA"/>
    <w:rsid w:val="00C90DD4"/>
    <w:rsid w:val="00C91439"/>
    <w:rsid w:val="00CA1E98"/>
    <w:rsid w:val="00CD44EE"/>
    <w:rsid w:val="00CE1E71"/>
    <w:rsid w:val="00CF112E"/>
    <w:rsid w:val="00CF1A4E"/>
    <w:rsid w:val="00D0103F"/>
    <w:rsid w:val="00D0209F"/>
    <w:rsid w:val="00D0547A"/>
    <w:rsid w:val="00D05F86"/>
    <w:rsid w:val="00D11433"/>
    <w:rsid w:val="00D14E0A"/>
    <w:rsid w:val="00D265C3"/>
    <w:rsid w:val="00D46F2E"/>
    <w:rsid w:val="00D51D31"/>
    <w:rsid w:val="00D60A48"/>
    <w:rsid w:val="00D7031B"/>
    <w:rsid w:val="00D8598E"/>
    <w:rsid w:val="00D92EE8"/>
    <w:rsid w:val="00D956FE"/>
    <w:rsid w:val="00DA0D50"/>
    <w:rsid w:val="00DA3A67"/>
    <w:rsid w:val="00DA4675"/>
    <w:rsid w:val="00DB2924"/>
    <w:rsid w:val="00DB43B8"/>
    <w:rsid w:val="00DC220B"/>
    <w:rsid w:val="00DC7F96"/>
    <w:rsid w:val="00DE3248"/>
    <w:rsid w:val="00DE3443"/>
    <w:rsid w:val="00DE3619"/>
    <w:rsid w:val="00DE4A1C"/>
    <w:rsid w:val="00DE76FF"/>
    <w:rsid w:val="00E00DCF"/>
    <w:rsid w:val="00E16267"/>
    <w:rsid w:val="00E2065C"/>
    <w:rsid w:val="00E223E0"/>
    <w:rsid w:val="00E33C3A"/>
    <w:rsid w:val="00E34CCD"/>
    <w:rsid w:val="00E410FC"/>
    <w:rsid w:val="00E46AF5"/>
    <w:rsid w:val="00E47F8B"/>
    <w:rsid w:val="00E521A4"/>
    <w:rsid w:val="00E552B0"/>
    <w:rsid w:val="00E616D9"/>
    <w:rsid w:val="00E803A2"/>
    <w:rsid w:val="00E87869"/>
    <w:rsid w:val="00EA7AB5"/>
    <w:rsid w:val="00EB5487"/>
    <w:rsid w:val="00ED07E4"/>
    <w:rsid w:val="00ED33DA"/>
    <w:rsid w:val="00ED5430"/>
    <w:rsid w:val="00EE2094"/>
    <w:rsid w:val="00EE37DE"/>
    <w:rsid w:val="00EF771E"/>
    <w:rsid w:val="00F01539"/>
    <w:rsid w:val="00F05614"/>
    <w:rsid w:val="00F114F3"/>
    <w:rsid w:val="00F150E5"/>
    <w:rsid w:val="00F21189"/>
    <w:rsid w:val="00F23D2B"/>
    <w:rsid w:val="00F31176"/>
    <w:rsid w:val="00F462CE"/>
    <w:rsid w:val="00F47754"/>
    <w:rsid w:val="00F649D4"/>
    <w:rsid w:val="00F73976"/>
    <w:rsid w:val="00F82D04"/>
    <w:rsid w:val="00F851C9"/>
    <w:rsid w:val="00F92135"/>
    <w:rsid w:val="00F95A0C"/>
    <w:rsid w:val="00F962AA"/>
    <w:rsid w:val="00FA2BD8"/>
    <w:rsid w:val="00FB402A"/>
    <w:rsid w:val="00FB415C"/>
    <w:rsid w:val="00FC155D"/>
    <w:rsid w:val="00FE26E4"/>
    <w:rsid w:val="00FE4ECF"/>
    <w:rsid w:val="00FE7FD7"/>
    <w:rsid w:val="3338D8FE"/>
    <w:rsid w:val="3F56BDB3"/>
    <w:rsid w:val="4469D2E9"/>
    <w:rsid w:val="5B89CA13"/>
    <w:rsid w:val="5C171BE9"/>
    <w:rsid w:val="6D652F4C"/>
    <w:rsid w:val="7D489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524B"/>
  <w15:chartTrackingRefBased/>
  <w15:docId w15:val="{52A3E3FE-D892-401E-9228-C6458A6C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189"/>
    <w:pPr>
      <w:spacing w:after="200" w:line="240" w:lineRule="auto"/>
    </w:pPr>
    <w:rPr>
      <w:rFonts w:ascii="Verdana" w:eastAsia="MS Mincho"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1189"/>
    <w:pPr>
      <w:spacing w:after="0" w:line="240" w:lineRule="auto"/>
    </w:pPr>
    <w:rPr>
      <w:rFonts w:ascii="Verdana" w:eastAsia="MS Mincho" w:hAnsi="Verdana"/>
      <w:sz w:val="18"/>
    </w:rPr>
  </w:style>
  <w:style w:type="paragraph" w:styleId="Header">
    <w:name w:val="header"/>
    <w:basedOn w:val="Normal"/>
    <w:link w:val="HeaderChar"/>
    <w:uiPriority w:val="99"/>
    <w:unhideWhenUsed/>
    <w:rsid w:val="006375CB"/>
    <w:pPr>
      <w:tabs>
        <w:tab w:val="center" w:pos="4513"/>
        <w:tab w:val="right" w:pos="9026"/>
      </w:tabs>
      <w:spacing w:after="0"/>
    </w:pPr>
  </w:style>
  <w:style w:type="character" w:customStyle="1" w:styleId="HeaderChar">
    <w:name w:val="Header Char"/>
    <w:basedOn w:val="DefaultParagraphFont"/>
    <w:link w:val="Header"/>
    <w:uiPriority w:val="99"/>
    <w:rsid w:val="006375CB"/>
    <w:rPr>
      <w:rFonts w:ascii="Verdana" w:eastAsia="MS Mincho" w:hAnsi="Verdana"/>
      <w:sz w:val="18"/>
    </w:rPr>
  </w:style>
  <w:style w:type="paragraph" w:styleId="Footer">
    <w:name w:val="footer"/>
    <w:basedOn w:val="Normal"/>
    <w:link w:val="FooterChar"/>
    <w:uiPriority w:val="99"/>
    <w:unhideWhenUsed/>
    <w:rsid w:val="006375CB"/>
    <w:pPr>
      <w:tabs>
        <w:tab w:val="center" w:pos="4513"/>
        <w:tab w:val="right" w:pos="9026"/>
      </w:tabs>
      <w:spacing w:after="0"/>
    </w:pPr>
  </w:style>
  <w:style w:type="character" w:customStyle="1" w:styleId="FooterChar">
    <w:name w:val="Footer Char"/>
    <w:basedOn w:val="DefaultParagraphFont"/>
    <w:link w:val="Footer"/>
    <w:uiPriority w:val="99"/>
    <w:rsid w:val="006375CB"/>
    <w:rPr>
      <w:rFonts w:ascii="Verdana" w:eastAsia="MS Mincho" w:hAnsi="Verdana"/>
      <w:sz w:val="18"/>
    </w:rPr>
  </w:style>
  <w:style w:type="character" w:styleId="CommentReference">
    <w:name w:val="annotation reference"/>
    <w:basedOn w:val="DefaultParagraphFont"/>
    <w:uiPriority w:val="99"/>
    <w:semiHidden/>
    <w:unhideWhenUsed/>
    <w:rsid w:val="00E34CCD"/>
    <w:rPr>
      <w:sz w:val="16"/>
      <w:szCs w:val="16"/>
    </w:rPr>
  </w:style>
  <w:style w:type="paragraph" w:styleId="CommentText">
    <w:name w:val="annotation text"/>
    <w:basedOn w:val="Normal"/>
    <w:link w:val="CommentTextChar"/>
    <w:uiPriority w:val="99"/>
    <w:unhideWhenUsed/>
    <w:rsid w:val="00E34CCD"/>
    <w:rPr>
      <w:sz w:val="20"/>
      <w:szCs w:val="20"/>
    </w:rPr>
  </w:style>
  <w:style w:type="character" w:customStyle="1" w:styleId="CommentTextChar">
    <w:name w:val="Comment Text Char"/>
    <w:basedOn w:val="DefaultParagraphFont"/>
    <w:link w:val="CommentText"/>
    <w:uiPriority w:val="99"/>
    <w:rsid w:val="00E34CCD"/>
    <w:rPr>
      <w:rFonts w:ascii="Verdana" w:eastAsia="MS Mincho" w:hAnsi="Verdana"/>
      <w:sz w:val="20"/>
      <w:szCs w:val="20"/>
    </w:rPr>
  </w:style>
  <w:style w:type="paragraph" w:styleId="CommentSubject">
    <w:name w:val="annotation subject"/>
    <w:basedOn w:val="CommentText"/>
    <w:next w:val="CommentText"/>
    <w:link w:val="CommentSubjectChar"/>
    <w:uiPriority w:val="99"/>
    <w:semiHidden/>
    <w:unhideWhenUsed/>
    <w:rsid w:val="00E34CCD"/>
    <w:rPr>
      <w:b/>
      <w:bCs/>
    </w:rPr>
  </w:style>
  <w:style w:type="character" w:customStyle="1" w:styleId="CommentSubjectChar">
    <w:name w:val="Comment Subject Char"/>
    <w:basedOn w:val="CommentTextChar"/>
    <w:link w:val="CommentSubject"/>
    <w:uiPriority w:val="99"/>
    <w:semiHidden/>
    <w:rsid w:val="00E34CCD"/>
    <w:rPr>
      <w:rFonts w:ascii="Verdana" w:eastAsia="MS Mincho" w:hAnsi="Verdana"/>
      <w:b/>
      <w:bCs/>
      <w:sz w:val="20"/>
      <w:szCs w:val="20"/>
    </w:rPr>
  </w:style>
  <w:style w:type="character" w:styleId="Hyperlink">
    <w:name w:val="Hyperlink"/>
    <w:basedOn w:val="DefaultParagraphFont"/>
    <w:uiPriority w:val="99"/>
    <w:unhideWhenUsed/>
    <w:rsid w:val="00E34CCD"/>
    <w:rPr>
      <w:color w:val="0563C1" w:themeColor="hyperlink"/>
      <w:u w:val="single"/>
    </w:rPr>
  </w:style>
  <w:style w:type="character" w:styleId="UnresolvedMention">
    <w:name w:val="Unresolved Mention"/>
    <w:basedOn w:val="DefaultParagraphFont"/>
    <w:uiPriority w:val="99"/>
    <w:semiHidden/>
    <w:unhideWhenUsed/>
    <w:rsid w:val="00E34CCD"/>
    <w:rPr>
      <w:color w:val="605E5C"/>
      <w:shd w:val="clear" w:color="auto" w:fill="E1DFDD"/>
    </w:rPr>
  </w:style>
  <w:style w:type="paragraph" w:styleId="Revision">
    <w:name w:val="Revision"/>
    <w:hidden/>
    <w:uiPriority w:val="99"/>
    <w:semiHidden/>
    <w:rsid w:val="00563FBE"/>
    <w:pPr>
      <w:spacing w:after="0" w:line="240" w:lineRule="auto"/>
    </w:pPr>
    <w:rPr>
      <w:rFonts w:ascii="Verdana" w:eastAsia="MS Mincho" w:hAnsi="Verdana"/>
      <w:sz w:val="18"/>
    </w:rPr>
  </w:style>
  <w:style w:type="paragraph" w:styleId="FootnoteText">
    <w:name w:val="footnote text"/>
    <w:basedOn w:val="Normal"/>
    <w:link w:val="FootnoteTextChar"/>
    <w:uiPriority w:val="99"/>
    <w:semiHidden/>
    <w:unhideWhenUsed/>
    <w:rsid w:val="00727404"/>
    <w:pPr>
      <w:spacing w:after="0"/>
    </w:pPr>
    <w:rPr>
      <w:sz w:val="20"/>
      <w:szCs w:val="20"/>
    </w:rPr>
  </w:style>
  <w:style w:type="character" w:customStyle="1" w:styleId="FootnoteTextChar">
    <w:name w:val="Footnote Text Char"/>
    <w:basedOn w:val="DefaultParagraphFont"/>
    <w:link w:val="FootnoteText"/>
    <w:uiPriority w:val="99"/>
    <w:semiHidden/>
    <w:rsid w:val="00727404"/>
    <w:rPr>
      <w:rFonts w:ascii="Verdana" w:eastAsia="MS Mincho" w:hAnsi="Verdana"/>
      <w:sz w:val="20"/>
      <w:szCs w:val="20"/>
    </w:rPr>
  </w:style>
  <w:style w:type="character" w:styleId="FootnoteReference">
    <w:name w:val="footnote reference"/>
    <w:basedOn w:val="DefaultParagraphFont"/>
    <w:uiPriority w:val="99"/>
    <w:semiHidden/>
    <w:unhideWhenUsed/>
    <w:rsid w:val="007274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04289">
      <w:bodyDiv w:val="1"/>
      <w:marLeft w:val="0"/>
      <w:marRight w:val="0"/>
      <w:marTop w:val="0"/>
      <w:marBottom w:val="0"/>
      <w:divBdr>
        <w:top w:val="none" w:sz="0" w:space="0" w:color="auto"/>
        <w:left w:val="none" w:sz="0" w:space="0" w:color="auto"/>
        <w:bottom w:val="none" w:sz="0" w:space="0" w:color="auto"/>
        <w:right w:val="none" w:sz="0" w:space="0" w:color="auto"/>
      </w:divBdr>
    </w:div>
    <w:div w:id="73743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1901</ap:Words>
  <ap:Characters>10460</ap:Characters>
  <ap:DocSecurity>0</ap:DocSecurity>
  <ap:Lines>87</ap:Lines>
  <ap:Paragraphs>24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12337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2026-04-01T07:53:00.0000000Z</lastPrinted>
  <dcterms:created xsi:type="dcterms:W3CDTF">2026-04-03T14:44:00.0000000Z</dcterms:created>
  <dcterms:modified xsi:type="dcterms:W3CDTF">2026-04-03T14:44:00.0000000Z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0x0101009C7CE436063D44E9BE7DC0259EF7C32F006EB9F9836A634AE58B6169785FD3936F000B90A3F0719D6443B79D1401D1C7B56E</vt:lpwstr>
  </property>
  <property fmtid="{D5CDD505-2E9C-101B-9397-08002B2CF9AE}" pid="3" name="BZ_Forum">
    <vt:lpwstr>8;#EU|4d8f9873-61b3-4ee5-b6f7-0bb00c6df5e8</vt:lpwstr>
  </property>
  <property fmtid="{D5CDD505-2E9C-101B-9397-08002B2CF9AE}" pid="4" name="BZ_Country">
    <vt:lpwstr>9;#The Netherlands|7f69a7bb-478c-499d-a6cf-5869916dfee4</vt:lpwstr>
  </property>
  <property fmtid="{D5CDD505-2E9C-101B-9397-08002B2CF9AE}" pid="5" name="BZ_Theme">
    <vt:lpwstr>11;#Organization|d3f777fe-abca-43dd-b11c-a7496ad32ea5;#7;#Visits (logistic)|53e8069b-a40e-4a89-b4f3-9b7112716272</vt:lpwstr>
  </property>
  <property fmtid="{D5CDD505-2E9C-101B-9397-08002B2CF9AE}" pid="6" name="BZ_Classification">
    <vt:lpwstr>14;#UNCLASSIFIED|d92c6340-bc14-4cb2-a9a6-6deda93c493b</vt:lpwstr>
  </property>
  <property fmtid="{D5CDD505-2E9C-101B-9397-08002B2CF9AE}" pid="7" name="BZForumOrganisation">
    <vt:lpwstr>2;#Not applicable|0049e722-bfb1-4a3f-9d08-af7366a9af40</vt:lpwstr>
  </property>
  <property fmtid="{D5CDD505-2E9C-101B-9397-08002B2CF9AE}" pid="8" name="BZTheme">
    <vt:lpwstr>1;#Not applicable|ec01d90b-9d0f-4785-8785-e1ea615196bf</vt:lpwstr>
  </property>
  <property fmtid="{D5CDD505-2E9C-101B-9397-08002B2CF9AE}" pid="9" name="DocumentSetDescription">
    <vt:lpwstr/>
  </property>
  <property fmtid="{D5CDD505-2E9C-101B-9397-08002B2CF9AE}" pid="10" name="BZCountryState">
    <vt:lpwstr>3;#Not applicable|ec01d90b-9d0f-4785-8785-e1ea615196bf</vt:lpwstr>
  </property>
  <property fmtid="{D5CDD505-2E9C-101B-9397-08002B2CF9AE}" pid="11" name="_dlc_DocIdItemGuid">
    <vt:lpwstr>2617c890-510c-4956-80e5-39ddece92ae6</vt:lpwstr>
  </property>
  <property fmtid="{D5CDD505-2E9C-101B-9397-08002B2CF9AE}" pid="12" name="BZMarking">
    <vt:lpwstr>5;#NO MARKING|0a4eb9ae-69eb-4d9e-b573-43ab99ef8592</vt:lpwstr>
  </property>
  <property fmtid="{D5CDD505-2E9C-101B-9397-08002B2CF9AE}" pid="13" name="BZClassification">
    <vt:lpwstr>4;#UNCLASSIFIED (U)|284e6a62-15ab-4017-be27-a1e965f4e940</vt:lpwstr>
  </property>
  <property fmtid="{D5CDD505-2E9C-101B-9397-08002B2CF9AE}" pid="14" name="URL">
    <vt:lpwstr>https://247.plaza.buzaservices.nl/subject/CPK-sjablonen-en-forRaad%20Buitenlandse%20Zaken%20RBZ%20Handel/Verslag%20RBZ%20Handel/Verslag%20RBZ%20Handel.docx, </vt:lpwstr>
  </property>
  <property fmtid="{D5CDD505-2E9C-101B-9397-08002B2CF9AE}" pid="15" name="nf4434b3fae540fe847866e45672fb3a">
    <vt:lpwstr>Organization|d3f777fe-abca-43dd-b11c-a7496ad32ea5;Visits (logistic)|53e8069b-a40e-4a89-b4f3-9b7112716272</vt:lpwstr>
  </property>
  <property fmtid="{D5CDD505-2E9C-101B-9397-08002B2CF9AE}" pid="16" name="a45510494d1a450e9cee6905c7ad8168">
    <vt:lpwstr>The Netherlands|7f69a7bb-478c-499d-a6cf-5869916dfee4</vt:lpwstr>
  </property>
  <property fmtid="{D5CDD505-2E9C-101B-9397-08002B2CF9AE}" pid="17" name="ge4bd621e46a403e97baf402a410deb5">
    <vt:lpwstr>EU|4d8f9873-61b3-4ee5-b6f7-0bb00c6df5e8</vt:lpwstr>
  </property>
  <property fmtid="{D5CDD505-2E9C-101B-9397-08002B2CF9AE}" pid="18" name="gc2efd3bfea04f7f8169be07009f5536">
    <vt:lpwstr/>
  </property>
  <property fmtid="{D5CDD505-2E9C-101B-9397-08002B2CF9AE}" pid="19" name="BZDossierPublishingHistory">
    <vt:lpwstr/>
  </property>
  <property fmtid="{D5CDD505-2E9C-101B-9397-08002B2CF9AE}" pid="20" name="BZDossierApprovalHistory">
    <vt:lpwstr/>
  </property>
  <property fmtid="{D5CDD505-2E9C-101B-9397-08002B2CF9AE}" pid="21" name="BZDossierContributors">
    <vt:lpwstr/>
  </property>
  <property fmtid="{D5CDD505-2E9C-101B-9397-08002B2CF9AE}" pid="22" name="BZDossierProcessLocation">
    <vt:lpwstr/>
  </property>
  <property fmtid="{D5CDD505-2E9C-101B-9397-08002B2CF9AE}" pid="23" name="BZDossierPublishingWOOCategory">
    <vt:lpwstr/>
  </property>
  <property fmtid="{D5CDD505-2E9C-101B-9397-08002B2CF9AE}" pid="24" name="i42ef48d5fa942a0ad0d60e44f201751">
    <vt:lpwstr/>
  </property>
  <property fmtid="{D5CDD505-2E9C-101B-9397-08002B2CF9AE}" pid="25" name="f2fb2a8e39404f1ab554e4e4a49d2918">
    <vt:lpwstr/>
  </property>
  <property fmtid="{D5CDD505-2E9C-101B-9397-08002B2CF9AE}" pid="26" name="BZDossierDescription">
    <vt:lpwstr/>
  </property>
  <property fmtid="{D5CDD505-2E9C-101B-9397-08002B2CF9AE}" pid="27" name="BZDossierReaders">
    <vt:lpwstr/>
  </property>
  <property fmtid="{D5CDD505-2E9C-101B-9397-08002B2CF9AE}" pid="28" name="p29721a54a5c4bbe9786e930fc91e270">
    <vt:lpwstr/>
  </property>
  <property fmtid="{D5CDD505-2E9C-101B-9397-08002B2CF9AE}" pid="29" name="BZDossierTranslation">
    <vt:lpwstr/>
  </property>
  <property fmtid="{D5CDD505-2E9C-101B-9397-08002B2CF9AE}" pid="30" name="BZDossierTranslationHistory">
    <vt:lpwstr/>
  </property>
  <property fmtid="{D5CDD505-2E9C-101B-9397-08002B2CF9AE}" pid="31" name="BZDossierReference">
    <vt:lpwstr/>
  </property>
  <property fmtid="{D5CDD505-2E9C-101B-9397-08002B2CF9AE}" pid="32" name="BZDossierAuditLog">
    <vt:lpwstr/>
  </property>
  <property fmtid="{D5CDD505-2E9C-101B-9397-08002B2CF9AE}" pid="33" name="BZDossierTitle">
    <vt:lpwstr/>
  </property>
  <property fmtid="{D5CDD505-2E9C-101B-9397-08002B2CF9AE}" pid="34" name="ed9282a3f18446ec8c17c7829edf82dd">
    <vt:lpwstr/>
  </property>
  <property fmtid="{D5CDD505-2E9C-101B-9397-08002B2CF9AE}" pid="35" name="e256f556a7b748329ab47889947c7d40">
    <vt:lpwstr/>
  </property>
  <property fmtid="{D5CDD505-2E9C-101B-9397-08002B2CF9AE}" pid="36" name="BZDossierProcessType">
    <vt:lpwstr/>
  </property>
  <property fmtid="{D5CDD505-2E9C-101B-9397-08002B2CF9AE}" pid="37" name="BZDossierSendingHistory">
    <vt:lpwstr/>
  </property>
  <property fmtid="{D5CDD505-2E9C-101B-9397-08002B2CF9AE}" pid="38" name="BZDossierBudgetManager">
    <vt:lpwstr/>
  </property>
  <property fmtid="{D5CDD505-2E9C-101B-9397-08002B2CF9AE}" pid="39" name="BZDossierAlignmentHistory">
    <vt:lpwstr/>
  </property>
  <property fmtid="{D5CDD505-2E9C-101B-9397-08002B2CF9AE}" pid="40" name="BZDossierSendTo">
    <vt:lpwstr/>
  </property>
  <property fmtid="{D5CDD505-2E9C-101B-9397-08002B2CF9AE}" pid="41" name="BZDossierRedacting">
    <vt:lpwstr/>
  </property>
  <property fmtid="{D5CDD505-2E9C-101B-9397-08002B2CF9AE}" pid="42" name="BZDossierRedactingHistory">
    <vt:lpwstr/>
  </property>
  <property fmtid="{D5CDD505-2E9C-101B-9397-08002B2CF9AE}" pid="43" name="BZDossierApprovalPolitical">
    <vt:lpwstr/>
  </property>
  <property fmtid="{D5CDD505-2E9C-101B-9397-08002B2CF9AE}" pid="44" name="BZDossierPrincipalsInvolved">
    <vt:lpwstr/>
  </property>
  <property fmtid="{D5CDD505-2E9C-101B-9397-08002B2CF9AE}" pid="45" name="BZDossierApproval">
    <vt:lpwstr/>
  </property>
  <property fmtid="{D5CDD505-2E9C-101B-9397-08002B2CF9AE}" pid="46" name="BZDossierAlignment">
    <vt:lpwstr/>
  </property>
  <property fmtid="{D5CDD505-2E9C-101B-9397-08002B2CF9AE}" pid="47" name="BZDossierSending">
    <vt:lpwstr/>
  </property>
  <property fmtid="{D5CDD505-2E9C-101B-9397-08002B2CF9AE}" pid="48" name="BZDossierResponsibleDepartment">
    <vt:lpwstr/>
  </property>
  <property fmtid="{D5CDD505-2E9C-101B-9397-08002B2CF9AE}" pid="49" name="BZDossierResponsibleGroup">
    <vt:lpwstr/>
  </property>
  <property fmtid="{D5CDD505-2E9C-101B-9397-08002B2CF9AE}" pid="50" name="BZDossierApprovalPoliticalHistory">
    <vt:lpwstr/>
  </property>
  <property fmtid="{D5CDD505-2E9C-101B-9397-08002B2CF9AE}" pid="51" name="BZDossierPublishing">
    <vt:lpwstr/>
  </property>
  <property fmtid="{D5CDD505-2E9C-101B-9397-08002B2CF9AE}" pid="52" name="BZDossierSpecifics">
    <vt:lpwstr/>
  </property>
  <property fmtid="{D5CDD505-2E9C-101B-9397-08002B2CF9AE}" pid="53" name="BZDossierGovernmentOfficial">
    <vt:lpwstr/>
  </property>
  <property fmtid="{D5CDD505-2E9C-101B-9397-08002B2CF9AE}" pid="54" name="f8e003236e1c4ac2ab9051d5d8789bbb">
    <vt:lpwstr/>
  </property>
  <property fmtid="{D5CDD505-2E9C-101B-9397-08002B2CF9AE}" pid="55" name="BZDossierNotes">
    <vt:lpwstr/>
  </property>
  <property fmtid="{D5CDD505-2E9C-101B-9397-08002B2CF9AE}" pid="56" name="BZEmailSubject">
    <vt:lpwstr/>
  </property>
  <property fmtid="{D5CDD505-2E9C-101B-9397-08002B2CF9AE}" pid="57" name="BZEmailFrom">
    <vt:lpwstr/>
  </property>
  <property fmtid="{D5CDD505-2E9C-101B-9397-08002B2CF9AE}" pid="58" name="BZEmailCC">
    <vt:lpwstr/>
  </property>
  <property fmtid="{D5CDD505-2E9C-101B-9397-08002B2CF9AE}" pid="59" name="BZEmailTo">
    <vt:lpwstr/>
  </property>
  <property fmtid="{D5CDD505-2E9C-101B-9397-08002B2CF9AE}" pid="60" name="BZEmailBody">
    <vt:lpwstr/>
  </property>
  <property fmtid="{D5CDD505-2E9C-101B-9397-08002B2CF9AE}" pid="61" name="BZDossierTemplate">
    <vt:lpwstr>ReguliereKamerbrief</vt:lpwstr>
  </property>
  <property fmtid="{D5CDD505-2E9C-101B-9397-08002B2CF9AE}" pid="62" name="_docset_NoMedatataSyncRequired">
    <vt:lpwstr>False</vt:lpwstr>
  </property>
</Properties>
</file>