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14CC" w:rsidR="005314CC" w:rsidP="003B08CE" w:rsidRDefault="005314CC" w14:paraId="7160C607" w14:textId="2973F462">
      <w:pPr>
        <w:rPr>
          <w:rFonts w:ascii="Aptos" w:hAnsi="Aptos" w:eastAsia="Aptos" w:cs="Arial"/>
          <w:sz w:val="24"/>
          <w:lang w:eastAsia="en-US"/>
        </w:rPr>
      </w:pPr>
      <w:r w:rsidRPr="005314CC">
        <w:rPr>
          <w:rFonts w:eastAsia="Verdana" w:cs="Verdana"/>
          <w:szCs w:val="18"/>
          <w:lang w:eastAsia="en-US"/>
        </w:rPr>
        <w:t xml:space="preserve">Geachte </w:t>
      </w:r>
      <w:r w:rsidR="003B08CE">
        <w:rPr>
          <w:rFonts w:eastAsia="Verdana" w:cs="Verdana"/>
          <w:szCs w:val="18"/>
          <w:lang w:eastAsia="en-US"/>
        </w:rPr>
        <w:t>V</w:t>
      </w:r>
      <w:r w:rsidRPr="005314CC">
        <w:rPr>
          <w:rFonts w:eastAsia="Verdana" w:cs="Verdana"/>
          <w:szCs w:val="18"/>
          <w:lang w:eastAsia="en-US"/>
        </w:rPr>
        <w:t>oorzitter,</w:t>
      </w:r>
    </w:p>
    <w:p w:rsidR="003B08CE" w:rsidP="003B08CE" w:rsidRDefault="003B08CE" w14:paraId="649F9FB8" w14:textId="77777777">
      <w:pPr>
        <w:rPr>
          <w:rFonts w:eastAsia="Verdana" w:cs="Verdana"/>
          <w:szCs w:val="18"/>
          <w:lang w:eastAsia="en-US"/>
        </w:rPr>
      </w:pPr>
    </w:p>
    <w:p w:rsidRPr="005314CC" w:rsidR="005314CC" w:rsidP="003B08CE" w:rsidRDefault="005314CC" w14:paraId="289A0071" w14:textId="1BF36CBF">
      <w:pPr>
        <w:rPr>
          <w:rFonts w:ascii="Aptos" w:hAnsi="Aptos" w:eastAsia="Aptos" w:cs="Arial"/>
          <w:sz w:val="24"/>
          <w:lang w:eastAsia="en-US"/>
        </w:rPr>
      </w:pPr>
      <w:r w:rsidRPr="005314CC">
        <w:rPr>
          <w:rFonts w:eastAsia="Verdana" w:cs="Verdana"/>
          <w:szCs w:val="18"/>
          <w:lang w:eastAsia="en-US"/>
        </w:rPr>
        <w:t>Onlangs heeft ABD Topconsult onderzoek gedaan naar de uitvoering van het Nationaal Groeifonds (NGF). Daarbij heeft ABD TopConsult aanbevelingen gedaan om de uitvoering van het Nationaal Groeifonds te versterken.</w:t>
      </w:r>
    </w:p>
    <w:p w:rsidRPr="005314CC" w:rsidR="005314CC" w:rsidP="003B08CE" w:rsidRDefault="005314CC" w14:paraId="370FB94E" w14:textId="51A4E68B">
      <w:pPr>
        <w:rPr>
          <w:rFonts w:ascii="Aptos" w:hAnsi="Aptos" w:eastAsia="Aptos" w:cs="Arial"/>
          <w:sz w:val="24"/>
          <w:lang w:eastAsia="en-US"/>
        </w:rPr>
      </w:pPr>
      <w:r w:rsidRPr="005314CC">
        <w:rPr>
          <w:rFonts w:eastAsia="Verdana" w:cs="Verdana"/>
          <w:szCs w:val="18"/>
          <w:lang w:eastAsia="en-US"/>
        </w:rPr>
        <w:t xml:space="preserve">In deze brief licht ik u als fondsbeheerder, mede namens de </w:t>
      </w:r>
      <w:r w:rsidR="003B08CE">
        <w:rPr>
          <w:rFonts w:eastAsia="Verdana" w:cs="Verdana"/>
          <w:szCs w:val="18"/>
          <w:lang w:eastAsia="en-US"/>
        </w:rPr>
        <w:t>m</w:t>
      </w:r>
      <w:r w:rsidRPr="005314CC">
        <w:rPr>
          <w:rFonts w:eastAsia="Verdana" w:cs="Verdana"/>
          <w:szCs w:val="18"/>
          <w:lang w:eastAsia="en-US"/>
        </w:rPr>
        <w:t>inister van Financiën (medefondsbeheerder), allereerst de achtergrond van het onderzoek toe. Vervolgens ga ik in op de aanbevelingen en de wijze waarop het kabinet daar invulling aan zal geven.</w:t>
      </w:r>
    </w:p>
    <w:p w:rsidRPr="005314CC" w:rsidR="005314CC" w:rsidP="003B08CE" w:rsidRDefault="00586B06" w14:paraId="7144BF66" w14:textId="100F34A8">
      <w:pPr>
        <w:rPr>
          <w:rFonts w:eastAsia="Verdana" w:cs="Verdana"/>
          <w:b/>
          <w:bCs/>
          <w:szCs w:val="18"/>
          <w:lang w:eastAsia="en-US"/>
        </w:rPr>
      </w:pPr>
      <w:r>
        <w:rPr>
          <w:rFonts w:eastAsia="Verdana" w:cs="Verdana"/>
          <w:b/>
          <w:bCs/>
          <w:szCs w:val="18"/>
          <w:lang w:eastAsia="en-US"/>
        </w:rPr>
        <w:br/>
      </w:r>
      <w:r w:rsidRPr="005314CC" w:rsidR="005314CC">
        <w:rPr>
          <w:rFonts w:eastAsia="Verdana" w:cs="Verdana"/>
          <w:b/>
          <w:bCs/>
          <w:szCs w:val="18"/>
          <w:lang w:eastAsia="en-US"/>
        </w:rPr>
        <w:t>Achtergrond</w:t>
      </w:r>
    </w:p>
    <w:p w:rsidRPr="005314CC" w:rsidR="005314CC" w:rsidP="003B08CE" w:rsidRDefault="005314CC" w14:paraId="756F92A1" w14:textId="090FA0CD">
      <w:pPr>
        <w:rPr>
          <w:rFonts w:eastAsia="Verdana" w:cs="Verdana"/>
          <w:color w:val="000000"/>
          <w:szCs w:val="18"/>
          <w:lang w:eastAsia="en-US"/>
        </w:rPr>
      </w:pPr>
      <w:r w:rsidRPr="005314CC">
        <w:rPr>
          <w:rFonts w:eastAsia="Verdana" w:cs="Verdana"/>
          <w:color w:val="000000"/>
          <w:szCs w:val="18"/>
          <w:lang w:eastAsia="en-US"/>
        </w:rPr>
        <w:t xml:space="preserve">Het Nationaal Groeifonds investeert in 50 grootschalige programma’s die bijdragen aan het duurzaam verdienvermogen van Nederland. Het betreft onder meer programma’s op het gebied van groene waterstof, de verduurzaming van de landbouw, het bestrijden van laaggeletterdheid en sleuteltechnologieën als quantum en kunstmatige intelligentie. Daarmee is een bedrag van € 11 miljard gemoeid. De eerste programma's zijn gestart in 2021. De programma's hebben een looptijd van 5 tot 15 jaar en bevinden zich op dit moment dus in de uitvoeringsfase. De eerste tussenresultaten van de projecten zijn zichtbaar. Zo </w:t>
      </w:r>
      <w:r w:rsidR="00E91789">
        <w:rPr>
          <w:rFonts w:eastAsia="Verdana" w:cs="Verdana"/>
          <w:color w:val="000000"/>
          <w:szCs w:val="18"/>
          <w:lang w:eastAsia="en-US"/>
        </w:rPr>
        <w:t xml:space="preserve">zijn </w:t>
      </w:r>
      <w:r w:rsidRPr="005314CC">
        <w:rPr>
          <w:rFonts w:eastAsia="Verdana" w:cs="Verdana"/>
          <w:color w:val="000000"/>
          <w:szCs w:val="18"/>
          <w:lang w:eastAsia="en-US"/>
        </w:rPr>
        <w:t xml:space="preserve">er diverse NGF-projecten die gericht zijn op innovatieve behandelingen of veel effectievere medicijnen. De eerste vernieuwende technologieën en concrete behandelingen worden nu al getest in de laboratoria die door het NGF tot stand zijn gekomen. Ook worden met NGF-middelen stappen gezet om het onderwijs te verbeteren. Zo zijn prototypes van AI-oplossingen ontwikkeld en getest om kinderen te helpen, bijvoorbeeld met leren lezen. </w:t>
      </w:r>
    </w:p>
    <w:p w:rsidRPr="005314CC" w:rsidR="005314CC" w:rsidP="003B08CE" w:rsidRDefault="005314CC" w14:paraId="54591DF4" w14:textId="77777777">
      <w:pPr>
        <w:rPr>
          <w:rFonts w:eastAsia="Verdana" w:cs="Verdana"/>
          <w:color w:val="000000"/>
          <w:szCs w:val="18"/>
          <w:lang w:eastAsia="en-US"/>
        </w:rPr>
      </w:pPr>
    </w:p>
    <w:p w:rsidRPr="005314CC" w:rsidR="005314CC" w:rsidP="003B08CE" w:rsidRDefault="005314CC" w14:paraId="79DEF008" w14:textId="38D0B7BB">
      <w:pPr>
        <w:rPr>
          <w:rFonts w:eastAsia="Verdana" w:cs="Verdana"/>
          <w:color w:val="000000"/>
          <w:szCs w:val="18"/>
          <w:lang w:eastAsia="en-US"/>
        </w:rPr>
      </w:pPr>
      <w:r w:rsidRPr="005314CC">
        <w:rPr>
          <w:rFonts w:eastAsia="Verdana" w:cs="Verdana"/>
          <w:color w:val="000000"/>
          <w:szCs w:val="18"/>
          <w:lang w:eastAsia="en-US"/>
        </w:rPr>
        <w:t xml:space="preserve">De meeste projecten zijn voortvarend van start met de uitvoering. Tegelijkertijd zien we dat de uitvoering uitdagend kan zijn vanwege het innovatieve karakter, de grootschaligheid en de lange looptijd van de projecten. De uitvoering vraagt daarom de komende jaren nog om voldoende focus van alle betrokken partijen. ABD heeft in het rapport ‘Groeien in Uitvoering’ knelpunten in kaart gebracht en aanbevelingen gedaan om de uitvoering van het Nationaal Groeifonds als instrument en de uitvoering van de individuele projecten te verbeteren. Voor dit onderzoek heeft ABD deskresearch verricht en interviews gehouden met de direct bij de uitvoering van het Nationaal Groeifonds betrokken partijen (departementen, </w:t>
      </w:r>
      <w:r w:rsidRPr="005314CC">
        <w:rPr>
          <w:rFonts w:eastAsia="Verdana" w:cs="Verdana"/>
          <w:color w:val="000000"/>
          <w:szCs w:val="18"/>
          <w:lang w:eastAsia="en-US"/>
        </w:rPr>
        <w:lastRenderedPageBreak/>
        <w:t xml:space="preserve">uitvoeringsorganisaties, publiek-private consortia, fondsbeheer en </w:t>
      </w:r>
      <w:r w:rsidR="003776B1">
        <w:rPr>
          <w:rFonts w:eastAsia="Verdana" w:cs="Verdana"/>
          <w:color w:val="000000"/>
          <w:szCs w:val="18"/>
          <w:lang w:eastAsia="en-US"/>
        </w:rPr>
        <w:t>A</w:t>
      </w:r>
      <w:r w:rsidRPr="005314CC">
        <w:rPr>
          <w:rFonts w:eastAsia="Verdana" w:cs="Verdana"/>
          <w:color w:val="000000"/>
          <w:szCs w:val="18"/>
          <w:lang w:eastAsia="en-US"/>
        </w:rPr>
        <w:t>dviescommissie N</w:t>
      </w:r>
      <w:r w:rsidR="003776B1">
        <w:rPr>
          <w:rFonts w:eastAsia="Verdana" w:cs="Verdana"/>
          <w:color w:val="000000"/>
          <w:szCs w:val="18"/>
          <w:lang w:eastAsia="en-US"/>
        </w:rPr>
        <w:t>ationaal Groeifonds</w:t>
      </w:r>
      <w:r w:rsidRPr="005314CC">
        <w:rPr>
          <w:rFonts w:eastAsia="Verdana" w:cs="Verdana"/>
          <w:color w:val="000000"/>
          <w:szCs w:val="18"/>
          <w:lang w:eastAsia="en-US"/>
        </w:rPr>
        <w:t>).</w:t>
      </w:r>
    </w:p>
    <w:p w:rsidRPr="005314CC" w:rsidR="005314CC" w:rsidP="003B08CE" w:rsidRDefault="005314CC" w14:paraId="78AB4D4D" w14:textId="77777777">
      <w:pPr>
        <w:rPr>
          <w:rFonts w:eastAsia="Verdana" w:cs="Verdana"/>
          <w:szCs w:val="18"/>
          <w:lang w:eastAsia="en-US"/>
        </w:rPr>
      </w:pPr>
    </w:p>
    <w:p w:rsidRPr="005314CC" w:rsidR="005314CC" w:rsidP="003B08CE" w:rsidRDefault="005314CC" w14:paraId="5EC1807A" w14:textId="77777777">
      <w:pPr>
        <w:rPr>
          <w:rFonts w:eastAsia="Verdana" w:cs="Verdana"/>
          <w:b/>
          <w:szCs w:val="18"/>
          <w:lang w:eastAsia="en-US"/>
        </w:rPr>
      </w:pPr>
      <w:r w:rsidRPr="005314CC">
        <w:rPr>
          <w:rFonts w:eastAsia="Verdana" w:cs="Verdana"/>
          <w:b/>
          <w:bCs/>
          <w:szCs w:val="18"/>
          <w:lang w:eastAsia="en-US"/>
        </w:rPr>
        <w:t>Aanbevelingen</w:t>
      </w:r>
    </w:p>
    <w:p w:rsidRPr="005314CC" w:rsidR="005314CC" w:rsidP="003B08CE" w:rsidRDefault="005314CC" w14:paraId="406AABC0" w14:textId="77777777">
      <w:pPr>
        <w:rPr>
          <w:rFonts w:ascii="Aptos" w:hAnsi="Aptos" w:eastAsia="Aptos" w:cs="Arial"/>
          <w:sz w:val="24"/>
          <w:lang w:eastAsia="en-US"/>
        </w:rPr>
      </w:pPr>
      <w:r w:rsidRPr="005314CC">
        <w:rPr>
          <w:rFonts w:eastAsia="Verdana" w:cs="Verdana"/>
          <w:szCs w:val="18"/>
          <w:lang w:eastAsia="en-US"/>
        </w:rPr>
        <w:t xml:space="preserve">ABD komt tot aanbevelingen op zeven thema’s. Daarvan hebben er zes betrekking op de uitvoering van de huidige 50 projecten en één op een eventueel vervolg op het fonds. In het kort zien de aanbevelingen op de thema’s: </w:t>
      </w:r>
    </w:p>
    <w:p w:rsidRPr="005314CC" w:rsidR="005314CC" w:rsidP="003B08CE" w:rsidRDefault="005314CC" w14:paraId="574BC003" w14:textId="77777777">
      <w:pPr>
        <w:numPr>
          <w:ilvl w:val="0"/>
          <w:numId w:val="15"/>
        </w:numPr>
        <w:contextualSpacing/>
        <w:rPr>
          <w:rFonts w:eastAsia="Verdana" w:cs="Verdana"/>
          <w:szCs w:val="18"/>
          <w:lang w:eastAsia="en-US"/>
        </w:rPr>
      </w:pPr>
      <w:r w:rsidRPr="005314CC">
        <w:rPr>
          <w:rFonts w:eastAsia="Verdana" w:cs="Verdana"/>
          <w:i/>
          <w:iCs/>
          <w:szCs w:val="18"/>
          <w:lang w:eastAsia="en-US"/>
        </w:rPr>
        <w:t xml:space="preserve">Versterking van de uitvoeringscultuur; </w:t>
      </w:r>
      <w:r w:rsidRPr="005314CC">
        <w:rPr>
          <w:rFonts w:eastAsia="Verdana" w:cs="Verdana"/>
          <w:szCs w:val="18"/>
          <w:lang w:eastAsia="en-US"/>
        </w:rPr>
        <w:t>deze aanbevelingen zien vooral op kennisdeling tussen projecten en de sturing op de doelstelling van de projecten vanuit fondsbeheer.</w:t>
      </w:r>
    </w:p>
    <w:p w:rsidRPr="005314CC" w:rsidR="005314CC" w:rsidP="003B08CE" w:rsidRDefault="005314CC" w14:paraId="10121613" w14:textId="77777777">
      <w:pPr>
        <w:numPr>
          <w:ilvl w:val="0"/>
          <w:numId w:val="15"/>
        </w:numPr>
        <w:contextualSpacing/>
        <w:rPr>
          <w:rFonts w:eastAsia="Verdana" w:cs="Verdana"/>
          <w:szCs w:val="18"/>
          <w:lang w:eastAsia="en-US"/>
        </w:rPr>
      </w:pPr>
      <w:r w:rsidRPr="005314CC">
        <w:rPr>
          <w:rFonts w:eastAsia="Verdana" w:cs="Verdana"/>
          <w:i/>
          <w:iCs/>
          <w:szCs w:val="18"/>
          <w:lang w:eastAsia="en-US"/>
        </w:rPr>
        <w:t xml:space="preserve">Versterking van de rol van de uitvoerende departementen; </w:t>
      </w:r>
      <w:r w:rsidRPr="005314CC">
        <w:rPr>
          <w:rFonts w:eastAsia="Verdana" w:cs="Verdana"/>
          <w:szCs w:val="18"/>
          <w:lang w:eastAsia="en-US"/>
        </w:rPr>
        <w:t xml:space="preserve">deze aanbevelingen zien op het borgen van voldoende capaciteit en expertise bij de departementen voor de uitvoering van de projecten waarvoor zij verantwoordelijk zijn. </w:t>
      </w:r>
    </w:p>
    <w:p w:rsidRPr="005314CC" w:rsidR="005314CC" w:rsidP="003B08CE" w:rsidRDefault="005314CC" w14:paraId="20E5885B" w14:textId="77777777">
      <w:pPr>
        <w:numPr>
          <w:ilvl w:val="0"/>
          <w:numId w:val="15"/>
        </w:numPr>
        <w:contextualSpacing/>
        <w:rPr>
          <w:rFonts w:eastAsia="Verdana" w:cs="Verdana"/>
          <w:i/>
          <w:iCs/>
          <w:szCs w:val="18"/>
          <w:lang w:eastAsia="en-US"/>
        </w:rPr>
      </w:pPr>
      <w:r w:rsidRPr="005314CC">
        <w:rPr>
          <w:rFonts w:eastAsia="Verdana" w:cs="Verdana"/>
          <w:i/>
          <w:iCs/>
          <w:szCs w:val="18"/>
          <w:lang w:eastAsia="en-US"/>
        </w:rPr>
        <w:t>Meer betrekken van het hogere management bij zowel de projectverantwoordelijke departementen als het fondsbeheer.</w:t>
      </w:r>
    </w:p>
    <w:p w:rsidRPr="005314CC" w:rsidR="005314CC" w:rsidP="003B08CE" w:rsidRDefault="005314CC" w14:paraId="20ACE067" w14:textId="1FE7A9EF">
      <w:pPr>
        <w:numPr>
          <w:ilvl w:val="0"/>
          <w:numId w:val="15"/>
        </w:numPr>
        <w:contextualSpacing/>
        <w:rPr>
          <w:rFonts w:eastAsia="Verdana" w:cs="Verdana"/>
          <w:szCs w:val="18"/>
          <w:lang w:eastAsia="en-US"/>
        </w:rPr>
      </w:pPr>
      <w:r w:rsidRPr="005314CC">
        <w:rPr>
          <w:rFonts w:eastAsia="Verdana" w:cs="Verdana"/>
          <w:i/>
          <w:iCs/>
          <w:szCs w:val="18"/>
          <w:lang w:eastAsia="en-US"/>
        </w:rPr>
        <w:t>Het breder bekendmaken en in de praktijk doorvoeren van het beheerraamwerk</w:t>
      </w:r>
      <w:r w:rsidRPr="005314CC">
        <w:rPr>
          <w:rFonts w:eastAsia="Verdana" w:cs="Verdana"/>
          <w:szCs w:val="18"/>
          <w:lang w:eastAsia="en-US"/>
        </w:rPr>
        <w:t>; deze aanbevelingen zien op het beheerraamwerk</w:t>
      </w:r>
      <w:r w:rsidR="0030257B">
        <w:rPr>
          <w:rStyle w:val="Voetnootmarkering"/>
          <w:rFonts w:eastAsia="Verdana" w:cs="Verdana"/>
          <w:szCs w:val="18"/>
          <w:lang w:eastAsia="en-US"/>
        </w:rPr>
        <w:footnoteReference w:id="1"/>
      </w:r>
      <w:r w:rsidR="00E91789">
        <w:rPr>
          <w:rFonts w:eastAsia="Verdana" w:cs="Verdana"/>
          <w:szCs w:val="18"/>
          <w:lang w:eastAsia="en-US"/>
        </w:rPr>
        <w:t>,</w:t>
      </w:r>
      <w:r w:rsidRPr="005314CC">
        <w:rPr>
          <w:rFonts w:eastAsia="Verdana" w:cs="Verdana"/>
          <w:szCs w:val="18"/>
          <w:lang w:eastAsia="en-US"/>
        </w:rPr>
        <w:t xml:space="preserve"> </w:t>
      </w:r>
      <w:r w:rsidRPr="00E91789" w:rsidR="00E91789">
        <w:rPr>
          <w:rFonts w:eastAsia="Verdana" w:cs="Verdana"/>
          <w:szCs w:val="18"/>
          <w:lang w:eastAsia="en-US"/>
        </w:rPr>
        <w:t>een praktijkgerichte beschrijving van en handleiding voor het beheer van NGF-projecten</w:t>
      </w:r>
      <w:r w:rsidR="00E91789">
        <w:rPr>
          <w:rFonts w:eastAsia="Verdana" w:cs="Verdana"/>
          <w:szCs w:val="18"/>
          <w:lang w:eastAsia="en-US"/>
        </w:rPr>
        <w:t xml:space="preserve"> door</w:t>
      </w:r>
      <w:r w:rsidRPr="005314CC">
        <w:rPr>
          <w:rFonts w:eastAsia="Verdana" w:cs="Verdana"/>
          <w:szCs w:val="18"/>
          <w:lang w:eastAsia="en-US"/>
        </w:rPr>
        <w:t xml:space="preserve"> fondsbeheer en de uitvoerende departementen. ABD constateert dat de uitvoering van </w:t>
      </w:r>
      <w:r w:rsidR="003776B1">
        <w:rPr>
          <w:rFonts w:eastAsia="Verdana" w:cs="Verdana"/>
          <w:szCs w:val="18"/>
          <w:lang w:eastAsia="en-US"/>
        </w:rPr>
        <w:t xml:space="preserve">het </w:t>
      </w:r>
      <w:r w:rsidRPr="005314CC">
        <w:rPr>
          <w:rFonts w:eastAsia="Verdana" w:cs="Verdana"/>
          <w:szCs w:val="18"/>
          <w:lang w:eastAsia="en-US"/>
        </w:rPr>
        <w:t xml:space="preserve">beheer verbeterd kan worden door de bekendheid </w:t>
      </w:r>
      <w:r w:rsidR="003776B1">
        <w:rPr>
          <w:rFonts w:eastAsia="Verdana" w:cs="Verdana"/>
          <w:szCs w:val="18"/>
          <w:lang w:eastAsia="en-US"/>
        </w:rPr>
        <w:t xml:space="preserve">van het beheerraamwerk </w:t>
      </w:r>
      <w:r w:rsidRPr="005314CC">
        <w:rPr>
          <w:rFonts w:eastAsia="Verdana" w:cs="Verdana"/>
          <w:szCs w:val="18"/>
          <w:lang w:eastAsia="en-US"/>
        </w:rPr>
        <w:t xml:space="preserve">te vergroten bij deze partijen. </w:t>
      </w:r>
    </w:p>
    <w:p w:rsidRPr="005314CC" w:rsidR="005314CC" w:rsidP="003B08CE" w:rsidRDefault="005314CC" w14:paraId="2329A4FD" w14:textId="77777777">
      <w:pPr>
        <w:numPr>
          <w:ilvl w:val="0"/>
          <w:numId w:val="15"/>
        </w:numPr>
        <w:contextualSpacing/>
        <w:rPr>
          <w:rFonts w:eastAsia="Verdana" w:cs="Verdana"/>
          <w:szCs w:val="18"/>
          <w:lang w:eastAsia="en-US"/>
        </w:rPr>
      </w:pPr>
      <w:r w:rsidRPr="005314CC">
        <w:rPr>
          <w:rFonts w:eastAsia="Verdana" w:cs="Verdana"/>
          <w:i/>
          <w:iCs/>
          <w:szCs w:val="18"/>
          <w:lang w:eastAsia="en-US"/>
        </w:rPr>
        <w:t xml:space="preserve">Stroomlijn proces staatssteuntoets; </w:t>
      </w:r>
      <w:r w:rsidRPr="005314CC">
        <w:rPr>
          <w:rFonts w:eastAsia="Verdana" w:cs="Verdana"/>
          <w:szCs w:val="18"/>
          <w:lang w:eastAsia="en-US"/>
        </w:rPr>
        <w:t xml:space="preserve">ABD stelt voor de processen rondom staatssteuntoetsing zo veel mogelijk te stroomlijnen om dit proces waar mogelijk efficiënter in te richten. </w:t>
      </w:r>
    </w:p>
    <w:p w:rsidRPr="005314CC" w:rsidR="005314CC" w:rsidP="003B08CE" w:rsidRDefault="005314CC" w14:paraId="0FAB4206" w14:textId="77777777">
      <w:pPr>
        <w:numPr>
          <w:ilvl w:val="0"/>
          <w:numId w:val="15"/>
        </w:numPr>
        <w:contextualSpacing/>
        <w:rPr>
          <w:rFonts w:eastAsia="Verdana" w:cs="Verdana"/>
          <w:szCs w:val="18"/>
          <w:lang w:eastAsia="en-US"/>
        </w:rPr>
      </w:pPr>
      <w:r w:rsidRPr="005314CC">
        <w:rPr>
          <w:rFonts w:eastAsia="Verdana" w:cs="Verdana"/>
          <w:i/>
          <w:iCs/>
          <w:szCs w:val="18"/>
          <w:lang w:eastAsia="en-US"/>
        </w:rPr>
        <w:t>Optimaliseer informatiepositie consortia;</w:t>
      </w:r>
      <w:r w:rsidRPr="005314CC">
        <w:rPr>
          <w:rFonts w:eastAsia="Verdana" w:cs="Verdana"/>
          <w:szCs w:val="18"/>
          <w:lang w:eastAsia="en-US"/>
        </w:rPr>
        <w:t xml:space="preserve"> ABD constateert dat de consortia, die een regiefunctie hebben bij de uitvoering van het NGF-project, niet altijd dezelfde informatiepositie hebben als de betrokken uitvoeringsorganisatie en doet aanbevelingen om de informatiepositie van de consortia te verbeteren.</w:t>
      </w:r>
    </w:p>
    <w:p w:rsidRPr="005314CC" w:rsidR="005314CC" w:rsidP="003B08CE" w:rsidRDefault="005314CC" w14:paraId="381097ED" w14:textId="77777777">
      <w:pPr>
        <w:numPr>
          <w:ilvl w:val="0"/>
          <w:numId w:val="15"/>
        </w:numPr>
        <w:contextualSpacing/>
        <w:rPr>
          <w:rFonts w:eastAsia="Verdana" w:cs="Verdana"/>
          <w:i/>
          <w:iCs/>
          <w:szCs w:val="18"/>
          <w:lang w:eastAsia="en-US"/>
        </w:rPr>
      </w:pPr>
      <w:r w:rsidRPr="005314CC">
        <w:rPr>
          <w:rFonts w:eastAsia="Verdana" w:cs="Verdana"/>
          <w:i/>
          <w:iCs/>
          <w:szCs w:val="18"/>
          <w:lang w:eastAsia="en-US"/>
        </w:rPr>
        <w:t xml:space="preserve">Aanbevelingen voor een nieuwe financieringsronde; </w:t>
      </w:r>
      <w:r w:rsidRPr="005314CC">
        <w:rPr>
          <w:rFonts w:eastAsia="Verdana" w:cs="Verdana"/>
          <w:szCs w:val="18"/>
          <w:lang w:eastAsia="en-US"/>
        </w:rPr>
        <w:t xml:space="preserve">deze aanbevelingen zien onder andere op het borgen van de lessons learned uit het NGF voor het bredere kennis- en innovatiebeleid alsmede voor eventuele toekomstige rondes. </w:t>
      </w:r>
    </w:p>
    <w:p w:rsidRPr="005314CC" w:rsidR="005314CC" w:rsidP="003B08CE" w:rsidRDefault="005314CC" w14:paraId="6FA13E54" w14:textId="77777777">
      <w:pPr>
        <w:rPr>
          <w:rFonts w:eastAsia="Verdana" w:cs="Verdana"/>
          <w:b/>
          <w:bCs/>
          <w:szCs w:val="18"/>
          <w:lang w:eastAsia="en-US"/>
        </w:rPr>
      </w:pPr>
    </w:p>
    <w:p w:rsidRPr="005314CC" w:rsidR="005314CC" w:rsidP="003B08CE" w:rsidRDefault="005314CC" w14:paraId="17E1178D" w14:textId="77777777">
      <w:pPr>
        <w:rPr>
          <w:rFonts w:ascii="Aptos" w:hAnsi="Aptos" w:eastAsia="Aptos" w:cs="Arial"/>
          <w:sz w:val="24"/>
          <w:lang w:eastAsia="en-US"/>
        </w:rPr>
      </w:pPr>
      <w:r w:rsidRPr="005314CC">
        <w:rPr>
          <w:rFonts w:eastAsia="Verdana" w:cs="Verdana"/>
          <w:b/>
          <w:bCs/>
          <w:szCs w:val="18"/>
          <w:lang w:eastAsia="en-US"/>
        </w:rPr>
        <w:t>Vervolg</w:t>
      </w:r>
    </w:p>
    <w:p w:rsidRPr="005314CC" w:rsidR="005314CC" w:rsidP="003B08CE" w:rsidRDefault="005314CC" w14:paraId="31513997" w14:textId="77777777">
      <w:pPr>
        <w:rPr>
          <w:rFonts w:eastAsia="Verdana" w:cs="Verdana"/>
          <w:szCs w:val="18"/>
          <w:lang w:eastAsia="en-US"/>
        </w:rPr>
      </w:pPr>
      <w:r w:rsidRPr="005314CC">
        <w:rPr>
          <w:rFonts w:eastAsia="Verdana" w:cs="Verdana"/>
          <w:szCs w:val="18"/>
          <w:lang w:eastAsia="en-US"/>
        </w:rPr>
        <w:t>De aanbevelingen van ABD zijn waardevol en we nemen deze mee bij het verbeteren van de uitvoering van NGF-projecten. De aanbevelingen gericht op een nieuwe financieringsronde van het NGF en breder innovatie-instrumentarium zullen worden meegenomen in de ontwikkeling van nieuwe financieringsinstrumenten die in het coalitieakkoord</w:t>
      </w:r>
      <w:r w:rsidRPr="005314CC">
        <w:rPr>
          <w:rFonts w:eastAsia="Verdana" w:cs="Verdana"/>
          <w:szCs w:val="18"/>
          <w:vertAlign w:val="superscript"/>
          <w:lang w:eastAsia="en-US"/>
        </w:rPr>
        <w:footnoteReference w:id="2"/>
      </w:r>
      <w:r w:rsidRPr="005314CC">
        <w:rPr>
          <w:rFonts w:eastAsia="Verdana" w:cs="Verdana"/>
          <w:szCs w:val="18"/>
          <w:lang w:eastAsia="en-US"/>
        </w:rPr>
        <w:t xml:space="preserve"> zijn opgenomen. Daarnaast zult u naar aanleiding van het coalitieakkoord nader worden geïnformeerd over de uitwerking van de passage die aangeeft dat aan de Nationale Investeringsinstelling een onderdeel toegevoegd wordt dat kan dienen als de opvolger van het huidige Nationaal Groeifonds. </w:t>
      </w:r>
    </w:p>
    <w:p w:rsidR="005314CC" w:rsidP="003B08CE" w:rsidRDefault="005314CC" w14:paraId="76FE51A7" w14:textId="77777777">
      <w:pPr>
        <w:rPr>
          <w:szCs w:val="18"/>
        </w:rPr>
      </w:pPr>
    </w:p>
    <w:p w:rsidR="005314CC" w:rsidP="003B08CE" w:rsidRDefault="005314CC" w14:paraId="0902113A" w14:textId="77777777">
      <w:pPr>
        <w:rPr>
          <w:szCs w:val="18"/>
        </w:rPr>
      </w:pPr>
    </w:p>
    <w:p w:rsidRPr="005314CC" w:rsidR="00C90702" w:rsidP="003B08CE" w:rsidRDefault="00385F7F" w14:paraId="16E3E0C7" w14:textId="36C39A45">
      <w:r>
        <w:rPr>
          <w:szCs w:val="18"/>
        </w:rPr>
        <w:t>Heleen Herbert</w:t>
      </w:r>
    </w:p>
    <w:p w:rsidR="00BD2D73" w:rsidP="003B08CE" w:rsidRDefault="00385F7F" w14:paraId="1EC2DE6F" w14:textId="179F35A2">
      <w:r w:rsidRPr="005C65B5">
        <w:t>Minister van Economische Zaken</w:t>
      </w:r>
      <w:r w:rsidR="00F12C95">
        <w:t xml:space="preserve"> en Klimaat</w:t>
      </w:r>
    </w:p>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987D" w14:textId="77777777" w:rsidR="00906761" w:rsidRDefault="00906761">
      <w:r>
        <w:separator/>
      </w:r>
    </w:p>
    <w:p w14:paraId="01A1BABF" w14:textId="77777777" w:rsidR="00906761" w:rsidRDefault="00906761"/>
  </w:endnote>
  <w:endnote w:type="continuationSeparator" w:id="0">
    <w:p w14:paraId="0F36C922" w14:textId="77777777" w:rsidR="00906761" w:rsidRDefault="00906761">
      <w:r>
        <w:continuationSeparator/>
      </w:r>
    </w:p>
    <w:p w14:paraId="43CEE745" w14:textId="77777777" w:rsidR="00906761" w:rsidRDefault="00906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24D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706C" w14:paraId="446ECFF1" w14:textId="77777777" w:rsidTr="00CA6A25">
      <w:trPr>
        <w:trHeight w:hRule="exact" w:val="240"/>
      </w:trPr>
      <w:tc>
        <w:tcPr>
          <w:tcW w:w="7601" w:type="dxa"/>
        </w:tcPr>
        <w:p w14:paraId="27A2307B" w14:textId="77777777" w:rsidR="00527BD4" w:rsidRDefault="00527BD4" w:rsidP="003F1F6B">
          <w:pPr>
            <w:pStyle w:val="Huisstijl-Rubricering"/>
          </w:pPr>
        </w:p>
      </w:tc>
      <w:tc>
        <w:tcPr>
          <w:tcW w:w="2156" w:type="dxa"/>
        </w:tcPr>
        <w:p w14:paraId="142AAE56" w14:textId="4F186E2D" w:rsidR="00527BD4" w:rsidRPr="00645414" w:rsidRDefault="00385F7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2</w:t>
          </w:r>
          <w:r w:rsidR="004425CC">
            <w:fldChar w:fldCharType="end"/>
          </w:r>
        </w:p>
      </w:tc>
    </w:tr>
  </w:tbl>
  <w:p w14:paraId="6A2C1AF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706C" w14:paraId="2B04D6CB" w14:textId="77777777" w:rsidTr="00CA6A25">
      <w:trPr>
        <w:trHeight w:hRule="exact" w:val="240"/>
      </w:trPr>
      <w:tc>
        <w:tcPr>
          <w:tcW w:w="7601" w:type="dxa"/>
        </w:tcPr>
        <w:p w14:paraId="57398F07" w14:textId="77777777" w:rsidR="00527BD4" w:rsidRDefault="00527BD4" w:rsidP="008C356D">
          <w:pPr>
            <w:pStyle w:val="Huisstijl-Rubricering"/>
          </w:pPr>
        </w:p>
      </w:tc>
      <w:tc>
        <w:tcPr>
          <w:tcW w:w="2170" w:type="dxa"/>
        </w:tcPr>
        <w:p w14:paraId="5630D915" w14:textId="2EF78C4E" w:rsidR="00527BD4" w:rsidRPr="00ED539E" w:rsidRDefault="00385F7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t>2</w:t>
          </w:r>
          <w:r w:rsidR="006A013B">
            <w:fldChar w:fldCharType="end"/>
          </w:r>
        </w:p>
      </w:tc>
    </w:tr>
  </w:tbl>
  <w:p w14:paraId="73B0ED41" w14:textId="77777777" w:rsidR="00527BD4" w:rsidRPr="00BC3B53" w:rsidRDefault="00527BD4" w:rsidP="008C356D">
    <w:pPr>
      <w:pStyle w:val="Voettekst"/>
      <w:spacing w:line="240" w:lineRule="auto"/>
      <w:rPr>
        <w:sz w:val="2"/>
        <w:szCs w:val="2"/>
      </w:rPr>
    </w:pPr>
  </w:p>
  <w:p w14:paraId="658AC9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71C0" w14:textId="77777777" w:rsidR="00906761" w:rsidRDefault="00906761">
      <w:r>
        <w:separator/>
      </w:r>
    </w:p>
    <w:p w14:paraId="4E5AA0D3" w14:textId="77777777" w:rsidR="00906761" w:rsidRDefault="00906761"/>
  </w:footnote>
  <w:footnote w:type="continuationSeparator" w:id="0">
    <w:p w14:paraId="62EB9999" w14:textId="77777777" w:rsidR="00906761" w:rsidRDefault="00906761">
      <w:r>
        <w:continuationSeparator/>
      </w:r>
    </w:p>
    <w:p w14:paraId="037062B8" w14:textId="77777777" w:rsidR="00906761" w:rsidRDefault="00906761"/>
  </w:footnote>
  <w:footnote w:id="1">
    <w:p w14:paraId="5163F084" w14:textId="023C9F89" w:rsidR="0030257B" w:rsidRPr="003B08CE" w:rsidRDefault="0030257B">
      <w:pPr>
        <w:pStyle w:val="Voetnoottekst"/>
        <w:rPr>
          <w:szCs w:val="13"/>
        </w:rPr>
      </w:pPr>
      <w:r w:rsidRPr="003B08CE">
        <w:rPr>
          <w:rStyle w:val="Voetnootmarkering"/>
          <w:szCs w:val="13"/>
        </w:rPr>
        <w:footnoteRef/>
      </w:r>
      <w:r w:rsidRPr="003B08CE">
        <w:rPr>
          <w:szCs w:val="13"/>
        </w:rPr>
        <w:t xml:space="preserve"> </w:t>
      </w:r>
      <w:hyperlink r:id="rId1" w:history="1">
        <w:r w:rsidRPr="003B08CE">
          <w:rPr>
            <w:color w:val="0000FF"/>
            <w:szCs w:val="13"/>
            <w:u w:val="single"/>
          </w:rPr>
          <w:t>Beheerraamwerk Nationaal Groeifonds maart 2026 | Nationaal Groeifonds</w:t>
        </w:r>
      </w:hyperlink>
    </w:p>
  </w:footnote>
  <w:footnote w:id="2">
    <w:p w14:paraId="70A5C0FB" w14:textId="77777777" w:rsidR="005314CC" w:rsidRPr="003B08CE" w:rsidRDefault="005314CC" w:rsidP="005314CC">
      <w:pPr>
        <w:pStyle w:val="Voetnoottekst"/>
        <w:rPr>
          <w:szCs w:val="13"/>
        </w:rPr>
      </w:pPr>
      <w:r w:rsidRPr="003B08CE">
        <w:rPr>
          <w:rStyle w:val="Voetnootmarkering"/>
          <w:szCs w:val="13"/>
        </w:rPr>
        <w:footnoteRef/>
      </w:r>
      <w:r w:rsidRPr="003B08CE">
        <w:rPr>
          <w:szCs w:val="13"/>
        </w:rPr>
        <w:t xml:space="preserve"> </w:t>
      </w:r>
      <w:hyperlink r:id="rId2" w:history="1">
        <w:r w:rsidRPr="003B08CE">
          <w:rPr>
            <w:rStyle w:val="Hyperlink"/>
            <w:szCs w:val="13"/>
          </w:rPr>
          <w:t>Aan de slag - Coalitieakkoord 2026-2030 | Kabinetsformatie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706C" w14:paraId="4ADE7CAB" w14:textId="77777777" w:rsidTr="00A50CF6">
      <w:tc>
        <w:tcPr>
          <w:tcW w:w="2156" w:type="dxa"/>
        </w:tcPr>
        <w:p w14:paraId="01D105F7" w14:textId="77777777" w:rsidR="00527BD4" w:rsidRPr="005819CE" w:rsidRDefault="00385F7F" w:rsidP="00A50CF6">
          <w:pPr>
            <w:pStyle w:val="Huisstijl-Adres"/>
            <w:rPr>
              <w:b/>
            </w:rPr>
          </w:pPr>
          <w:r>
            <w:rPr>
              <w:b/>
            </w:rPr>
            <w:t>Directoraat-generaal Economie en Digitalisering</w:t>
          </w:r>
          <w:r w:rsidRPr="005819CE">
            <w:rPr>
              <w:b/>
            </w:rPr>
            <w:br/>
          </w:r>
          <w:r>
            <w:t>Directie Algemene Economische Politiek</w:t>
          </w:r>
        </w:p>
      </w:tc>
    </w:tr>
    <w:tr w:rsidR="0034706C" w14:paraId="3B4C0354" w14:textId="77777777" w:rsidTr="00A50CF6">
      <w:trPr>
        <w:trHeight w:hRule="exact" w:val="200"/>
      </w:trPr>
      <w:tc>
        <w:tcPr>
          <w:tcW w:w="2156" w:type="dxa"/>
        </w:tcPr>
        <w:p w14:paraId="54617ED8" w14:textId="77777777" w:rsidR="00527BD4" w:rsidRPr="005819CE" w:rsidRDefault="00527BD4" w:rsidP="00A50CF6"/>
      </w:tc>
    </w:tr>
    <w:tr w:rsidR="0034706C" w14:paraId="096CE8BB" w14:textId="77777777" w:rsidTr="00502512">
      <w:trPr>
        <w:trHeight w:hRule="exact" w:val="774"/>
      </w:trPr>
      <w:tc>
        <w:tcPr>
          <w:tcW w:w="2156" w:type="dxa"/>
        </w:tcPr>
        <w:p w14:paraId="6E2885B4" w14:textId="77777777" w:rsidR="00527BD4" w:rsidRDefault="00385F7F" w:rsidP="003A5290">
          <w:pPr>
            <w:pStyle w:val="Huisstijl-Kopje"/>
          </w:pPr>
          <w:r>
            <w:t>Ons kenmerk</w:t>
          </w:r>
        </w:p>
        <w:p w14:paraId="239E4294" w14:textId="77777777" w:rsidR="00527BD4" w:rsidRPr="005819CE" w:rsidRDefault="00385F7F" w:rsidP="004425CC">
          <w:pPr>
            <w:pStyle w:val="Huisstijl-Kopje"/>
          </w:pPr>
          <w:r>
            <w:rPr>
              <w:b w:val="0"/>
            </w:rPr>
            <w:t>DGED-AEP</w:t>
          </w:r>
          <w:r w:rsidRPr="00502512">
            <w:rPr>
              <w:b w:val="0"/>
            </w:rPr>
            <w:t xml:space="preserve"> / </w:t>
          </w:r>
          <w:r>
            <w:rPr>
              <w:b w:val="0"/>
            </w:rPr>
            <w:t>104433401</w:t>
          </w:r>
        </w:p>
      </w:tc>
    </w:tr>
  </w:tbl>
  <w:p w14:paraId="6366CCF9" w14:textId="77777777" w:rsidR="00527BD4" w:rsidRDefault="00527BD4" w:rsidP="004F44C2"/>
  <w:p w14:paraId="79D24B8A" w14:textId="77777777" w:rsidR="00527BD4" w:rsidRPr="00740712" w:rsidRDefault="00527BD4" w:rsidP="004F44C2"/>
  <w:p w14:paraId="13A8DA3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706C" w14:paraId="090ECCDC" w14:textId="77777777" w:rsidTr="00751A6A">
      <w:trPr>
        <w:trHeight w:val="2636"/>
      </w:trPr>
      <w:tc>
        <w:tcPr>
          <w:tcW w:w="737" w:type="dxa"/>
        </w:tcPr>
        <w:p w14:paraId="25C073EA" w14:textId="77777777" w:rsidR="00527BD4" w:rsidRDefault="00527BD4" w:rsidP="00D0609E">
          <w:pPr>
            <w:framePr w:w="6340" w:h="2750" w:hRule="exact" w:hSpace="180" w:wrap="around" w:vAnchor="page" w:hAnchor="text" w:x="3873" w:y="-140"/>
            <w:spacing w:line="240" w:lineRule="auto"/>
          </w:pPr>
        </w:p>
      </w:tc>
      <w:tc>
        <w:tcPr>
          <w:tcW w:w="5156" w:type="dxa"/>
        </w:tcPr>
        <w:p w14:paraId="632BA5C8" w14:textId="77777777" w:rsidR="00527BD4" w:rsidRDefault="00385F7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2CEE232" wp14:editId="35C88CC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C83D854" w14:textId="77777777" w:rsidR="007269E3" w:rsidRDefault="007269E3" w:rsidP="00651CEE">
          <w:pPr>
            <w:framePr w:w="6340" w:h="2750" w:hRule="exact" w:hSpace="180" w:wrap="around" w:vAnchor="page" w:hAnchor="text" w:x="3873" w:y="-140"/>
            <w:spacing w:line="240" w:lineRule="auto"/>
          </w:pPr>
        </w:p>
      </w:tc>
    </w:tr>
  </w:tbl>
  <w:p w14:paraId="17D5CC32" w14:textId="77777777" w:rsidR="00527BD4" w:rsidRDefault="00527BD4" w:rsidP="00D0609E">
    <w:pPr>
      <w:framePr w:w="6340" w:h="2750" w:hRule="exact" w:hSpace="180" w:wrap="around" w:vAnchor="page" w:hAnchor="text" w:x="3873" w:y="-140"/>
    </w:pPr>
  </w:p>
  <w:p w14:paraId="00075D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706C" w:rsidRPr="003B08CE" w14:paraId="71B45AEB" w14:textId="77777777" w:rsidTr="00A50CF6">
      <w:tc>
        <w:tcPr>
          <w:tcW w:w="2160" w:type="dxa"/>
        </w:tcPr>
        <w:p w14:paraId="3598E2F7" w14:textId="77777777" w:rsidR="00527BD4" w:rsidRPr="005819CE" w:rsidRDefault="00385F7F" w:rsidP="00A50CF6">
          <w:pPr>
            <w:pStyle w:val="Huisstijl-Adres"/>
            <w:rPr>
              <w:b/>
            </w:rPr>
          </w:pPr>
          <w:r>
            <w:rPr>
              <w:b/>
            </w:rPr>
            <w:t>Directoraat-generaal Economie en Digitalisering</w:t>
          </w:r>
          <w:r w:rsidRPr="005819CE">
            <w:rPr>
              <w:b/>
            </w:rPr>
            <w:br/>
          </w:r>
          <w:r>
            <w:t>Directie Algemene Economische Politiek</w:t>
          </w:r>
        </w:p>
        <w:p w14:paraId="4547DD92" w14:textId="77777777" w:rsidR="00527BD4" w:rsidRPr="00BE5ED9" w:rsidRDefault="00385F7F" w:rsidP="00A50CF6">
          <w:pPr>
            <w:pStyle w:val="Huisstijl-Adres"/>
          </w:pPr>
          <w:r>
            <w:rPr>
              <w:b/>
            </w:rPr>
            <w:t>Bezoekadres</w:t>
          </w:r>
          <w:r>
            <w:rPr>
              <w:b/>
            </w:rPr>
            <w:br/>
          </w:r>
          <w:r>
            <w:t>Bezuidenhoutseweg 73</w:t>
          </w:r>
          <w:r w:rsidRPr="005819CE">
            <w:br/>
          </w:r>
          <w:r>
            <w:t>2594 AC Den Haag</w:t>
          </w:r>
        </w:p>
        <w:p w14:paraId="710C0839" w14:textId="77777777" w:rsidR="00EF495B" w:rsidRDefault="00385F7F" w:rsidP="0098788A">
          <w:pPr>
            <w:pStyle w:val="Huisstijl-Adres"/>
          </w:pPr>
          <w:r>
            <w:rPr>
              <w:b/>
            </w:rPr>
            <w:t>Postadres</w:t>
          </w:r>
          <w:r>
            <w:rPr>
              <w:b/>
            </w:rPr>
            <w:br/>
          </w:r>
          <w:r>
            <w:t>Postbus 20401</w:t>
          </w:r>
          <w:r w:rsidRPr="005819CE">
            <w:br/>
            <w:t>2500 E</w:t>
          </w:r>
          <w:r>
            <w:t>K</w:t>
          </w:r>
          <w:r w:rsidRPr="005819CE">
            <w:t xml:space="preserve"> Den Haag</w:t>
          </w:r>
        </w:p>
        <w:p w14:paraId="75A458E8" w14:textId="77777777" w:rsidR="00EF495B" w:rsidRPr="005B3814" w:rsidRDefault="00385F7F" w:rsidP="0098788A">
          <w:pPr>
            <w:pStyle w:val="Huisstijl-Adres"/>
          </w:pPr>
          <w:r>
            <w:rPr>
              <w:b/>
            </w:rPr>
            <w:t>Overheidsidentificatienr</w:t>
          </w:r>
          <w:r>
            <w:rPr>
              <w:b/>
            </w:rPr>
            <w:br/>
          </w:r>
          <w:r w:rsidRPr="005B3814">
            <w:t>00000001003214369000</w:t>
          </w:r>
        </w:p>
        <w:p w14:paraId="45C6ABA9" w14:textId="10CE06C8" w:rsidR="00527BD4" w:rsidRPr="003B08CE" w:rsidRDefault="00385F7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34706C" w:rsidRPr="003B08CE" w14:paraId="3359C6B4" w14:textId="77777777" w:rsidTr="00A50CF6">
      <w:trPr>
        <w:trHeight w:hRule="exact" w:val="200"/>
      </w:trPr>
      <w:tc>
        <w:tcPr>
          <w:tcW w:w="2160" w:type="dxa"/>
        </w:tcPr>
        <w:p w14:paraId="2F10D21F" w14:textId="77777777" w:rsidR="00527BD4" w:rsidRPr="006A4317" w:rsidRDefault="00527BD4" w:rsidP="00A50CF6"/>
      </w:tc>
    </w:tr>
    <w:tr w:rsidR="0034706C" w14:paraId="1A6CD4BE" w14:textId="77777777" w:rsidTr="00A50CF6">
      <w:tc>
        <w:tcPr>
          <w:tcW w:w="2160" w:type="dxa"/>
        </w:tcPr>
        <w:p w14:paraId="1628C042" w14:textId="77777777" w:rsidR="000C0163" w:rsidRPr="005819CE" w:rsidRDefault="00385F7F" w:rsidP="000C0163">
          <w:pPr>
            <w:pStyle w:val="Huisstijl-Kopje"/>
          </w:pPr>
          <w:r>
            <w:t>Ons kenmerk</w:t>
          </w:r>
          <w:r w:rsidRPr="005819CE">
            <w:t xml:space="preserve"> </w:t>
          </w:r>
        </w:p>
        <w:p w14:paraId="78B0071D" w14:textId="59B5D571" w:rsidR="00527BD4" w:rsidRDefault="00385F7F" w:rsidP="00A50CF6">
          <w:pPr>
            <w:pStyle w:val="Huisstijl-Gegeven"/>
          </w:pPr>
          <w:r>
            <w:t>DGED-AEP</w:t>
          </w:r>
          <w:r w:rsidR="00926AE2">
            <w:t xml:space="preserve"> / </w:t>
          </w:r>
          <w:r>
            <w:t>104433401</w:t>
          </w:r>
        </w:p>
        <w:p w14:paraId="3F60FDBE" w14:textId="77777777" w:rsidR="003B08CE" w:rsidRPr="005819CE" w:rsidRDefault="003B08CE" w:rsidP="00A50CF6">
          <w:pPr>
            <w:pStyle w:val="Huisstijl-Gegeven"/>
          </w:pPr>
        </w:p>
        <w:p w14:paraId="140DDD12" w14:textId="77777777" w:rsidR="00527BD4" w:rsidRPr="005819CE" w:rsidRDefault="00385F7F" w:rsidP="00A50CF6">
          <w:pPr>
            <w:pStyle w:val="Huisstijl-Kopje"/>
          </w:pPr>
          <w:r>
            <w:t>Bijlage(n)</w:t>
          </w:r>
        </w:p>
        <w:p w14:paraId="72E6C6FD" w14:textId="77777777" w:rsidR="00527BD4" w:rsidRPr="005819CE" w:rsidRDefault="00385F7F" w:rsidP="00A50CF6">
          <w:pPr>
            <w:pStyle w:val="Huisstijl-Gegeven"/>
          </w:pPr>
          <w:r>
            <w:t>1</w:t>
          </w:r>
        </w:p>
      </w:tc>
    </w:tr>
  </w:tbl>
  <w:p w14:paraId="5C2A482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706C" w14:paraId="272DD6D3" w14:textId="77777777" w:rsidTr="007610AA">
      <w:trPr>
        <w:trHeight w:val="400"/>
      </w:trPr>
      <w:tc>
        <w:tcPr>
          <w:tcW w:w="7520" w:type="dxa"/>
          <w:gridSpan w:val="2"/>
        </w:tcPr>
        <w:p w14:paraId="5D1FC74E" w14:textId="77777777" w:rsidR="00527BD4" w:rsidRPr="00BC3B53" w:rsidRDefault="00385F7F" w:rsidP="00A50CF6">
          <w:pPr>
            <w:pStyle w:val="Huisstijl-Retouradres"/>
          </w:pPr>
          <w:r>
            <w:t>&gt; Retouradres Postbus 20401 2500 EK Den Haag</w:t>
          </w:r>
        </w:p>
      </w:tc>
    </w:tr>
    <w:tr w:rsidR="0034706C" w14:paraId="56D33FCD" w14:textId="77777777" w:rsidTr="007610AA">
      <w:tc>
        <w:tcPr>
          <w:tcW w:w="7520" w:type="dxa"/>
          <w:gridSpan w:val="2"/>
        </w:tcPr>
        <w:p w14:paraId="24972E2D" w14:textId="77777777" w:rsidR="00527BD4" w:rsidRPr="00983E8F" w:rsidRDefault="00527BD4" w:rsidP="00A50CF6">
          <w:pPr>
            <w:pStyle w:val="Huisstijl-Rubricering"/>
          </w:pPr>
        </w:p>
      </w:tc>
    </w:tr>
    <w:tr w:rsidR="0034706C" w14:paraId="760DA597" w14:textId="77777777" w:rsidTr="007610AA">
      <w:trPr>
        <w:trHeight w:hRule="exact" w:val="2440"/>
      </w:trPr>
      <w:tc>
        <w:tcPr>
          <w:tcW w:w="7520" w:type="dxa"/>
          <w:gridSpan w:val="2"/>
        </w:tcPr>
        <w:p w14:paraId="4A850BA0" w14:textId="172B3F63" w:rsidR="003B08CE" w:rsidRDefault="003B08CE">
          <w:pPr>
            <w:pStyle w:val="Huisstijl-NAW"/>
          </w:pPr>
          <w:r>
            <w:t>D</w:t>
          </w:r>
          <w:r w:rsidR="00385F7F">
            <w:t xml:space="preserve">e </w:t>
          </w:r>
          <w:r>
            <w:t>V</w:t>
          </w:r>
          <w:r w:rsidR="00385F7F">
            <w:t xml:space="preserve">oorzitter van de Tweede Kamer </w:t>
          </w:r>
        </w:p>
        <w:p w14:paraId="1376F58F" w14:textId="201B186F" w:rsidR="0034706C" w:rsidRDefault="00385F7F">
          <w:pPr>
            <w:pStyle w:val="Huisstijl-NAW"/>
          </w:pPr>
          <w:r>
            <w:t>der Staten-Generaal</w:t>
          </w:r>
        </w:p>
        <w:p w14:paraId="55B71B9B" w14:textId="77777777" w:rsidR="0034706C" w:rsidRDefault="00385F7F">
          <w:pPr>
            <w:pStyle w:val="Huisstijl-NAW"/>
          </w:pPr>
          <w:r>
            <w:t>Prinses Irenestraat 6</w:t>
          </w:r>
        </w:p>
        <w:p w14:paraId="6CAAF88A" w14:textId="0A128D23" w:rsidR="0034706C" w:rsidRDefault="00385F7F">
          <w:pPr>
            <w:pStyle w:val="Huisstijl-NAW"/>
          </w:pPr>
          <w:r>
            <w:t xml:space="preserve">2595 BD </w:t>
          </w:r>
          <w:r w:rsidR="003B08CE">
            <w:t xml:space="preserve"> DEN HAAG</w:t>
          </w:r>
        </w:p>
      </w:tc>
    </w:tr>
    <w:tr w:rsidR="0034706C" w14:paraId="1C0FC1FF" w14:textId="77777777" w:rsidTr="007610AA">
      <w:trPr>
        <w:trHeight w:hRule="exact" w:val="400"/>
      </w:trPr>
      <w:tc>
        <w:tcPr>
          <w:tcW w:w="7520" w:type="dxa"/>
          <w:gridSpan w:val="2"/>
        </w:tcPr>
        <w:p w14:paraId="04967B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706C" w14:paraId="64358372" w14:textId="77777777" w:rsidTr="007610AA">
      <w:trPr>
        <w:trHeight w:val="240"/>
      </w:trPr>
      <w:tc>
        <w:tcPr>
          <w:tcW w:w="900" w:type="dxa"/>
        </w:tcPr>
        <w:p w14:paraId="23921653" w14:textId="77777777" w:rsidR="00527BD4" w:rsidRPr="007709EF" w:rsidRDefault="00385F7F" w:rsidP="00A50CF6">
          <w:pPr>
            <w:rPr>
              <w:szCs w:val="18"/>
            </w:rPr>
          </w:pPr>
          <w:r>
            <w:rPr>
              <w:szCs w:val="18"/>
            </w:rPr>
            <w:t>Datum</w:t>
          </w:r>
        </w:p>
      </w:tc>
      <w:tc>
        <w:tcPr>
          <w:tcW w:w="6620" w:type="dxa"/>
        </w:tcPr>
        <w:p w14:paraId="366F3AF4" w14:textId="1C5AA057" w:rsidR="00527BD4" w:rsidRPr="007709EF" w:rsidRDefault="006A4317" w:rsidP="00A50CF6">
          <w:r>
            <w:t>1 april 2026</w:t>
          </w:r>
        </w:p>
      </w:tc>
    </w:tr>
    <w:tr w:rsidR="0034706C" w14:paraId="2492E503" w14:textId="77777777" w:rsidTr="007610AA">
      <w:trPr>
        <w:trHeight w:val="240"/>
      </w:trPr>
      <w:tc>
        <w:tcPr>
          <w:tcW w:w="900" w:type="dxa"/>
        </w:tcPr>
        <w:p w14:paraId="7400A053" w14:textId="77777777" w:rsidR="00527BD4" w:rsidRPr="007709EF" w:rsidRDefault="00385F7F" w:rsidP="00A50CF6">
          <w:pPr>
            <w:rPr>
              <w:szCs w:val="18"/>
            </w:rPr>
          </w:pPr>
          <w:r>
            <w:rPr>
              <w:szCs w:val="18"/>
            </w:rPr>
            <w:t>Betreft</w:t>
          </w:r>
        </w:p>
      </w:tc>
      <w:tc>
        <w:tcPr>
          <w:tcW w:w="6620" w:type="dxa"/>
        </w:tcPr>
        <w:p w14:paraId="57139047" w14:textId="77777777" w:rsidR="00527BD4" w:rsidRPr="007709EF" w:rsidRDefault="00385F7F" w:rsidP="00A50CF6">
          <w:r>
            <w:t xml:space="preserve">Reactie op ABD-onderzoek Nationaal Groeifonds  'Groeien in Uitvoering' </w:t>
          </w:r>
        </w:p>
      </w:tc>
    </w:tr>
  </w:tbl>
  <w:p w14:paraId="3268692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244EA2">
      <w:start w:val="1"/>
      <w:numFmt w:val="bullet"/>
      <w:pStyle w:val="Lijstopsomteken"/>
      <w:lvlText w:val="•"/>
      <w:lvlJc w:val="left"/>
      <w:pPr>
        <w:tabs>
          <w:tab w:val="num" w:pos="227"/>
        </w:tabs>
        <w:ind w:left="227" w:hanging="227"/>
      </w:pPr>
      <w:rPr>
        <w:rFonts w:ascii="Verdana" w:hAnsi="Verdana" w:hint="default"/>
        <w:sz w:val="18"/>
        <w:szCs w:val="18"/>
      </w:rPr>
    </w:lvl>
    <w:lvl w:ilvl="1" w:tplc="37123AE2" w:tentative="1">
      <w:start w:val="1"/>
      <w:numFmt w:val="bullet"/>
      <w:lvlText w:val="o"/>
      <w:lvlJc w:val="left"/>
      <w:pPr>
        <w:tabs>
          <w:tab w:val="num" w:pos="1440"/>
        </w:tabs>
        <w:ind w:left="1440" w:hanging="360"/>
      </w:pPr>
      <w:rPr>
        <w:rFonts w:ascii="Courier New" w:hAnsi="Courier New" w:cs="Courier New" w:hint="default"/>
      </w:rPr>
    </w:lvl>
    <w:lvl w:ilvl="2" w:tplc="7478B876" w:tentative="1">
      <w:start w:val="1"/>
      <w:numFmt w:val="bullet"/>
      <w:lvlText w:val=""/>
      <w:lvlJc w:val="left"/>
      <w:pPr>
        <w:tabs>
          <w:tab w:val="num" w:pos="2160"/>
        </w:tabs>
        <w:ind w:left="2160" w:hanging="360"/>
      </w:pPr>
      <w:rPr>
        <w:rFonts w:ascii="Wingdings" w:hAnsi="Wingdings" w:hint="default"/>
      </w:rPr>
    </w:lvl>
    <w:lvl w:ilvl="3" w:tplc="12E2ECA0" w:tentative="1">
      <w:start w:val="1"/>
      <w:numFmt w:val="bullet"/>
      <w:lvlText w:val=""/>
      <w:lvlJc w:val="left"/>
      <w:pPr>
        <w:tabs>
          <w:tab w:val="num" w:pos="2880"/>
        </w:tabs>
        <w:ind w:left="2880" w:hanging="360"/>
      </w:pPr>
      <w:rPr>
        <w:rFonts w:ascii="Symbol" w:hAnsi="Symbol" w:hint="default"/>
      </w:rPr>
    </w:lvl>
    <w:lvl w:ilvl="4" w:tplc="654C6F04" w:tentative="1">
      <w:start w:val="1"/>
      <w:numFmt w:val="bullet"/>
      <w:lvlText w:val="o"/>
      <w:lvlJc w:val="left"/>
      <w:pPr>
        <w:tabs>
          <w:tab w:val="num" w:pos="3600"/>
        </w:tabs>
        <w:ind w:left="3600" w:hanging="360"/>
      </w:pPr>
      <w:rPr>
        <w:rFonts w:ascii="Courier New" w:hAnsi="Courier New" w:cs="Courier New" w:hint="default"/>
      </w:rPr>
    </w:lvl>
    <w:lvl w:ilvl="5" w:tplc="860C1DBC" w:tentative="1">
      <w:start w:val="1"/>
      <w:numFmt w:val="bullet"/>
      <w:lvlText w:val=""/>
      <w:lvlJc w:val="left"/>
      <w:pPr>
        <w:tabs>
          <w:tab w:val="num" w:pos="4320"/>
        </w:tabs>
        <w:ind w:left="4320" w:hanging="360"/>
      </w:pPr>
      <w:rPr>
        <w:rFonts w:ascii="Wingdings" w:hAnsi="Wingdings" w:hint="default"/>
      </w:rPr>
    </w:lvl>
    <w:lvl w:ilvl="6" w:tplc="36862FD8" w:tentative="1">
      <w:start w:val="1"/>
      <w:numFmt w:val="bullet"/>
      <w:lvlText w:val=""/>
      <w:lvlJc w:val="left"/>
      <w:pPr>
        <w:tabs>
          <w:tab w:val="num" w:pos="5040"/>
        </w:tabs>
        <w:ind w:left="5040" w:hanging="360"/>
      </w:pPr>
      <w:rPr>
        <w:rFonts w:ascii="Symbol" w:hAnsi="Symbol" w:hint="default"/>
      </w:rPr>
    </w:lvl>
    <w:lvl w:ilvl="7" w:tplc="F1D8979A" w:tentative="1">
      <w:start w:val="1"/>
      <w:numFmt w:val="bullet"/>
      <w:lvlText w:val="o"/>
      <w:lvlJc w:val="left"/>
      <w:pPr>
        <w:tabs>
          <w:tab w:val="num" w:pos="5760"/>
        </w:tabs>
        <w:ind w:left="5760" w:hanging="360"/>
      </w:pPr>
      <w:rPr>
        <w:rFonts w:ascii="Courier New" w:hAnsi="Courier New" w:cs="Courier New" w:hint="default"/>
      </w:rPr>
    </w:lvl>
    <w:lvl w:ilvl="8" w:tplc="620CE1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6A05246">
      <w:start w:val="1"/>
      <w:numFmt w:val="bullet"/>
      <w:pStyle w:val="Lijstopsomteken2"/>
      <w:lvlText w:val="–"/>
      <w:lvlJc w:val="left"/>
      <w:pPr>
        <w:tabs>
          <w:tab w:val="num" w:pos="227"/>
        </w:tabs>
        <w:ind w:left="227" w:firstLine="0"/>
      </w:pPr>
      <w:rPr>
        <w:rFonts w:ascii="Verdana" w:hAnsi="Verdana" w:hint="default"/>
      </w:rPr>
    </w:lvl>
    <w:lvl w:ilvl="1" w:tplc="97D8D07A" w:tentative="1">
      <w:start w:val="1"/>
      <w:numFmt w:val="bullet"/>
      <w:lvlText w:val="o"/>
      <w:lvlJc w:val="left"/>
      <w:pPr>
        <w:tabs>
          <w:tab w:val="num" w:pos="1440"/>
        </w:tabs>
        <w:ind w:left="1440" w:hanging="360"/>
      </w:pPr>
      <w:rPr>
        <w:rFonts w:ascii="Courier New" w:hAnsi="Courier New" w:cs="Courier New" w:hint="default"/>
      </w:rPr>
    </w:lvl>
    <w:lvl w:ilvl="2" w:tplc="7A407ABC" w:tentative="1">
      <w:start w:val="1"/>
      <w:numFmt w:val="bullet"/>
      <w:lvlText w:val=""/>
      <w:lvlJc w:val="left"/>
      <w:pPr>
        <w:tabs>
          <w:tab w:val="num" w:pos="2160"/>
        </w:tabs>
        <w:ind w:left="2160" w:hanging="360"/>
      </w:pPr>
      <w:rPr>
        <w:rFonts w:ascii="Wingdings" w:hAnsi="Wingdings" w:hint="default"/>
      </w:rPr>
    </w:lvl>
    <w:lvl w:ilvl="3" w:tplc="13E46E18" w:tentative="1">
      <w:start w:val="1"/>
      <w:numFmt w:val="bullet"/>
      <w:lvlText w:val=""/>
      <w:lvlJc w:val="left"/>
      <w:pPr>
        <w:tabs>
          <w:tab w:val="num" w:pos="2880"/>
        </w:tabs>
        <w:ind w:left="2880" w:hanging="360"/>
      </w:pPr>
      <w:rPr>
        <w:rFonts w:ascii="Symbol" w:hAnsi="Symbol" w:hint="default"/>
      </w:rPr>
    </w:lvl>
    <w:lvl w:ilvl="4" w:tplc="EE220D0E" w:tentative="1">
      <w:start w:val="1"/>
      <w:numFmt w:val="bullet"/>
      <w:lvlText w:val="o"/>
      <w:lvlJc w:val="left"/>
      <w:pPr>
        <w:tabs>
          <w:tab w:val="num" w:pos="3600"/>
        </w:tabs>
        <w:ind w:left="3600" w:hanging="360"/>
      </w:pPr>
      <w:rPr>
        <w:rFonts w:ascii="Courier New" w:hAnsi="Courier New" w:cs="Courier New" w:hint="default"/>
      </w:rPr>
    </w:lvl>
    <w:lvl w:ilvl="5" w:tplc="1E8A1206" w:tentative="1">
      <w:start w:val="1"/>
      <w:numFmt w:val="bullet"/>
      <w:lvlText w:val=""/>
      <w:lvlJc w:val="left"/>
      <w:pPr>
        <w:tabs>
          <w:tab w:val="num" w:pos="4320"/>
        </w:tabs>
        <w:ind w:left="4320" w:hanging="360"/>
      </w:pPr>
      <w:rPr>
        <w:rFonts w:ascii="Wingdings" w:hAnsi="Wingdings" w:hint="default"/>
      </w:rPr>
    </w:lvl>
    <w:lvl w:ilvl="6" w:tplc="ED42A3DC" w:tentative="1">
      <w:start w:val="1"/>
      <w:numFmt w:val="bullet"/>
      <w:lvlText w:val=""/>
      <w:lvlJc w:val="left"/>
      <w:pPr>
        <w:tabs>
          <w:tab w:val="num" w:pos="5040"/>
        </w:tabs>
        <w:ind w:left="5040" w:hanging="360"/>
      </w:pPr>
      <w:rPr>
        <w:rFonts w:ascii="Symbol" w:hAnsi="Symbol" w:hint="default"/>
      </w:rPr>
    </w:lvl>
    <w:lvl w:ilvl="7" w:tplc="BDE0E520" w:tentative="1">
      <w:start w:val="1"/>
      <w:numFmt w:val="bullet"/>
      <w:lvlText w:val="o"/>
      <w:lvlJc w:val="left"/>
      <w:pPr>
        <w:tabs>
          <w:tab w:val="num" w:pos="5760"/>
        </w:tabs>
        <w:ind w:left="5760" w:hanging="360"/>
      </w:pPr>
      <w:rPr>
        <w:rFonts w:ascii="Courier New" w:hAnsi="Courier New" w:cs="Courier New" w:hint="default"/>
      </w:rPr>
    </w:lvl>
    <w:lvl w:ilvl="8" w:tplc="B8841A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7024C3"/>
    <w:multiLevelType w:val="hybridMultilevel"/>
    <w:tmpl w:val="120EF2E2"/>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43851686">
    <w:abstractNumId w:val="10"/>
  </w:num>
  <w:num w:numId="2" w16cid:durableId="1362394893">
    <w:abstractNumId w:val="7"/>
  </w:num>
  <w:num w:numId="3" w16cid:durableId="243148475">
    <w:abstractNumId w:val="6"/>
  </w:num>
  <w:num w:numId="4" w16cid:durableId="557784804">
    <w:abstractNumId w:val="5"/>
  </w:num>
  <w:num w:numId="5" w16cid:durableId="735321366">
    <w:abstractNumId w:val="4"/>
  </w:num>
  <w:num w:numId="6" w16cid:durableId="1101798185">
    <w:abstractNumId w:val="8"/>
  </w:num>
  <w:num w:numId="7" w16cid:durableId="1532720913">
    <w:abstractNumId w:val="3"/>
  </w:num>
  <w:num w:numId="8" w16cid:durableId="889727967">
    <w:abstractNumId w:val="2"/>
  </w:num>
  <w:num w:numId="9" w16cid:durableId="769085401">
    <w:abstractNumId w:val="1"/>
  </w:num>
  <w:num w:numId="10" w16cid:durableId="184756188">
    <w:abstractNumId w:val="0"/>
  </w:num>
  <w:num w:numId="11" w16cid:durableId="421072084">
    <w:abstractNumId w:val="9"/>
  </w:num>
  <w:num w:numId="12" w16cid:durableId="17241210">
    <w:abstractNumId w:val="11"/>
  </w:num>
  <w:num w:numId="13" w16cid:durableId="212545639">
    <w:abstractNumId w:val="13"/>
  </w:num>
  <w:num w:numId="14" w16cid:durableId="906693442">
    <w:abstractNumId w:val="12"/>
  </w:num>
  <w:num w:numId="15" w16cid:durableId="128276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744A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257B"/>
    <w:rsid w:val="00312597"/>
    <w:rsid w:val="00327BA5"/>
    <w:rsid w:val="0033326F"/>
    <w:rsid w:val="00334154"/>
    <w:rsid w:val="003372C4"/>
    <w:rsid w:val="00340ECA"/>
    <w:rsid w:val="00341FA0"/>
    <w:rsid w:val="00344F3D"/>
    <w:rsid w:val="00345299"/>
    <w:rsid w:val="0034706C"/>
    <w:rsid w:val="00351A8D"/>
    <w:rsid w:val="003526BB"/>
    <w:rsid w:val="00352BCF"/>
    <w:rsid w:val="00352DFB"/>
    <w:rsid w:val="00353932"/>
    <w:rsid w:val="00353B15"/>
    <w:rsid w:val="0035464B"/>
    <w:rsid w:val="0035777F"/>
    <w:rsid w:val="00361A56"/>
    <w:rsid w:val="0036252A"/>
    <w:rsid w:val="00364D9D"/>
    <w:rsid w:val="00371048"/>
    <w:rsid w:val="0037396C"/>
    <w:rsid w:val="0037421D"/>
    <w:rsid w:val="00376093"/>
    <w:rsid w:val="00376743"/>
    <w:rsid w:val="003776B1"/>
    <w:rsid w:val="003779BE"/>
    <w:rsid w:val="00383DA1"/>
    <w:rsid w:val="00385F30"/>
    <w:rsid w:val="00385F7F"/>
    <w:rsid w:val="00393696"/>
    <w:rsid w:val="00393963"/>
    <w:rsid w:val="00395575"/>
    <w:rsid w:val="00395672"/>
    <w:rsid w:val="00396A8F"/>
    <w:rsid w:val="003A06C8"/>
    <w:rsid w:val="003A0D7C"/>
    <w:rsid w:val="003A5290"/>
    <w:rsid w:val="003B0155"/>
    <w:rsid w:val="003B08CE"/>
    <w:rsid w:val="003B7EE7"/>
    <w:rsid w:val="003C2CCB"/>
    <w:rsid w:val="003D39EC"/>
    <w:rsid w:val="003D5DED"/>
    <w:rsid w:val="003E3DD5"/>
    <w:rsid w:val="003F07C6"/>
    <w:rsid w:val="003F1F6B"/>
    <w:rsid w:val="003F3757"/>
    <w:rsid w:val="003F38BD"/>
    <w:rsid w:val="003F44B7"/>
    <w:rsid w:val="004008E9"/>
    <w:rsid w:val="00403E4A"/>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2D6C"/>
    <w:rsid w:val="00524FB4"/>
    <w:rsid w:val="00527BD4"/>
    <w:rsid w:val="005314CC"/>
    <w:rsid w:val="005330E6"/>
    <w:rsid w:val="00536880"/>
    <w:rsid w:val="00537095"/>
    <w:rsid w:val="005403C8"/>
    <w:rsid w:val="005429DC"/>
    <w:rsid w:val="005565F9"/>
    <w:rsid w:val="00573041"/>
    <w:rsid w:val="00575B80"/>
    <w:rsid w:val="0057620F"/>
    <w:rsid w:val="005819CE"/>
    <w:rsid w:val="0058298D"/>
    <w:rsid w:val="00584C1A"/>
    <w:rsid w:val="00586B06"/>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4317"/>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8DF"/>
    <w:rsid w:val="00705433"/>
    <w:rsid w:val="00714DC5"/>
    <w:rsid w:val="00715237"/>
    <w:rsid w:val="00721AE1"/>
    <w:rsid w:val="007238F3"/>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761"/>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17760"/>
    <w:rsid w:val="00A21E76"/>
    <w:rsid w:val="00A23BC8"/>
    <w:rsid w:val="00A245F8"/>
    <w:rsid w:val="00A30E68"/>
    <w:rsid w:val="00A31933"/>
    <w:rsid w:val="00A329D2"/>
    <w:rsid w:val="00A34AA0"/>
    <w:rsid w:val="00A3715C"/>
    <w:rsid w:val="00A413B4"/>
    <w:rsid w:val="00A41FE2"/>
    <w:rsid w:val="00A45400"/>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0D6"/>
    <w:rsid w:val="00B83948"/>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53A1C"/>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54C9"/>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9178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35683"/>
    <w:rsid w:val="00F41A6F"/>
    <w:rsid w:val="00F45A25"/>
    <w:rsid w:val="00F50F86"/>
    <w:rsid w:val="00F520B0"/>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51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31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www.nationaalgroeifonds.nl/documenten/2026/03/beheerraamwerk-nationaal-groeifonds-maart-2026"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756</ap:Words>
  <ap:Characters>4160</ap:Characters>
  <ap:DocSecurity>0</ap:DocSecurity>
  <ap:Lines>34</ap:Lines>
  <ap:Paragraphs>9</ap:Paragraphs>
  <ap:ScaleCrop>false</ap:ScaleCrop>
  <ap:LinksUpToDate>false</ap:LinksUpToDate>
  <ap:CharactersWithSpaces>4907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2026-04-01T09:19:00.0000000Z</dcterms:created>
  <dcterms:modified xsi:type="dcterms:W3CDTF">2026-04-01T09:19:00.0000000Z</dcterms:modified>
  <dc:description>------------------------</dc:description>
  <dc:subject/>
  <keywords/>
  <version/>
  <category/>
</coreProperties>
</file>