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9C475C" w:rsidP="004F090B" w14:paraId="157BFBE4" w14:textId="77777777">
      <w:r w:rsidRPr="004F090B">
        <w:t xml:space="preserve">Hierbij zend ik u mijn </w:t>
      </w:r>
      <w:r w:rsidR="00CF364A">
        <w:t>antwoorden op de vragen die u</w:t>
      </w:r>
      <w:r w:rsidR="005041FB">
        <w:t>w Kamer heeft</w:t>
      </w:r>
      <w:r w:rsidR="00CF364A">
        <w:t xml:space="preserve"> </w:t>
      </w:r>
      <w:r w:rsidR="005041FB">
        <w:t>ge</w:t>
      </w:r>
      <w:r w:rsidR="00CF364A">
        <w:t>stel</w:t>
      </w:r>
      <w:r w:rsidR="005041FB">
        <w:t>d</w:t>
      </w:r>
      <w:r w:rsidR="00CF364A">
        <w:t xml:space="preserve"> in het</w:t>
      </w:r>
      <w:r w:rsidR="0062408B">
        <w:t xml:space="preserve"> </w:t>
      </w:r>
      <w:r>
        <w:t>schriftelijk overleg</w:t>
      </w:r>
      <w:r>
        <w:t xml:space="preserve"> </w:t>
      </w:r>
      <w:r w:rsidR="005041FB">
        <w:t>over</w:t>
      </w:r>
      <w:r w:rsidRPr="004F090B">
        <w:t xml:space="preserve"> het ontwerpbesluit tot wijziging van het Besluit Tijdelijke wet Groningen en het Mijnbouwbesluit in verband met de uitvoering van diverse maatregelen uit de kabinetsreactie op het rapport van de parlementaire enquêtecommissie aardgaswinning Groningen, en enkele technische wijzigingen en verduidelijkingen. </w:t>
      </w:r>
    </w:p>
    <w:p w:rsidR="009C475C" w:rsidP="004F090B" w14:paraId="507B2415" w14:textId="77777777"/>
    <w:p w:rsidRPr="00431469" w:rsidR="00431469" w:rsidP="00431469" w14:paraId="1F2413B2" w14:textId="77777777">
      <w:pPr>
        <w:rPr>
          <w:b/>
          <w:bCs/>
        </w:rPr>
      </w:pPr>
      <w:r w:rsidRPr="004F090B">
        <w:t xml:space="preserve">Met de </w:t>
      </w:r>
      <w:r w:rsidR="005041FB">
        <w:t xml:space="preserve">voordracht </w:t>
      </w:r>
      <w:r w:rsidRPr="004F090B">
        <w:t xml:space="preserve">van het ontwerpbesluit </w:t>
      </w:r>
      <w:r w:rsidR="001477BA">
        <w:t>voor advisering door de Afdeling advisering van de Raad van State</w:t>
      </w:r>
      <w:r w:rsidRPr="004F090B" w:rsidR="001477BA">
        <w:t xml:space="preserve"> </w:t>
      </w:r>
      <w:r w:rsidR="001477BA">
        <w:t>zal ik wachten</w:t>
      </w:r>
      <w:r>
        <w:t xml:space="preserve"> </w:t>
      </w:r>
      <w:r w:rsidRPr="004F090B">
        <w:t xml:space="preserve">tot na afronding van de behandeling </w:t>
      </w:r>
      <w:r w:rsidR="00767A59">
        <w:t>in uw Kamer</w:t>
      </w:r>
      <w:r w:rsidRPr="004F090B" w:rsidR="00767A59">
        <w:t xml:space="preserve"> </w:t>
      </w:r>
      <w:r w:rsidRPr="004F090B">
        <w:t xml:space="preserve">van het wetsvoorstel </w:t>
      </w:r>
      <w:r w:rsidR="001477BA">
        <w:t>tot w</w:t>
      </w:r>
      <w:r w:rsidRPr="004F090B">
        <w:t>ijziging van de Tijdelijke wet Groningen en de Mijnbouwwet in verband met de uitvoering van de diverse maatregelen uit de kabinetsreactie</w:t>
      </w:r>
      <w:r>
        <w:t xml:space="preserve"> </w:t>
      </w:r>
      <w:r w:rsidRPr="008834D8">
        <w:t>op het rapport van de parlementaire enquêtecommissie aardgaswinning Groningen</w:t>
      </w:r>
      <w:r w:rsidR="001477BA">
        <w:t xml:space="preserve"> </w:t>
      </w:r>
      <w:r w:rsidRPr="004F090B" w:rsidR="001477BA">
        <w:t>(Kamerstuk 36836)</w:t>
      </w:r>
      <w:r>
        <w:t>.</w:t>
      </w:r>
    </w:p>
    <w:p w:rsidRPr="004F090B" w:rsidR="004F090B" w:rsidP="004F090B" w14:paraId="461453E1" w14:textId="77777777"/>
    <w:p w:rsidR="00214055" w14:paraId="14E2ABC4" w14:textId="77777777"/>
    <w:p w:rsidR="00214055" w14:paraId="56E44D8D" w14:textId="77777777">
      <w:r>
        <w:t xml:space="preserve">De </w:t>
      </w:r>
      <w:r w:rsidR="005B1CFD">
        <w:t>m</w:t>
      </w:r>
      <w:r w:rsidR="00B7029C">
        <w:t>inister</w:t>
      </w:r>
      <w:r w:rsidR="000B6D3F">
        <w:t xml:space="preserve"> van Binnenlandse Zaken en Koninkrijksrelaties, </w:t>
      </w:r>
    </w:p>
    <w:p w:rsidR="00214055" w14:paraId="0F8001C7" w14:textId="77777777"/>
    <w:p w:rsidR="00214055" w14:paraId="3CD0E3D1" w14:textId="77777777"/>
    <w:p w:rsidR="00214055" w14:paraId="34C0AF6E" w14:textId="77777777"/>
    <w:p w:rsidR="00214055" w14:paraId="5F16D504" w14:textId="77777777"/>
    <w:p w:rsidR="00214055" w14:paraId="09F6F44A" w14:textId="77777777"/>
    <w:p w:rsidR="00214055" w14:paraId="62067BB2" w14:textId="77777777">
      <w:r>
        <w:t>Pieter Heerma</w:t>
      </w:r>
    </w:p>
    <w:p w:rsidR="00214055" w14:paraId="2DC43A13" w14:textId="77777777"/>
    <w:p w:rsidR="00214055" w14:paraId="5BF4BFA5" w14:textId="77777777">
      <w:pPr>
        <w:pStyle w:val="WitregelW1bodytekst"/>
      </w:pPr>
    </w:p>
    <w:p w:rsidR="00214055" w14:paraId="5769077D" w14:textId="77777777"/>
    <w:p w:rsidR="00214055" w14:paraId="73512B7C" w14:textId="77777777"/>
    <w:p w:rsidR="00214055" w14:paraId="0BFE3587" w14:textId="77777777"/>
    <w:p w:rsidR="00214055" w14:paraId="32582AB9" w14:textId="77777777"/>
    <w:p w:rsidR="00214055" w14:paraId="7B6BDB43" w14:textId="77777777"/>
    <w:p w:rsidR="00214055" w14:paraId="73C7944B" w14:textId="77777777"/>
    <w:p w:rsidR="00214055" w14:paraId="4A91044C" w14:textId="77777777"/>
    <w:p w:rsidRPr="008834D8" w:rsidR="008834D8" w:rsidP="008834D8" w14:paraId="385EA59C" w14:textId="77777777"/>
    <w:p w:rsidRPr="008834D8" w:rsidR="008834D8" w:rsidP="008834D8" w14:paraId="22042EE3" w14:textId="77777777"/>
    <w:p w:rsidRPr="008834D8" w:rsidR="008834D8" w:rsidP="008834D8" w14:paraId="15876C72" w14:textId="77777777"/>
    <w:p w:rsidR="008834D8" w:rsidP="008834D8" w14:paraId="07580AD0" w14:textId="77777777"/>
    <w:p w:rsidRPr="008834D8" w:rsidR="008834D8" w:rsidP="008834D8" w14:paraId="57A38648" w14:textId="77777777">
      <w:pPr>
        <w:tabs>
          <w:tab w:val="left" w:pos="5498"/>
          <w:tab w:val="right" w:pos="7541"/>
        </w:tabs>
      </w:pPr>
      <w:r>
        <w:tab/>
      </w:r>
      <w:r>
        <w:tab/>
      </w:r>
    </w:p>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A59" w14:paraId="234980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055" w14:paraId="215306DA"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A59" w14:paraId="45DD02A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A59" w14:paraId="16EAEA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055" w14:paraId="17103A2A"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14055" w14:textId="77777777">
                          <w:pPr>
                            <w:pStyle w:val="Referentiegegevensbold"/>
                          </w:pPr>
                          <w:r>
                            <w:t>Datum</w:t>
                          </w:r>
                        </w:p>
                        <w:p w:rsidR="001F023D" w14:textId="77777777">
                          <w:pPr>
                            <w:pStyle w:val="Referentiegegevens"/>
                          </w:pPr>
                          <w:r>
                            <w:t>27 maart 2026</w:t>
                          </w:r>
                        </w:p>
                        <w:p w:rsidR="00E96241" w:rsidRPr="00E96241" w:rsidP="00E96241" w14:textId="77777777"/>
                        <w:p w:rsidR="00214055" w14:textId="77777777">
                          <w:pPr>
                            <w:pStyle w:val="WitregelW1"/>
                          </w:pPr>
                        </w:p>
                        <w:p w:rsidR="00214055" w14:textId="77777777">
                          <w:pPr>
                            <w:pStyle w:val="Referentiegegevensbold"/>
                          </w:pPr>
                          <w:r>
                            <w:t>Onze referentie</w:t>
                          </w:r>
                        </w:p>
                        <w:p w:rsidR="001F023D" w14:textId="77777777">
                          <w:pPr>
                            <w:pStyle w:val="Referentiegegevens"/>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214055" w14:paraId="10426CFD" w14:textId="77777777">
                    <w:pPr>
                      <w:pStyle w:val="Referentiegegevensbold"/>
                    </w:pPr>
                    <w:r>
                      <w:t>Datum</w:t>
                    </w:r>
                  </w:p>
                  <w:p w:rsidR="001F023D" w14:paraId="5F5BCDB2" w14:textId="77777777">
                    <w:pPr>
                      <w:pStyle w:val="Referentiegegevens"/>
                    </w:pPr>
                    <w:r>
                      <w:t>27 maart 2026</w:t>
                    </w:r>
                  </w:p>
                  <w:p w:rsidR="00E96241" w:rsidRPr="00E96241" w:rsidP="00E96241" w14:paraId="5FEF10CF" w14:textId="77777777"/>
                  <w:p w:rsidR="00214055" w14:paraId="7164CBA8" w14:textId="77777777">
                    <w:pPr>
                      <w:pStyle w:val="WitregelW1"/>
                    </w:pPr>
                  </w:p>
                  <w:p w:rsidR="00214055" w14:paraId="42E5F2E7" w14:textId="77777777">
                    <w:pPr>
                      <w:pStyle w:val="Referentiegegevensbold"/>
                    </w:pPr>
                    <w:r>
                      <w:t>Onze referentie</w:t>
                    </w:r>
                  </w:p>
                  <w:p w:rsidR="001F023D" w14:paraId="0AA45FF6" w14:textId="77777777">
                    <w:pPr>
                      <w:pStyle w:val="Referentiegegevens"/>
                    </w:pP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0B6D3F"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0B6D3F" w14:paraId="70359AD1"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F7B15"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7F7B15" w14:paraId="1E08FB3A"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055" w14:paraId="2783C507"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14055" w14:textId="77777777">
                          <w:r>
                            <w:t xml:space="preserve">Aan de </w:t>
                          </w:r>
                          <w:r w:rsidR="005B1CFD">
                            <w:t>V</w:t>
                          </w:r>
                          <w:r>
                            <w:t>oorzitter van de Tweede Kamer der Staten-Generaal</w:t>
                          </w:r>
                        </w:p>
                        <w:p w:rsidR="00214055" w14:textId="77777777">
                          <w:r>
                            <w:t>Postbus 20018</w:t>
                          </w:r>
                        </w:p>
                        <w:p w:rsidR="00214055"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214055" w14:paraId="1D26307D" w14:textId="77777777">
                    <w:r>
                      <w:t xml:space="preserve">Aan de </w:t>
                    </w:r>
                    <w:r w:rsidR="005B1CFD">
                      <w:t>V</w:t>
                    </w:r>
                    <w:r>
                      <w:t>oorzitter van de Tweede Kamer der Staten-Generaal</w:t>
                    </w:r>
                  </w:p>
                  <w:p w:rsidR="00214055" w14:paraId="5D1EDA2A" w14:textId="77777777">
                    <w:r>
                      <w:t>Postbus 20018</w:t>
                    </w:r>
                  </w:p>
                  <w:p w:rsidR="00214055" w14:paraId="03A4644A"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2990850</wp:posOffset>
              </wp:positionV>
              <wp:extent cx="4787900" cy="89027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90270"/>
                      </a:xfrm>
                      <a:prstGeom prst="rect">
                        <a:avLst/>
                      </a:prstGeom>
                      <a:noFill/>
                    </wps:spPr>
                    <wps:txbx>
                      <w:txbxContent>
                        <w:tbl>
                          <w:tblPr>
                            <w:tblW w:w="0" w:type="auto"/>
                            <w:tblInd w:w="-120" w:type="dxa"/>
                            <w:tblLayout w:type="fixed"/>
                            <w:tblLook w:val="07E0"/>
                          </w:tblPr>
                          <w:tblGrid>
                            <w:gridCol w:w="1140"/>
                            <w:gridCol w:w="5918"/>
                          </w:tblGrid>
                          <w:tr w14:paraId="0EBE8A0F" w14:textId="77777777">
                            <w:tblPrEx>
                              <w:tblW w:w="0" w:type="auto"/>
                              <w:tblInd w:w="-120" w:type="dxa"/>
                              <w:tblLayout w:type="fixed"/>
                              <w:tblLook w:val="07E0"/>
                            </w:tblPrEx>
                            <w:trPr>
                              <w:trHeight w:val="240"/>
                            </w:trPr>
                            <w:tc>
                              <w:tcPr>
                                <w:tcW w:w="1140" w:type="dxa"/>
                              </w:tcPr>
                              <w:p w:rsidR="00214055" w14:textId="77777777">
                                <w:r>
                                  <w:t>Datum</w:t>
                                </w:r>
                              </w:p>
                            </w:tc>
                            <w:tc>
                              <w:tcPr>
                                <w:tcW w:w="5918" w:type="dxa"/>
                              </w:tcPr>
                              <w:p w:rsidR="001F023D" w14:textId="74FA5C29">
                                <w:r>
                                  <w:t>1 april 2026</w:t>
                                </w:r>
                              </w:p>
                            </w:tc>
                          </w:tr>
                          <w:tr w14:paraId="0592EBEE" w14:textId="77777777" w:rsidTr="008122D6">
                            <w:tblPrEx>
                              <w:tblW w:w="0" w:type="auto"/>
                              <w:tblInd w:w="-120" w:type="dxa"/>
                              <w:tblLayout w:type="fixed"/>
                              <w:tblLook w:val="07E0"/>
                            </w:tblPrEx>
                            <w:trPr>
                              <w:trHeight w:val="472"/>
                            </w:trPr>
                            <w:tc>
                              <w:tcPr>
                                <w:tcW w:w="1140" w:type="dxa"/>
                              </w:tcPr>
                              <w:p w:rsidR="00214055" w14:textId="77777777">
                                <w:r>
                                  <w:t>Betreft</w:t>
                                </w:r>
                              </w:p>
                            </w:tc>
                            <w:tc>
                              <w:tcPr>
                                <w:tcW w:w="5918" w:type="dxa"/>
                              </w:tcPr>
                              <w:p w:rsidR="00214055" w14:textId="77777777">
                                <w:r>
                                  <w:t>Beantwoording vragen n.a.v. schriftelijk overleg over ontwerpbesluit tot wijziging Besluit Tijdelijke wet Groningen en het Mijnbouwbesluit</w:t>
                                </w:r>
                              </w:p>
                            </w:tc>
                          </w:tr>
                        </w:tbl>
                        <w:p w:rsidR="000B6D3F"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70.1pt;margin-top:235.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EBE8A0E" w14:textId="77777777">
                      <w:tblPrEx>
                        <w:tblW w:w="0" w:type="auto"/>
                        <w:tblInd w:w="-120" w:type="dxa"/>
                        <w:tblLayout w:type="fixed"/>
                        <w:tblLook w:val="07E0"/>
                      </w:tblPrEx>
                      <w:trPr>
                        <w:trHeight w:val="240"/>
                      </w:trPr>
                      <w:tc>
                        <w:tcPr>
                          <w:tcW w:w="1140" w:type="dxa"/>
                        </w:tcPr>
                        <w:p w:rsidR="00214055" w14:paraId="4F3A3142" w14:textId="77777777">
                          <w:r>
                            <w:t>Datum</w:t>
                          </w:r>
                        </w:p>
                      </w:tc>
                      <w:tc>
                        <w:tcPr>
                          <w:tcW w:w="5918" w:type="dxa"/>
                        </w:tcPr>
                        <w:p w:rsidR="001F023D" w14:paraId="06809AC7" w14:textId="74FA5C29">
                          <w:r>
                            <w:t>1 april 2026</w:t>
                          </w:r>
                        </w:p>
                      </w:tc>
                    </w:tr>
                    <w:tr w14:paraId="0592EBED" w14:textId="77777777" w:rsidTr="008122D6">
                      <w:tblPrEx>
                        <w:tblW w:w="0" w:type="auto"/>
                        <w:tblInd w:w="-120" w:type="dxa"/>
                        <w:tblLayout w:type="fixed"/>
                        <w:tblLook w:val="07E0"/>
                      </w:tblPrEx>
                      <w:trPr>
                        <w:trHeight w:val="472"/>
                      </w:trPr>
                      <w:tc>
                        <w:tcPr>
                          <w:tcW w:w="1140" w:type="dxa"/>
                        </w:tcPr>
                        <w:p w:rsidR="00214055" w14:paraId="3EC2F2AF" w14:textId="77777777">
                          <w:r>
                            <w:t>Betreft</w:t>
                          </w:r>
                        </w:p>
                      </w:tc>
                      <w:tc>
                        <w:tcPr>
                          <w:tcW w:w="5918" w:type="dxa"/>
                        </w:tcPr>
                        <w:p w:rsidR="00214055" w14:paraId="57E4F4DF" w14:textId="77777777">
                          <w:r>
                            <w:t>Beantwoording vragen n.a.v. schriftelijk overleg over ontwerpbesluit tot wijziging Besluit Tijdelijke wet Groningen en het Mijnbouwbesluit</w:t>
                          </w:r>
                        </w:p>
                      </w:tc>
                    </w:tr>
                  </w:tbl>
                  <w:p w:rsidR="000B6D3F" w14:paraId="70719F90"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14055" w:rsidRPr="000B6D3F" w14:textId="77777777">
                          <w:pPr>
                            <w:pStyle w:val="Referentiegegevens"/>
                            <w:rPr>
                              <w:lang w:val="de-DE"/>
                            </w:rPr>
                          </w:pPr>
                          <w:r w:rsidRPr="000B6D3F">
                            <w:rPr>
                              <w:lang w:val="de-DE"/>
                            </w:rPr>
                            <w:t>Turfmarkt</w:t>
                          </w:r>
                          <w:r w:rsidRPr="000B6D3F">
                            <w:rPr>
                              <w:lang w:val="de-DE"/>
                            </w:rPr>
                            <w:t xml:space="preserve"> 147</w:t>
                          </w:r>
                        </w:p>
                        <w:p w:rsidR="00214055" w:rsidRPr="000B6D3F" w14:textId="77777777">
                          <w:pPr>
                            <w:pStyle w:val="Referentiegegevens"/>
                            <w:rPr>
                              <w:lang w:val="de-DE"/>
                            </w:rPr>
                          </w:pPr>
                          <w:r w:rsidRPr="000B6D3F">
                            <w:rPr>
                              <w:lang w:val="de-DE"/>
                            </w:rPr>
                            <w:t>2511 DP Den Haag</w:t>
                          </w:r>
                        </w:p>
                        <w:p w:rsidR="00214055" w:rsidRPr="000B6D3F" w14:textId="77777777">
                          <w:pPr>
                            <w:pStyle w:val="Referentiegegevens"/>
                            <w:rPr>
                              <w:lang w:val="de-DE"/>
                            </w:rPr>
                          </w:pPr>
                          <w:r w:rsidRPr="000B6D3F">
                            <w:rPr>
                              <w:lang w:val="de-DE"/>
                            </w:rPr>
                            <w:t>Postbus 20011</w:t>
                          </w:r>
                        </w:p>
                        <w:p w:rsidR="00214055" w14:textId="77777777">
                          <w:pPr>
                            <w:pStyle w:val="Referentiegegevens"/>
                          </w:pPr>
                          <w:r>
                            <w:t>2500 EA  Den Haag</w:t>
                          </w:r>
                        </w:p>
                        <w:p w:rsidR="00214055" w14:textId="77777777">
                          <w:pPr>
                            <w:pStyle w:val="WitregelW2"/>
                          </w:pPr>
                        </w:p>
                        <w:p w:rsidR="00214055" w14:textId="77777777">
                          <w:pPr>
                            <w:pStyle w:val="Referentiegegevensbold"/>
                          </w:pPr>
                          <w:r>
                            <w:t>Onze referentie</w:t>
                          </w:r>
                          <w:r w:rsidR="005B1CFD">
                            <w:br/>
                          </w:r>
                          <w:r w:rsidRPr="005B1CFD" w:rsidR="005B1CFD">
                            <w:rPr>
                              <w:b w:val="0"/>
                              <w:bCs/>
                            </w:rPr>
                            <w:t>2026-0000149993</w:t>
                          </w:r>
                        </w:p>
                        <w:p w:rsidR="00214055" w14:textId="77777777">
                          <w:pPr>
                            <w:pStyle w:val="WitregelW1"/>
                          </w:pPr>
                        </w:p>
                        <w:p w:rsidR="00214055" w:rsidP="00A728DE" w14:textId="77777777">
                          <w:pPr>
                            <w:pStyle w:val="Referentiegegevensbold"/>
                          </w:pPr>
                          <w:r>
                            <w:t>Bijlage(n)</w:t>
                          </w:r>
                        </w:p>
                        <w:p w:rsidR="00214055" w:rsidRPr="0089091D" w14:textId="77777777">
                          <w:pPr>
                            <w:pStyle w:val="WitregelW2"/>
                            <w:rPr>
                              <w:sz w:val="13"/>
                              <w:szCs w:val="13"/>
                            </w:rPr>
                          </w:pPr>
                          <w:r w:rsidRPr="0089091D">
                            <w:rPr>
                              <w:sz w:val="13"/>
                              <w:szCs w:val="13"/>
                            </w:rPr>
                            <w:t>1</w:t>
                          </w:r>
                        </w:p>
                        <w:p w:rsidR="00214055"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214055" w:rsidRPr="000B6D3F" w14:paraId="62DCF052" w14:textId="77777777">
                    <w:pPr>
                      <w:pStyle w:val="Referentiegegevens"/>
                      <w:rPr>
                        <w:lang w:val="de-DE"/>
                      </w:rPr>
                    </w:pPr>
                    <w:r w:rsidRPr="000B6D3F">
                      <w:rPr>
                        <w:lang w:val="de-DE"/>
                      </w:rPr>
                      <w:t>Turfmarkt</w:t>
                    </w:r>
                    <w:r w:rsidRPr="000B6D3F">
                      <w:rPr>
                        <w:lang w:val="de-DE"/>
                      </w:rPr>
                      <w:t xml:space="preserve"> 147</w:t>
                    </w:r>
                  </w:p>
                  <w:p w:rsidR="00214055" w:rsidRPr="000B6D3F" w14:paraId="50FC5C8B" w14:textId="77777777">
                    <w:pPr>
                      <w:pStyle w:val="Referentiegegevens"/>
                      <w:rPr>
                        <w:lang w:val="de-DE"/>
                      </w:rPr>
                    </w:pPr>
                    <w:r w:rsidRPr="000B6D3F">
                      <w:rPr>
                        <w:lang w:val="de-DE"/>
                      </w:rPr>
                      <w:t>2511 DP Den Haag</w:t>
                    </w:r>
                  </w:p>
                  <w:p w:rsidR="00214055" w:rsidRPr="000B6D3F" w14:paraId="7C7729C4" w14:textId="77777777">
                    <w:pPr>
                      <w:pStyle w:val="Referentiegegevens"/>
                      <w:rPr>
                        <w:lang w:val="de-DE"/>
                      </w:rPr>
                    </w:pPr>
                    <w:r w:rsidRPr="000B6D3F">
                      <w:rPr>
                        <w:lang w:val="de-DE"/>
                      </w:rPr>
                      <w:t>Postbus 20011</w:t>
                    </w:r>
                  </w:p>
                  <w:p w:rsidR="00214055" w14:paraId="028A4C47" w14:textId="77777777">
                    <w:pPr>
                      <w:pStyle w:val="Referentiegegevens"/>
                    </w:pPr>
                    <w:r>
                      <w:t>2500 EA  Den Haag</w:t>
                    </w:r>
                  </w:p>
                  <w:p w:rsidR="00214055" w14:paraId="0E9CEDE1" w14:textId="77777777">
                    <w:pPr>
                      <w:pStyle w:val="WitregelW2"/>
                    </w:pPr>
                  </w:p>
                  <w:p w:rsidR="00214055" w14:paraId="355E790E" w14:textId="77777777">
                    <w:pPr>
                      <w:pStyle w:val="Referentiegegevensbold"/>
                    </w:pPr>
                    <w:r>
                      <w:t>Onze referentie</w:t>
                    </w:r>
                    <w:r w:rsidR="005B1CFD">
                      <w:br/>
                    </w:r>
                    <w:r w:rsidRPr="005B1CFD" w:rsidR="005B1CFD">
                      <w:rPr>
                        <w:b w:val="0"/>
                        <w:bCs/>
                      </w:rPr>
                      <w:t>2026-0000149993</w:t>
                    </w:r>
                  </w:p>
                  <w:p w:rsidR="00214055" w14:paraId="0456CDEE" w14:textId="77777777">
                    <w:pPr>
                      <w:pStyle w:val="WitregelW1"/>
                    </w:pPr>
                  </w:p>
                  <w:p w:rsidR="00214055" w:rsidP="00A728DE" w14:paraId="1126CDA6" w14:textId="77777777">
                    <w:pPr>
                      <w:pStyle w:val="Referentiegegevensbold"/>
                    </w:pPr>
                    <w:r>
                      <w:t>Bijlage(n)</w:t>
                    </w:r>
                  </w:p>
                  <w:p w:rsidR="00214055" w:rsidRPr="0089091D" w14:paraId="18AC16E6" w14:textId="77777777">
                    <w:pPr>
                      <w:pStyle w:val="WitregelW2"/>
                      <w:rPr>
                        <w:sz w:val="13"/>
                        <w:szCs w:val="13"/>
                      </w:rPr>
                    </w:pPr>
                    <w:r w:rsidRPr="0089091D">
                      <w:rPr>
                        <w:sz w:val="13"/>
                        <w:szCs w:val="13"/>
                      </w:rPr>
                      <w:t>1</w:t>
                    </w:r>
                  </w:p>
                  <w:p w:rsidR="00214055" w14:paraId="1CF734DF"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B6D3F"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0B6D3F" w14:paraId="619C06E1"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F7B1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7F7B15" w14:paraId="33E3F28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14055" w14:textId="77777777">
                          <w:pPr>
                            <w:spacing w:line="240" w:lineRule="auto"/>
                          </w:pPr>
                          <w:r>
                            <w:rPr>
                              <w:noProof/>
                            </w:rPr>
                            <w:drawing>
                              <wp:inline distT="0" distB="0" distL="0" distR="0">
                                <wp:extent cx="467995" cy="1583865"/>
                                <wp:effectExtent l="0" t="0" r="0" b="0"/>
                                <wp:docPr id="211578870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11578870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214055" w14:paraId="7943226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14055" w14:textId="77777777">
                          <w:pPr>
                            <w:spacing w:line="240" w:lineRule="auto"/>
                          </w:pPr>
                          <w:r>
                            <w:rPr>
                              <w:noProof/>
                            </w:rPr>
                            <w:drawing>
                              <wp:inline distT="0" distB="0" distL="0" distR="0">
                                <wp:extent cx="2339975" cy="1582834"/>
                                <wp:effectExtent l="0" t="0" r="0" b="0"/>
                                <wp:docPr id="74913175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4913175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214055" w14:paraId="753826A9"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1405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214055" w14:paraId="7CF37A04"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7F51FB7"/>
    <w:multiLevelType w:val="multilevel"/>
    <w:tmpl w:val="EEF754F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24BB9712"/>
    <w:multiLevelType w:val="multilevel"/>
    <w:tmpl w:val="7F19F2D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4078B560"/>
    <w:multiLevelType w:val="multilevel"/>
    <w:tmpl w:val="59CDE07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611F496F"/>
    <w:multiLevelType w:val="multilevel"/>
    <w:tmpl w:val="35A0B75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33471609">
    <w:abstractNumId w:val="0"/>
  </w:num>
  <w:num w:numId="2" w16cid:durableId="89665648">
    <w:abstractNumId w:val="2"/>
  </w:num>
  <w:num w:numId="3" w16cid:durableId="1215311747">
    <w:abstractNumId w:val="1"/>
  </w:num>
  <w:num w:numId="4" w16cid:durableId="1808015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055"/>
    <w:rsid w:val="00013038"/>
    <w:rsid w:val="000274A2"/>
    <w:rsid w:val="000B6D3F"/>
    <w:rsid w:val="000D2E50"/>
    <w:rsid w:val="00127072"/>
    <w:rsid w:val="001441F6"/>
    <w:rsid w:val="001477BA"/>
    <w:rsid w:val="00195F30"/>
    <w:rsid w:val="001B0A2C"/>
    <w:rsid w:val="001B5DEF"/>
    <w:rsid w:val="001C2515"/>
    <w:rsid w:val="001C5F6C"/>
    <w:rsid w:val="001F023D"/>
    <w:rsid w:val="00214055"/>
    <w:rsid w:val="00221CEB"/>
    <w:rsid w:val="00245909"/>
    <w:rsid w:val="002479DB"/>
    <w:rsid w:val="0028631D"/>
    <w:rsid w:val="00296326"/>
    <w:rsid w:val="00297531"/>
    <w:rsid w:val="002A34FB"/>
    <w:rsid w:val="0035114E"/>
    <w:rsid w:val="0035667A"/>
    <w:rsid w:val="0036521A"/>
    <w:rsid w:val="00382EBB"/>
    <w:rsid w:val="003E1273"/>
    <w:rsid w:val="00431469"/>
    <w:rsid w:val="0048594F"/>
    <w:rsid w:val="004D2E61"/>
    <w:rsid w:val="004F090B"/>
    <w:rsid w:val="005041FB"/>
    <w:rsid w:val="00515797"/>
    <w:rsid w:val="005647B9"/>
    <w:rsid w:val="005876B5"/>
    <w:rsid w:val="005B1CFD"/>
    <w:rsid w:val="005E2F1F"/>
    <w:rsid w:val="005F4957"/>
    <w:rsid w:val="005F5B44"/>
    <w:rsid w:val="0062408B"/>
    <w:rsid w:val="00632967"/>
    <w:rsid w:val="006A6873"/>
    <w:rsid w:val="0075002A"/>
    <w:rsid w:val="00763BB7"/>
    <w:rsid w:val="00765595"/>
    <w:rsid w:val="00767A59"/>
    <w:rsid w:val="007C221E"/>
    <w:rsid w:val="007F7B15"/>
    <w:rsid w:val="008122D6"/>
    <w:rsid w:val="008200B6"/>
    <w:rsid w:val="0086572F"/>
    <w:rsid w:val="0086698E"/>
    <w:rsid w:val="008707A7"/>
    <w:rsid w:val="008834D8"/>
    <w:rsid w:val="0089091D"/>
    <w:rsid w:val="008B7BAA"/>
    <w:rsid w:val="00904E58"/>
    <w:rsid w:val="009A6A12"/>
    <w:rsid w:val="009C475C"/>
    <w:rsid w:val="009E6B05"/>
    <w:rsid w:val="00A728DE"/>
    <w:rsid w:val="00B41C66"/>
    <w:rsid w:val="00B7029C"/>
    <w:rsid w:val="00B77BBD"/>
    <w:rsid w:val="00B838EE"/>
    <w:rsid w:val="00BA7944"/>
    <w:rsid w:val="00BB4968"/>
    <w:rsid w:val="00BF1D36"/>
    <w:rsid w:val="00C25C1D"/>
    <w:rsid w:val="00C37ECB"/>
    <w:rsid w:val="00C47067"/>
    <w:rsid w:val="00C65AF0"/>
    <w:rsid w:val="00C6611D"/>
    <w:rsid w:val="00C70E13"/>
    <w:rsid w:val="00CC1B44"/>
    <w:rsid w:val="00CF364A"/>
    <w:rsid w:val="00D16399"/>
    <w:rsid w:val="00D2542C"/>
    <w:rsid w:val="00D56505"/>
    <w:rsid w:val="00DB1D98"/>
    <w:rsid w:val="00DE4141"/>
    <w:rsid w:val="00DF7BCD"/>
    <w:rsid w:val="00E34EDD"/>
    <w:rsid w:val="00E470CB"/>
    <w:rsid w:val="00E72A16"/>
    <w:rsid w:val="00E96241"/>
    <w:rsid w:val="00EB6B67"/>
    <w:rsid w:val="00F33D43"/>
    <w:rsid w:val="00FA1050"/>
    <w:rsid w:val="00FD6FD7"/>
    <w:rsid w:val="00FF50F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BA67980"/>
  <w15:docId w15:val="{575F0E27-5B6E-4FAC-AB74-2A9E05C8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B6D3F"/>
    <w:pPr>
      <w:tabs>
        <w:tab w:val="center" w:pos="4536"/>
        <w:tab w:val="right" w:pos="9072"/>
      </w:tabs>
      <w:spacing w:line="240" w:lineRule="auto"/>
    </w:pPr>
  </w:style>
  <w:style w:type="character" w:customStyle="1" w:styleId="KoptekstChar">
    <w:name w:val="Koptekst Char"/>
    <w:basedOn w:val="DefaultParagraphFont"/>
    <w:link w:val="Header"/>
    <w:uiPriority w:val="99"/>
    <w:rsid w:val="000B6D3F"/>
    <w:rPr>
      <w:rFonts w:ascii="Verdana" w:hAnsi="Verdana"/>
      <w:color w:val="000000"/>
      <w:sz w:val="18"/>
      <w:szCs w:val="18"/>
    </w:rPr>
  </w:style>
  <w:style w:type="paragraph" w:styleId="Footer">
    <w:name w:val="footer"/>
    <w:basedOn w:val="Normal"/>
    <w:link w:val="VoettekstChar"/>
    <w:uiPriority w:val="99"/>
    <w:unhideWhenUsed/>
    <w:rsid w:val="000B6D3F"/>
    <w:pPr>
      <w:tabs>
        <w:tab w:val="center" w:pos="4536"/>
        <w:tab w:val="right" w:pos="9072"/>
      </w:tabs>
      <w:spacing w:line="240" w:lineRule="auto"/>
    </w:pPr>
  </w:style>
  <w:style w:type="character" w:customStyle="1" w:styleId="VoettekstChar">
    <w:name w:val="Voettekst Char"/>
    <w:basedOn w:val="DefaultParagraphFont"/>
    <w:link w:val="Footer"/>
    <w:uiPriority w:val="99"/>
    <w:rsid w:val="000B6D3F"/>
    <w:rPr>
      <w:rFonts w:ascii="Verdana" w:hAnsi="Verdana"/>
      <w:color w:val="000000"/>
      <w:sz w:val="18"/>
      <w:szCs w:val="18"/>
    </w:rPr>
  </w:style>
  <w:style w:type="paragraph" w:styleId="Revision">
    <w:name w:val="Revision"/>
    <w:hidden/>
    <w:uiPriority w:val="99"/>
    <w:semiHidden/>
    <w:rsid w:val="003E1273"/>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3E1273"/>
    <w:rPr>
      <w:sz w:val="16"/>
      <w:szCs w:val="16"/>
    </w:rPr>
  </w:style>
  <w:style w:type="paragraph" w:styleId="CommentText">
    <w:name w:val="annotation text"/>
    <w:basedOn w:val="Normal"/>
    <w:link w:val="TekstopmerkingChar"/>
    <w:uiPriority w:val="99"/>
    <w:unhideWhenUsed/>
    <w:rsid w:val="003E1273"/>
    <w:pPr>
      <w:spacing w:line="240" w:lineRule="auto"/>
    </w:pPr>
    <w:rPr>
      <w:sz w:val="20"/>
      <w:szCs w:val="20"/>
    </w:rPr>
  </w:style>
  <w:style w:type="character" w:customStyle="1" w:styleId="TekstopmerkingChar">
    <w:name w:val="Tekst opmerking Char"/>
    <w:basedOn w:val="DefaultParagraphFont"/>
    <w:link w:val="CommentText"/>
    <w:uiPriority w:val="99"/>
    <w:rsid w:val="003E1273"/>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3E1273"/>
    <w:rPr>
      <w:b/>
      <w:bCs/>
    </w:rPr>
  </w:style>
  <w:style w:type="character" w:customStyle="1" w:styleId="OnderwerpvanopmerkingChar">
    <w:name w:val="Onderwerp van opmerking Char"/>
    <w:basedOn w:val="TekstopmerkingChar"/>
    <w:link w:val="CommentSubject"/>
    <w:uiPriority w:val="99"/>
    <w:semiHidden/>
    <w:rsid w:val="003E127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145</ap:Words>
  <ap:Characters>799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Parlement - Nota n.a.v. het verslag wijziging van de Tijdelijke wet Groningen en de Mijnbouwwet in verband met de uitvoering van diverse maatregelen uit de kabinetsreactie op het rapport van de parlementaire enquêtecommissie aardgaswinning Groni</vt:lpstr>
    </vt:vector>
  </ap:TitlesOfParts>
  <ap:LinksUpToDate>false</ap:LinksUpToDate>
  <ap:CharactersWithSpaces>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2026-04-01T07:47:00.0000000Z</dcterms:created>
  <dcterms:modified xsi:type="dcterms:W3CDTF">2026-04-01T07:47:00.0000000Z</dcterms:modified>
  <dc:creator/>
  <lastModifiedBy/>
  <dc:description>------------------------</dc:description>
  <dc:subject/>
  <keywords/>
  <version/>
  <category/>
</coreProperties>
</file>