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E900EFF" w14:textId="77777777">
        <w:tc>
          <w:tcPr>
            <w:tcW w:w="6379" w:type="dxa"/>
            <w:gridSpan w:val="2"/>
            <w:tcBorders>
              <w:top w:val="nil"/>
              <w:left w:val="nil"/>
              <w:bottom w:val="nil"/>
              <w:right w:val="nil"/>
            </w:tcBorders>
            <w:vAlign w:val="center"/>
          </w:tcPr>
          <w:p w:rsidR="004330ED" w:rsidP="00EA1CE4" w:rsidRDefault="004330ED" w14:paraId="01E4AB5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C8CBF3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45458A" w14:textId="77777777">
        <w:trPr>
          <w:cantSplit/>
        </w:trPr>
        <w:tc>
          <w:tcPr>
            <w:tcW w:w="10348" w:type="dxa"/>
            <w:gridSpan w:val="3"/>
            <w:tcBorders>
              <w:top w:val="single" w:color="auto" w:sz="4" w:space="0"/>
              <w:left w:val="nil"/>
              <w:bottom w:val="nil"/>
              <w:right w:val="nil"/>
            </w:tcBorders>
          </w:tcPr>
          <w:p w:rsidR="004330ED" w:rsidP="004A1E29" w:rsidRDefault="004330ED" w14:paraId="779C4D1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7EC5810" w14:textId="77777777">
        <w:trPr>
          <w:cantSplit/>
        </w:trPr>
        <w:tc>
          <w:tcPr>
            <w:tcW w:w="10348" w:type="dxa"/>
            <w:gridSpan w:val="3"/>
            <w:tcBorders>
              <w:top w:val="nil"/>
              <w:left w:val="nil"/>
              <w:bottom w:val="nil"/>
              <w:right w:val="nil"/>
            </w:tcBorders>
          </w:tcPr>
          <w:p w:rsidR="004330ED" w:rsidP="00BF623B" w:rsidRDefault="004330ED" w14:paraId="76899A2B" w14:textId="77777777">
            <w:pPr>
              <w:pStyle w:val="Amendement"/>
              <w:tabs>
                <w:tab w:val="clear" w:pos="3310"/>
                <w:tab w:val="clear" w:pos="3600"/>
              </w:tabs>
              <w:rPr>
                <w:rFonts w:ascii="Times New Roman" w:hAnsi="Times New Roman"/>
                <w:b w:val="0"/>
              </w:rPr>
            </w:pPr>
          </w:p>
        </w:tc>
      </w:tr>
      <w:tr w:rsidR="004330ED" w:rsidTr="00EA1CE4" w14:paraId="1C658374" w14:textId="77777777">
        <w:trPr>
          <w:cantSplit/>
        </w:trPr>
        <w:tc>
          <w:tcPr>
            <w:tcW w:w="10348" w:type="dxa"/>
            <w:gridSpan w:val="3"/>
            <w:tcBorders>
              <w:top w:val="nil"/>
              <w:left w:val="nil"/>
              <w:bottom w:val="single" w:color="auto" w:sz="4" w:space="0"/>
              <w:right w:val="nil"/>
            </w:tcBorders>
          </w:tcPr>
          <w:p w:rsidR="004330ED" w:rsidP="00BF623B" w:rsidRDefault="004330ED" w14:paraId="60FB1BC7" w14:textId="77777777">
            <w:pPr>
              <w:pStyle w:val="Amendement"/>
              <w:tabs>
                <w:tab w:val="clear" w:pos="3310"/>
                <w:tab w:val="clear" w:pos="3600"/>
              </w:tabs>
              <w:rPr>
                <w:rFonts w:ascii="Times New Roman" w:hAnsi="Times New Roman"/>
              </w:rPr>
            </w:pPr>
          </w:p>
        </w:tc>
      </w:tr>
      <w:tr w:rsidR="004330ED" w:rsidTr="00EA1CE4" w14:paraId="2F77F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70AAA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6503E6E" w14:textId="77777777">
            <w:pPr>
              <w:suppressAutoHyphens/>
              <w:ind w:left="-70"/>
              <w:rPr>
                <w:b/>
              </w:rPr>
            </w:pPr>
          </w:p>
        </w:tc>
      </w:tr>
      <w:tr w:rsidR="003C21AC" w:rsidTr="00EA1CE4" w14:paraId="5470F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245FB" w14:paraId="28B5E56A" w14:textId="394F1E80">
            <w:pPr>
              <w:pStyle w:val="Amendement"/>
              <w:tabs>
                <w:tab w:val="clear" w:pos="3310"/>
                <w:tab w:val="clear" w:pos="3600"/>
              </w:tabs>
              <w:rPr>
                <w:rFonts w:ascii="Times New Roman" w:hAnsi="Times New Roman"/>
              </w:rPr>
            </w:pPr>
            <w:r>
              <w:rPr>
                <w:rFonts w:ascii="Times New Roman" w:hAnsi="Times New Roman"/>
              </w:rPr>
              <w:t>36 765</w:t>
            </w:r>
          </w:p>
        </w:tc>
        <w:tc>
          <w:tcPr>
            <w:tcW w:w="7371" w:type="dxa"/>
            <w:gridSpan w:val="2"/>
          </w:tcPr>
          <w:p w:rsidRPr="007245FB" w:rsidR="003C21AC" w:rsidP="007245FB" w:rsidRDefault="007245FB" w14:paraId="652EEE18" w14:textId="4148ED10">
            <w:pPr>
              <w:rPr>
                <w:b/>
                <w:bCs/>
                <w:szCs w:val="24"/>
              </w:rPr>
            </w:pPr>
            <w:r w:rsidRPr="007245FB">
              <w:rPr>
                <w:b/>
                <w:bCs/>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003C21AC" w:rsidTr="00EA1CE4" w14:paraId="0F0B4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0EBFA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6DB885D" w14:textId="77777777">
            <w:pPr>
              <w:pStyle w:val="Amendement"/>
              <w:tabs>
                <w:tab w:val="clear" w:pos="3310"/>
                <w:tab w:val="clear" w:pos="3600"/>
              </w:tabs>
              <w:ind w:left="-70"/>
              <w:rPr>
                <w:rFonts w:ascii="Times New Roman" w:hAnsi="Times New Roman"/>
              </w:rPr>
            </w:pPr>
          </w:p>
        </w:tc>
      </w:tr>
      <w:tr w:rsidR="003C21AC" w:rsidTr="00EA1CE4" w14:paraId="7E24DD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F97A97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84D077B" w14:textId="77777777">
            <w:pPr>
              <w:pStyle w:val="Amendement"/>
              <w:tabs>
                <w:tab w:val="clear" w:pos="3310"/>
                <w:tab w:val="clear" w:pos="3600"/>
              </w:tabs>
              <w:ind w:left="-70"/>
              <w:rPr>
                <w:rFonts w:ascii="Times New Roman" w:hAnsi="Times New Roman"/>
              </w:rPr>
            </w:pPr>
          </w:p>
        </w:tc>
      </w:tr>
      <w:tr w:rsidR="003C21AC" w:rsidTr="00EA1CE4" w14:paraId="7C0A79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7631B60" w14:textId="00C3CBAC">
            <w:pPr>
              <w:pStyle w:val="Amendement"/>
              <w:tabs>
                <w:tab w:val="clear" w:pos="3310"/>
                <w:tab w:val="clear" w:pos="3600"/>
              </w:tabs>
              <w:rPr>
                <w:rFonts w:ascii="Times New Roman" w:hAnsi="Times New Roman"/>
              </w:rPr>
            </w:pPr>
            <w:r w:rsidRPr="00C035D4">
              <w:rPr>
                <w:rFonts w:ascii="Times New Roman" w:hAnsi="Times New Roman"/>
              </w:rPr>
              <w:t xml:space="preserve">Nr. </w:t>
            </w:r>
            <w:r w:rsidR="00B16784">
              <w:rPr>
                <w:rFonts w:ascii="Times New Roman" w:hAnsi="Times New Roman"/>
                <w:caps/>
              </w:rPr>
              <w:t>16</w:t>
            </w:r>
          </w:p>
        </w:tc>
        <w:tc>
          <w:tcPr>
            <w:tcW w:w="7371" w:type="dxa"/>
            <w:gridSpan w:val="2"/>
          </w:tcPr>
          <w:p w:rsidRPr="00C035D4" w:rsidR="003C21AC" w:rsidP="006E0971" w:rsidRDefault="003C21AC" w14:paraId="601E0DF6" w14:textId="112548B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245FB">
              <w:rPr>
                <w:rFonts w:ascii="Times New Roman" w:hAnsi="Times New Roman"/>
                <w:caps/>
              </w:rPr>
              <w:t>van den berg</w:t>
            </w:r>
          </w:p>
        </w:tc>
      </w:tr>
      <w:tr w:rsidR="003C21AC" w:rsidTr="00EA1CE4" w14:paraId="70CE9D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8DB434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B0D455" w14:textId="7ADD11B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16784">
              <w:rPr>
                <w:rFonts w:ascii="Times New Roman" w:hAnsi="Times New Roman"/>
                <w:b w:val="0"/>
              </w:rPr>
              <w:t>31 maart 2026</w:t>
            </w:r>
          </w:p>
        </w:tc>
      </w:tr>
      <w:tr w:rsidR="00B01BA6" w:rsidTr="00EA1CE4" w14:paraId="7EFE97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6B728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214B207" w14:textId="77777777">
            <w:pPr>
              <w:pStyle w:val="Amendement"/>
              <w:tabs>
                <w:tab w:val="clear" w:pos="3310"/>
                <w:tab w:val="clear" w:pos="3600"/>
              </w:tabs>
              <w:ind w:left="-70"/>
              <w:rPr>
                <w:rFonts w:ascii="Times New Roman" w:hAnsi="Times New Roman"/>
                <w:b w:val="0"/>
              </w:rPr>
            </w:pPr>
          </w:p>
        </w:tc>
      </w:tr>
      <w:tr w:rsidRPr="00EA69AC" w:rsidR="00B01BA6" w:rsidTr="00EA1CE4" w14:paraId="2EFEBB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8012540" w14:textId="77777777">
            <w:pPr>
              <w:ind w:firstLine="284"/>
            </w:pPr>
            <w:r w:rsidRPr="00EA69AC">
              <w:t>De ondergetekende stelt het volgende amendement voor:</w:t>
            </w:r>
          </w:p>
        </w:tc>
      </w:tr>
    </w:tbl>
    <w:p w:rsidR="00283DE5" w:rsidP="002F3D1D" w:rsidRDefault="00283DE5" w14:paraId="3CFDEAE6" w14:textId="77777777">
      <w:pPr>
        <w:ind w:firstLine="284"/>
      </w:pPr>
    </w:p>
    <w:p w:rsidR="00643096" w:rsidP="002F3D1D" w:rsidRDefault="00643096" w14:paraId="627A6F43" w14:textId="5D55486C">
      <w:pPr>
        <w:ind w:firstLine="284"/>
      </w:pPr>
      <w:r>
        <w:t xml:space="preserve">Na </w:t>
      </w:r>
      <w:r w:rsidR="00F5329C">
        <w:t>het opschrift van hoofdstuk 17</w:t>
      </w:r>
      <w:r>
        <w:t xml:space="preserve"> wordt een artikel ingevoegd, luidende: </w:t>
      </w:r>
    </w:p>
    <w:p w:rsidR="00643096" w:rsidP="00643096" w:rsidRDefault="00643096" w14:paraId="63082693" w14:textId="77777777"/>
    <w:p w:rsidRPr="00643096" w:rsidR="00643096" w:rsidP="00643096" w:rsidRDefault="00643096" w14:paraId="4616F29D" w14:textId="48D015E6">
      <w:pPr>
        <w:rPr>
          <w:b/>
          <w:bCs/>
        </w:rPr>
      </w:pPr>
      <w:r w:rsidRPr="00643096">
        <w:rPr>
          <w:b/>
          <w:bCs/>
        </w:rPr>
        <w:t>Artikel 4</w:t>
      </w:r>
      <w:r w:rsidR="00F5329C">
        <w:rPr>
          <w:b/>
          <w:bCs/>
        </w:rPr>
        <w:t>0</w:t>
      </w:r>
      <w:r w:rsidRPr="00643096">
        <w:rPr>
          <w:b/>
          <w:bCs/>
        </w:rPr>
        <w:t>a (</w:t>
      </w:r>
      <w:r w:rsidR="004F15E7">
        <w:rPr>
          <w:b/>
          <w:bCs/>
        </w:rPr>
        <w:t>informeren Staten-Generaal</w:t>
      </w:r>
      <w:r w:rsidRPr="00643096">
        <w:rPr>
          <w:b/>
          <w:bCs/>
        </w:rPr>
        <w:t xml:space="preserve">) </w:t>
      </w:r>
    </w:p>
    <w:p w:rsidR="00643096" w:rsidP="00643096" w:rsidRDefault="00643096" w14:paraId="65C0549F" w14:textId="77777777"/>
    <w:p w:rsidR="00643096" w:rsidP="00643096" w:rsidRDefault="004F15E7" w14:paraId="792A5B98" w14:textId="41ABC0DE">
      <w:pPr>
        <w:ind w:firstLine="284"/>
      </w:pPr>
      <w:r>
        <w:t xml:space="preserve">1. </w:t>
      </w:r>
      <w:r w:rsidR="00643096">
        <w:t xml:space="preserve">Onze Minister zendt jaarlijks aan de Staten-Generaal een geanonimiseerd verslag over de uitvoering van deze wet, waarin in elk geval wordt ingegaan op: </w:t>
      </w:r>
    </w:p>
    <w:p w:rsidR="00643096" w:rsidP="00643096" w:rsidRDefault="00643096" w14:paraId="125347C7" w14:textId="71E4F41D">
      <w:pPr>
        <w:ind w:firstLine="284"/>
      </w:pPr>
      <w:r>
        <w:t xml:space="preserve">a. het aantal kritieke entiteiten per sector; </w:t>
      </w:r>
    </w:p>
    <w:p w:rsidR="00643096" w:rsidP="00643096" w:rsidRDefault="00643096" w14:paraId="23E2E7D0" w14:textId="0378DA41">
      <w:pPr>
        <w:ind w:firstLine="284"/>
      </w:pPr>
      <w:r>
        <w:t xml:space="preserve">b. het aantal </w:t>
      </w:r>
      <w:r w:rsidR="00B82A97">
        <w:t xml:space="preserve">op grond van artikel 17, eerste lid, </w:t>
      </w:r>
      <w:r>
        <w:t xml:space="preserve">gemelde incidenten per sector, voor zover dit de veiligheid niet schaadt; </w:t>
      </w:r>
    </w:p>
    <w:p w:rsidR="00643096" w:rsidP="00643096" w:rsidRDefault="00643096" w14:paraId="0CE0D8B9" w14:textId="77777777">
      <w:pPr>
        <w:ind w:firstLine="284"/>
      </w:pPr>
      <w:r>
        <w:t xml:space="preserve">c. de toepassing van artikel 34; en </w:t>
      </w:r>
    </w:p>
    <w:p w:rsidR="0079058C" w:rsidP="00643096" w:rsidRDefault="00643096" w14:paraId="4A505986" w14:textId="28E6F133">
      <w:pPr>
        <w:ind w:firstLine="284"/>
      </w:pPr>
      <w:r>
        <w:t>d. de uitvoering van toezicht en handhaving in geaggregeerde vorm.</w:t>
      </w:r>
    </w:p>
    <w:p w:rsidRPr="004F15E7" w:rsidR="00464503" w:rsidP="004F15E7" w:rsidRDefault="004F15E7" w14:paraId="5393E6A2" w14:textId="5B2D182D">
      <w:pPr>
        <w:ind w:firstLine="284"/>
      </w:pPr>
      <w:r>
        <w:t>2.</w:t>
      </w:r>
      <w:r w:rsidR="00464503">
        <w:t xml:space="preserve"> Onze Minister zendt </w:t>
      </w:r>
      <w:r>
        <w:t xml:space="preserve">voorts </w:t>
      </w:r>
      <w:r w:rsidR="00464503">
        <w:t xml:space="preserve">tweemaal per jaar aan beide Kamers der Staten-Generaal een vertrouwelijke, geaggregeerde kennisgeving over: </w:t>
      </w:r>
    </w:p>
    <w:p w:rsidR="00464503" w:rsidP="00464503" w:rsidRDefault="00464503" w14:paraId="6C03B5CE" w14:textId="77777777">
      <w:pPr>
        <w:ind w:firstLine="284"/>
      </w:pPr>
      <w:r>
        <w:t xml:space="preserve">a. de toepassing van artikel 34, voor zover daarbij vertrouwelijke gegevens zijn verstrekt in verband met incidenten, dreigingen of maatregelen die de nationale veiligheid, de openbare veiligheid of de continuïteit van een essentiële dienst in ernstige mate raken; en </w:t>
      </w:r>
    </w:p>
    <w:p w:rsidR="00464503" w:rsidP="00464503" w:rsidRDefault="00464503" w14:paraId="6562A1AF" w14:textId="77777777">
      <w:pPr>
        <w:ind w:firstLine="284"/>
      </w:pPr>
      <w:r>
        <w:t xml:space="preserve">b. de toepassing van bij of krachtens deze wet gestelde regels of bevoegdheden op grond waarvan een kritieke entiteit kan worden verplicht in aangewezen kritieke infrastructuur geen gebruik te maken van producten of diensten van een door Onze Minister die het aangaat genoemde partij. </w:t>
      </w:r>
    </w:p>
    <w:p w:rsidR="00464503" w:rsidP="00464503" w:rsidRDefault="00234A12" w14:paraId="13E1AE8A" w14:textId="35B1EB61">
      <w:pPr>
        <w:ind w:firstLine="284"/>
      </w:pPr>
      <w:r>
        <w:t>3</w:t>
      </w:r>
      <w:r w:rsidR="00464503">
        <w:t xml:space="preserve">. De kennisgeving bevat, voor zover verenigbaar met de bescherming van de in artikel 34, eerste lid, bedoelde belangen, in elk geval: </w:t>
      </w:r>
    </w:p>
    <w:p w:rsidR="00464503" w:rsidP="00464503" w:rsidRDefault="00464503" w14:paraId="53F19031" w14:textId="77777777">
      <w:pPr>
        <w:ind w:firstLine="284"/>
      </w:pPr>
      <w:r>
        <w:t xml:space="preserve">a. het aantal gevallen; </w:t>
      </w:r>
    </w:p>
    <w:p w:rsidR="00464503" w:rsidP="00464503" w:rsidRDefault="00464503" w14:paraId="75357A25" w14:textId="77777777">
      <w:pPr>
        <w:ind w:firstLine="284"/>
      </w:pPr>
      <w:r>
        <w:t>b. de betrokken sectoren;</w:t>
      </w:r>
    </w:p>
    <w:p w:rsidR="00464503" w:rsidP="00464503" w:rsidRDefault="00464503" w14:paraId="1F9BCF2F" w14:textId="77777777">
      <w:pPr>
        <w:ind w:firstLine="284"/>
      </w:pPr>
      <w:r>
        <w:t xml:space="preserve">c. de algemene aard van het risico of de dreiging; </w:t>
      </w:r>
    </w:p>
    <w:p w:rsidR="00464503" w:rsidP="00464503" w:rsidRDefault="00464503" w14:paraId="37680DB9" w14:textId="77777777">
      <w:pPr>
        <w:ind w:firstLine="284"/>
      </w:pPr>
      <w:r>
        <w:t xml:space="preserve">d. de aard van de genomen maatregel; en </w:t>
      </w:r>
    </w:p>
    <w:p w:rsidR="00464503" w:rsidP="00464503" w:rsidRDefault="00464503" w14:paraId="2DE34F45" w14:textId="77777777">
      <w:pPr>
        <w:ind w:firstLine="284"/>
      </w:pPr>
      <w:r>
        <w:t>e. de stand van eventuele bezwaar- en beroepsprocedures.</w:t>
      </w:r>
    </w:p>
    <w:p w:rsidRPr="002F3D1D" w:rsidR="00464503" w:rsidP="00B16784" w:rsidRDefault="00464503" w14:paraId="041DF06B" w14:textId="77777777"/>
    <w:p w:rsidRPr="00EA69AC" w:rsidR="003C21AC" w:rsidP="00EA1CE4" w:rsidRDefault="003C21AC" w14:paraId="6C6F3780" w14:textId="77777777">
      <w:pPr>
        <w:rPr>
          <w:b/>
        </w:rPr>
      </w:pPr>
      <w:r w:rsidRPr="00EA69AC">
        <w:rPr>
          <w:b/>
        </w:rPr>
        <w:t>Toelichting</w:t>
      </w:r>
    </w:p>
    <w:p w:rsidRPr="00EA69AC" w:rsidR="003C21AC" w:rsidP="00BF623B" w:rsidRDefault="003C21AC" w14:paraId="01B1213D" w14:textId="77777777"/>
    <w:p w:rsidR="0079058C" w:rsidP="00BF623B" w:rsidRDefault="00643096" w14:paraId="58B9A23F" w14:textId="7775FB63">
      <w:r>
        <w:t xml:space="preserve">Als de wet een brede vertrouwelijkheidszone bevat en de Woo uitsluit voor vertrouwelijke gegevens, hoort daar ten minste een geaggregeerde publieke verantwoordingslijn tegenover te staan. </w:t>
      </w:r>
      <w:r w:rsidR="00F165E9">
        <w:t>H</w:t>
      </w:r>
      <w:r w:rsidR="00FC666E">
        <w:t>et met d</w:t>
      </w:r>
      <w:r>
        <w:t>it amendement</w:t>
      </w:r>
      <w:r w:rsidR="00FC666E">
        <w:t xml:space="preserve"> voorgestelde artikel 40a, eerste lid,</w:t>
      </w:r>
      <w:r>
        <w:t xml:space="preserve"> compenseert vertrouwelijkheid met democratische transparantie zonder operationele veiligheid of commerciële belangen te schaden.</w:t>
      </w:r>
    </w:p>
    <w:p w:rsidR="00F165E9" w:rsidP="00BF623B" w:rsidRDefault="00F165E9" w14:paraId="1DF4BCC0" w14:textId="77777777"/>
    <w:p w:rsidR="00F165E9" w:rsidP="00BF623B" w:rsidRDefault="00F165E9" w14:paraId="45E869BA" w14:textId="37DAF929">
      <w:r>
        <w:lastRenderedPageBreak/>
        <w:t xml:space="preserve">Daarnaast organiseert </w:t>
      </w:r>
      <w:r w:rsidR="00FC666E">
        <w:t xml:space="preserve">het met </w:t>
      </w:r>
      <w:r>
        <w:t>dit amendement</w:t>
      </w:r>
      <w:r w:rsidR="00FC666E">
        <w:t xml:space="preserve"> voorgestelde artikel 40, tweede lid,</w:t>
      </w:r>
      <w:r>
        <w:t xml:space="preserve"> parlementair tegenwicht binnen een vertrouwelijk kanaal, zonder de vertrouwelijkheid van artikel 34 te doorbreken. Juist waar de wet een ruime vertrouwelijkheidszone kent en waar leveranciersmaatregelen diep kunnen ingrijpen in eigendom, investeringen en continuïteit, hoort ook de controlerende rol van de Kamer structureel te worden geborgd. De kennisgeving is bewust vertrouwelijk en geaggregeerd vormgegeven. Daarmee worden geen operationele details prijsgegeven die lopende maatregelen, kwetsbaarheden of de belangen van betrokken entiteiten kunnen schaden. De formulering onder onderdeel b is zo gekozen dat zij zowel de huidige leveranciersmaatregel in lagere regelgeving dekt als een eventuele latere verankering van de kern van die maatregel in de wet zelf.</w:t>
      </w:r>
    </w:p>
    <w:p w:rsidRPr="00EA69AC" w:rsidR="00643096" w:rsidP="00BF623B" w:rsidRDefault="00643096" w14:paraId="07368EBF" w14:textId="77777777"/>
    <w:p w:rsidRPr="00EA69AC" w:rsidR="00B4708A" w:rsidP="00EA1CE4" w:rsidRDefault="007245FB" w14:paraId="7E712FFB" w14:textId="31358F87">
      <w:r>
        <w:t>Van den Berg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07F5" w14:textId="77777777" w:rsidR="007967AF" w:rsidRDefault="007967AF">
      <w:pPr>
        <w:spacing w:line="20" w:lineRule="exact"/>
      </w:pPr>
    </w:p>
  </w:endnote>
  <w:endnote w:type="continuationSeparator" w:id="0">
    <w:p w14:paraId="2CFB68BB" w14:textId="77777777" w:rsidR="007967AF" w:rsidRDefault="007967AF">
      <w:pPr>
        <w:pStyle w:val="Amendement"/>
      </w:pPr>
      <w:r>
        <w:rPr>
          <w:b w:val="0"/>
        </w:rPr>
        <w:t xml:space="preserve"> </w:t>
      </w:r>
    </w:p>
  </w:endnote>
  <w:endnote w:type="continuationNotice" w:id="1">
    <w:p w14:paraId="0BE77F99" w14:textId="77777777" w:rsidR="007967AF" w:rsidRDefault="007967A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9A809" w14:textId="77777777" w:rsidR="007967AF" w:rsidRDefault="007967AF">
      <w:pPr>
        <w:pStyle w:val="Amendement"/>
      </w:pPr>
      <w:r>
        <w:rPr>
          <w:b w:val="0"/>
        </w:rPr>
        <w:separator/>
      </w:r>
    </w:p>
  </w:footnote>
  <w:footnote w:type="continuationSeparator" w:id="0">
    <w:p w14:paraId="6B73E1D8" w14:textId="77777777" w:rsidR="007967AF" w:rsidRDefault="00796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FB"/>
    <w:rsid w:val="00006D45"/>
    <w:rsid w:val="00035178"/>
    <w:rsid w:val="00052244"/>
    <w:rsid w:val="0007471A"/>
    <w:rsid w:val="00080553"/>
    <w:rsid w:val="000C2FFF"/>
    <w:rsid w:val="000D17BF"/>
    <w:rsid w:val="00157CAF"/>
    <w:rsid w:val="001656EE"/>
    <w:rsid w:val="0016653D"/>
    <w:rsid w:val="00180446"/>
    <w:rsid w:val="001B4337"/>
    <w:rsid w:val="001D56AF"/>
    <w:rsid w:val="001E0E21"/>
    <w:rsid w:val="00212E0A"/>
    <w:rsid w:val="002153B0"/>
    <w:rsid w:val="0021777F"/>
    <w:rsid w:val="00230F0A"/>
    <w:rsid w:val="00234A12"/>
    <w:rsid w:val="00241DD0"/>
    <w:rsid w:val="00283DE5"/>
    <w:rsid w:val="002A0713"/>
    <w:rsid w:val="002F20DB"/>
    <w:rsid w:val="002F3D1D"/>
    <w:rsid w:val="0037531B"/>
    <w:rsid w:val="003C21AC"/>
    <w:rsid w:val="003C5218"/>
    <w:rsid w:val="003C7876"/>
    <w:rsid w:val="003E2308"/>
    <w:rsid w:val="003E2F98"/>
    <w:rsid w:val="003E413E"/>
    <w:rsid w:val="00413B00"/>
    <w:rsid w:val="0042574B"/>
    <w:rsid w:val="004330ED"/>
    <w:rsid w:val="00464503"/>
    <w:rsid w:val="0047626A"/>
    <w:rsid w:val="00481C91"/>
    <w:rsid w:val="004911E3"/>
    <w:rsid w:val="00497D57"/>
    <w:rsid w:val="004A1E29"/>
    <w:rsid w:val="004A7DD4"/>
    <w:rsid w:val="004B50D8"/>
    <w:rsid w:val="004B5B90"/>
    <w:rsid w:val="004F15E7"/>
    <w:rsid w:val="00501109"/>
    <w:rsid w:val="005703C9"/>
    <w:rsid w:val="00597703"/>
    <w:rsid w:val="005A6097"/>
    <w:rsid w:val="005B1DCC"/>
    <w:rsid w:val="005B7323"/>
    <w:rsid w:val="005C25B9"/>
    <w:rsid w:val="006267E6"/>
    <w:rsid w:val="00643096"/>
    <w:rsid w:val="006558D2"/>
    <w:rsid w:val="00672D25"/>
    <w:rsid w:val="006738BC"/>
    <w:rsid w:val="006B612A"/>
    <w:rsid w:val="006D3E69"/>
    <w:rsid w:val="006E0971"/>
    <w:rsid w:val="007245FB"/>
    <w:rsid w:val="00764BB2"/>
    <w:rsid w:val="007709F6"/>
    <w:rsid w:val="00783215"/>
    <w:rsid w:val="0079058C"/>
    <w:rsid w:val="007965FC"/>
    <w:rsid w:val="007967AF"/>
    <w:rsid w:val="00797EDB"/>
    <w:rsid w:val="007D2608"/>
    <w:rsid w:val="008004CB"/>
    <w:rsid w:val="008137F9"/>
    <w:rsid w:val="008164E5"/>
    <w:rsid w:val="00830081"/>
    <w:rsid w:val="00845249"/>
    <w:rsid w:val="008467D7"/>
    <w:rsid w:val="00852541"/>
    <w:rsid w:val="00865D47"/>
    <w:rsid w:val="0088452C"/>
    <w:rsid w:val="008D7DCB"/>
    <w:rsid w:val="009055DB"/>
    <w:rsid w:val="00905ECB"/>
    <w:rsid w:val="0096165D"/>
    <w:rsid w:val="00993E91"/>
    <w:rsid w:val="009A409F"/>
    <w:rsid w:val="009B5845"/>
    <w:rsid w:val="009C0C1F"/>
    <w:rsid w:val="009D4CEA"/>
    <w:rsid w:val="00A02AD7"/>
    <w:rsid w:val="00A10505"/>
    <w:rsid w:val="00A1288B"/>
    <w:rsid w:val="00A17551"/>
    <w:rsid w:val="00A24D5E"/>
    <w:rsid w:val="00A53203"/>
    <w:rsid w:val="00A772EB"/>
    <w:rsid w:val="00A95648"/>
    <w:rsid w:val="00AD4B38"/>
    <w:rsid w:val="00B01BA6"/>
    <w:rsid w:val="00B16784"/>
    <w:rsid w:val="00B4708A"/>
    <w:rsid w:val="00B82A97"/>
    <w:rsid w:val="00BA6255"/>
    <w:rsid w:val="00BF623B"/>
    <w:rsid w:val="00C035D4"/>
    <w:rsid w:val="00C33EF7"/>
    <w:rsid w:val="00C679BF"/>
    <w:rsid w:val="00C81BBD"/>
    <w:rsid w:val="00CA41CF"/>
    <w:rsid w:val="00CC6E44"/>
    <w:rsid w:val="00CD3132"/>
    <w:rsid w:val="00CE27CD"/>
    <w:rsid w:val="00D009AF"/>
    <w:rsid w:val="00D134F3"/>
    <w:rsid w:val="00D3538B"/>
    <w:rsid w:val="00D47D01"/>
    <w:rsid w:val="00D774B3"/>
    <w:rsid w:val="00DD35A5"/>
    <w:rsid w:val="00DE2948"/>
    <w:rsid w:val="00DF1CD2"/>
    <w:rsid w:val="00DF68BE"/>
    <w:rsid w:val="00DF712A"/>
    <w:rsid w:val="00E25DF4"/>
    <w:rsid w:val="00E3485D"/>
    <w:rsid w:val="00E6594C"/>
    <w:rsid w:val="00E6619B"/>
    <w:rsid w:val="00E908D7"/>
    <w:rsid w:val="00EA1CE4"/>
    <w:rsid w:val="00EA69AC"/>
    <w:rsid w:val="00EB40A1"/>
    <w:rsid w:val="00EC3112"/>
    <w:rsid w:val="00ED3A67"/>
    <w:rsid w:val="00ED5E57"/>
    <w:rsid w:val="00EE1BD8"/>
    <w:rsid w:val="00F165E9"/>
    <w:rsid w:val="00F5329C"/>
    <w:rsid w:val="00FA5BBE"/>
    <w:rsid w:val="00FC666E"/>
    <w:rsid w:val="00FE45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B8FF6"/>
  <w15:docId w15:val="{5CF23D3E-F771-4356-8681-05FCB76C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7245FB"/>
    <w:rPr>
      <w:sz w:val="16"/>
      <w:szCs w:val="16"/>
    </w:rPr>
  </w:style>
  <w:style w:type="paragraph" w:styleId="Tekstopmerking">
    <w:name w:val="annotation text"/>
    <w:basedOn w:val="Standaard"/>
    <w:link w:val="TekstopmerkingChar"/>
    <w:unhideWhenUsed/>
    <w:rsid w:val="007245FB"/>
    <w:rPr>
      <w:sz w:val="20"/>
    </w:rPr>
  </w:style>
  <w:style w:type="character" w:customStyle="1" w:styleId="TekstopmerkingChar">
    <w:name w:val="Tekst opmerking Char"/>
    <w:basedOn w:val="Standaardalinea-lettertype"/>
    <w:link w:val="Tekstopmerking"/>
    <w:rsid w:val="007245FB"/>
  </w:style>
  <w:style w:type="paragraph" w:styleId="Onderwerpvanopmerking">
    <w:name w:val="annotation subject"/>
    <w:basedOn w:val="Tekstopmerking"/>
    <w:next w:val="Tekstopmerking"/>
    <w:link w:val="OnderwerpvanopmerkingChar"/>
    <w:semiHidden/>
    <w:unhideWhenUsed/>
    <w:rsid w:val="007245FB"/>
    <w:rPr>
      <w:b/>
      <w:bCs/>
    </w:rPr>
  </w:style>
  <w:style w:type="character" w:customStyle="1" w:styleId="OnderwerpvanopmerkingChar">
    <w:name w:val="Onderwerp van opmerking Char"/>
    <w:basedOn w:val="TekstopmerkingChar"/>
    <w:link w:val="Onderwerpvanopmerking"/>
    <w:semiHidden/>
    <w:rsid w:val="007245FB"/>
    <w:rPr>
      <w:b/>
      <w:bCs/>
    </w:rPr>
  </w:style>
  <w:style w:type="paragraph" w:styleId="Lijstalinea">
    <w:name w:val="List Paragraph"/>
    <w:basedOn w:val="Standaard"/>
    <w:uiPriority w:val="34"/>
    <w:qFormat/>
    <w:rsid w:val="007245FB"/>
    <w:pPr>
      <w:ind w:left="720"/>
      <w:contextualSpacing/>
    </w:pPr>
  </w:style>
  <w:style w:type="paragraph" w:styleId="Revisie">
    <w:name w:val="Revision"/>
    <w:hidden/>
    <w:uiPriority w:val="99"/>
    <w:semiHidden/>
    <w:rsid w:val="00C33E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511</ap:Words>
  <ap:Characters>2816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2026-03-31T12:40:00.0000000Z</dcterms:created>
  <dcterms:modified xsi:type="dcterms:W3CDTF">2026-03-31T12:41:00.0000000Z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