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900EFF" w14:textId="77777777">
        <w:tc>
          <w:tcPr>
            <w:tcW w:w="6379" w:type="dxa"/>
            <w:gridSpan w:val="2"/>
            <w:tcBorders>
              <w:top w:val="nil"/>
              <w:left w:val="nil"/>
              <w:bottom w:val="nil"/>
              <w:right w:val="nil"/>
            </w:tcBorders>
            <w:vAlign w:val="center"/>
          </w:tcPr>
          <w:p w:rsidR="004330ED" w:rsidP="00EA1CE4" w:rsidRDefault="004330ED" w14:paraId="01E4AB5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8CBF3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45458A" w14:textId="77777777">
        <w:trPr>
          <w:cantSplit/>
        </w:trPr>
        <w:tc>
          <w:tcPr>
            <w:tcW w:w="10348" w:type="dxa"/>
            <w:gridSpan w:val="3"/>
            <w:tcBorders>
              <w:top w:val="single" w:color="auto" w:sz="4" w:space="0"/>
              <w:left w:val="nil"/>
              <w:bottom w:val="nil"/>
              <w:right w:val="nil"/>
            </w:tcBorders>
          </w:tcPr>
          <w:p w:rsidR="004330ED" w:rsidP="004A1E29" w:rsidRDefault="004330ED" w14:paraId="779C4D1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7EC5810" w14:textId="77777777">
        <w:trPr>
          <w:cantSplit/>
        </w:trPr>
        <w:tc>
          <w:tcPr>
            <w:tcW w:w="10348" w:type="dxa"/>
            <w:gridSpan w:val="3"/>
            <w:tcBorders>
              <w:top w:val="nil"/>
              <w:left w:val="nil"/>
              <w:bottom w:val="nil"/>
              <w:right w:val="nil"/>
            </w:tcBorders>
          </w:tcPr>
          <w:p w:rsidR="004330ED" w:rsidP="00BF623B" w:rsidRDefault="004330ED" w14:paraId="76899A2B" w14:textId="77777777">
            <w:pPr>
              <w:pStyle w:val="Amendement"/>
              <w:tabs>
                <w:tab w:val="clear" w:pos="3310"/>
                <w:tab w:val="clear" w:pos="3600"/>
              </w:tabs>
              <w:rPr>
                <w:rFonts w:ascii="Times New Roman" w:hAnsi="Times New Roman"/>
                <w:b w:val="0"/>
              </w:rPr>
            </w:pPr>
          </w:p>
        </w:tc>
      </w:tr>
      <w:tr w:rsidR="004330ED" w:rsidTr="00EA1CE4" w14:paraId="1C658374" w14:textId="77777777">
        <w:trPr>
          <w:cantSplit/>
        </w:trPr>
        <w:tc>
          <w:tcPr>
            <w:tcW w:w="10348" w:type="dxa"/>
            <w:gridSpan w:val="3"/>
            <w:tcBorders>
              <w:top w:val="nil"/>
              <w:left w:val="nil"/>
              <w:bottom w:val="single" w:color="auto" w:sz="4" w:space="0"/>
              <w:right w:val="nil"/>
            </w:tcBorders>
          </w:tcPr>
          <w:p w:rsidR="004330ED" w:rsidP="00BF623B" w:rsidRDefault="004330ED" w14:paraId="60FB1BC7" w14:textId="77777777">
            <w:pPr>
              <w:pStyle w:val="Amendement"/>
              <w:tabs>
                <w:tab w:val="clear" w:pos="3310"/>
                <w:tab w:val="clear" w:pos="3600"/>
              </w:tabs>
              <w:rPr>
                <w:rFonts w:ascii="Times New Roman" w:hAnsi="Times New Roman"/>
              </w:rPr>
            </w:pPr>
          </w:p>
        </w:tc>
      </w:tr>
      <w:tr w:rsidR="004330ED" w:rsidTr="00EA1CE4" w14:paraId="2F77F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70AAA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503E6E" w14:textId="77777777">
            <w:pPr>
              <w:suppressAutoHyphens/>
              <w:ind w:left="-70"/>
              <w:rPr>
                <w:b/>
              </w:rPr>
            </w:pPr>
          </w:p>
        </w:tc>
      </w:tr>
      <w:tr w:rsidR="003C21AC" w:rsidTr="00EA1CE4" w14:paraId="5470F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245FB" w14:paraId="28B5E56A" w14:textId="394F1E80">
            <w:pPr>
              <w:pStyle w:val="Amendement"/>
              <w:tabs>
                <w:tab w:val="clear" w:pos="3310"/>
                <w:tab w:val="clear" w:pos="3600"/>
              </w:tabs>
              <w:rPr>
                <w:rFonts w:ascii="Times New Roman" w:hAnsi="Times New Roman"/>
              </w:rPr>
            </w:pPr>
            <w:r>
              <w:rPr>
                <w:rFonts w:ascii="Times New Roman" w:hAnsi="Times New Roman"/>
              </w:rPr>
              <w:t>36 765</w:t>
            </w:r>
          </w:p>
        </w:tc>
        <w:tc>
          <w:tcPr>
            <w:tcW w:w="7371" w:type="dxa"/>
            <w:gridSpan w:val="2"/>
          </w:tcPr>
          <w:p w:rsidRPr="007245FB" w:rsidR="003C21AC" w:rsidP="007245FB" w:rsidRDefault="007245FB" w14:paraId="652EEE18" w14:textId="4148ED10">
            <w:pPr>
              <w:rPr>
                <w:b/>
                <w:bCs/>
                <w:szCs w:val="24"/>
              </w:rPr>
            </w:pPr>
            <w:r w:rsidRPr="007245FB">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C21AC" w:rsidTr="00EA1CE4" w14:paraId="0F0B4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0EBFA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6DB885D" w14:textId="77777777">
            <w:pPr>
              <w:pStyle w:val="Amendement"/>
              <w:tabs>
                <w:tab w:val="clear" w:pos="3310"/>
                <w:tab w:val="clear" w:pos="3600"/>
              </w:tabs>
              <w:ind w:left="-70"/>
              <w:rPr>
                <w:rFonts w:ascii="Times New Roman" w:hAnsi="Times New Roman"/>
              </w:rPr>
            </w:pPr>
          </w:p>
        </w:tc>
      </w:tr>
      <w:tr w:rsidR="003C21AC" w:rsidTr="00EA1CE4" w14:paraId="7E24D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97A97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84D077B" w14:textId="77777777">
            <w:pPr>
              <w:pStyle w:val="Amendement"/>
              <w:tabs>
                <w:tab w:val="clear" w:pos="3310"/>
                <w:tab w:val="clear" w:pos="3600"/>
              </w:tabs>
              <w:ind w:left="-70"/>
              <w:rPr>
                <w:rFonts w:ascii="Times New Roman" w:hAnsi="Times New Roman"/>
              </w:rPr>
            </w:pPr>
          </w:p>
        </w:tc>
      </w:tr>
      <w:tr w:rsidR="003C21AC" w:rsidTr="00EA1CE4" w14:paraId="7C0A7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7631B60" w14:textId="2B071747">
            <w:pPr>
              <w:pStyle w:val="Amendement"/>
              <w:tabs>
                <w:tab w:val="clear" w:pos="3310"/>
                <w:tab w:val="clear" w:pos="3600"/>
              </w:tabs>
              <w:rPr>
                <w:rFonts w:ascii="Times New Roman" w:hAnsi="Times New Roman"/>
              </w:rPr>
            </w:pPr>
            <w:r w:rsidRPr="00C035D4">
              <w:rPr>
                <w:rFonts w:ascii="Times New Roman" w:hAnsi="Times New Roman"/>
              </w:rPr>
              <w:t xml:space="preserve">Nr. </w:t>
            </w:r>
            <w:r w:rsidR="00C773C1">
              <w:rPr>
                <w:rFonts w:ascii="Times New Roman" w:hAnsi="Times New Roman"/>
                <w:caps/>
              </w:rPr>
              <w:t>15</w:t>
            </w:r>
          </w:p>
        </w:tc>
        <w:tc>
          <w:tcPr>
            <w:tcW w:w="7371" w:type="dxa"/>
            <w:gridSpan w:val="2"/>
          </w:tcPr>
          <w:p w:rsidRPr="00C035D4" w:rsidR="003C21AC" w:rsidP="006E0971" w:rsidRDefault="003C21AC" w14:paraId="601E0DF6" w14:textId="112548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245FB">
              <w:rPr>
                <w:rFonts w:ascii="Times New Roman" w:hAnsi="Times New Roman"/>
                <w:caps/>
              </w:rPr>
              <w:t>van den berg</w:t>
            </w:r>
          </w:p>
        </w:tc>
      </w:tr>
      <w:tr w:rsidR="003C21AC" w:rsidTr="00EA1CE4" w14:paraId="70CE9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8DB434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B0D455" w14:textId="6332E2B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773C1">
              <w:rPr>
                <w:rFonts w:ascii="Times New Roman" w:hAnsi="Times New Roman"/>
                <w:b w:val="0"/>
              </w:rPr>
              <w:t>31 maart 2026</w:t>
            </w:r>
          </w:p>
        </w:tc>
      </w:tr>
      <w:tr w:rsidR="00B01BA6" w:rsidTr="00EA1CE4" w14:paraId="7EFE9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6B728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214B207" w14:textId="77777777">
            <w:pPr>
              <w:pStyle w:val="Amendement"/>
              <w:tabs>
                <w:tab w:val="clear" w:pos="3310"/>
                <w:tab w:val="clear" w:pos="3600"/>
              </w:tabs>
              <w:ind w:left="-70"/>
              <w:rPr>
                <w:rFonts w:ascii="Times New Roman" w:hAnsi="Times New Roman"/>
                <w:b w:val="0"/>
              </w:rPr>
            </w:pPr>
          </w:p>
        </w:tc>
      </w:tr>
      <w:tr w:rsidRPr="00EA69AC" w:rsidR="00B01BA6" w:rsidTr="00EA1CE4" w14:paraId="2EFEB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8012540" w14:textId="77777777">
            <w:pPr>
              <w:ind w:firstLine="284"/>
            </w:pPr>
            <w:r w:rsidRPr="00EA69AC">
              <w:t>De ondergetekende stelt het volgende amendement voor:</w:t>
            </w:r>
          </w:p>
        </w:tc>
      </w:tr>
    </w:tbl>
    <w:p w:rsidRPr="00EA69AC" w:rsidR="004330ED" w:rsidP="00D774B3" w:rsidRDefault="004330ED" w14:paraId="7D74A03D" w14:textId="77777777"/>
    <w:p w:rsidRPr="00EA69AC" w:rsidR="004330ED" w:rsidP="00EA1CE4" w:rsidRDefault="004330ED" w14:paraId="7E3443E9" w14:textId="77777777">
      <w:r w:rsidRPr="00EA69AC">
        <w:t>I</w:t>
      </w:r>
    </w:p>
    <w:p w:rsidR="005B1DCC" w:rsidP="00BF623B" w:rsidRDefault="005B1DCC" w14:paraId="361E364F" w14:textId="77777777"/>
    <w:p w:rsidR="009D4CEA" w:rsidP="00BF623B" w:rsidRDefault="009D4CEA" w14:paraId="2C957134" w14:textId="77777777">
      <w:r>
        <w:tab/>
        <w:t>In artikel 14 wordt na het vierde lid een lid ingevoegd, luidende:</w:t>
      </w:r>
    </w:p>
    <w:p w:rsidR="009D4CEA" w:rsidP="009D4CEA" w:rsidRDefault="009D4CEA" w14:paraId="7791D352" w14:textId="524E7110">
      <w:pPr>
        <w:ind w:firstLine="284"/>
        <w:rPr>
          <w:rFonts w:eastAsia="Calibri"/>
          <w:lang w:eastAsia="en-US"/>
        </w:rPr>
      </w:pPr>
      <w:r>
        <w:t xml:space="preserve">4a. </w:t>
      </w:r>
      <w:r w:rsidRPr="00087C12">
        <w:rPr>
          <w:rFonts w:eastAsia="Calibri"/>
          <w:lang w:eastAsia="en-US"/>
        </w:rPr>
        <w:t>Bij of krachtens algemene maatregel van bestuur</w:t>
      </w:r>
      <w:r>
        <w:rPr>
          <w:rFonts w:eastAsia="Calibri"/>
          <w:lang w:eastAsia="en-US"/>
        </w:rPr>
        <w:t xml:space="preserve"> worden</w:t>
      </w:r>
      <w:r w:rsidRPr="00087C12">
        <w:rPr>
          <w:rFonts w:eastAsia="Calibri"/>
          <w:lang w:eastAsia="en-US"/>
        </w:rPr>
        <w:t xml:space="preserve"> regels worden over het</w:t>
      </w:r>
      <w:r>
        <w:rPr>
          <w:rFonts w:eastAsia="Calibri"/>
          <w:lang w:eastAsia="en-US"/>
        </w:rPr>
        <w:t xml:space="preserve"> gezamenlijk uitvoeren van</w:t>
      </w:r>
      <w:r w:rsidR="003E413E">
        <w:rPr>
          <w:rFonts w:eastAsia="Calibri"/>
          <w:lang w:eastAsia="en-US"/>
        </w:rPr>
        <w:t xml:space="preserve"> de in het eerste lid bedoelde</w:t>
      </w:r>
      <w:r>
        <w:rPr>
          <w:rFonts w:eastAsia="Calibri"/>
          <w:lang w:eastAsia="en-US"/>
        </w:rPr>
        <w:t xml:space="preserve"> risicobeoordeling door twee of meer kritieke entiteiten die deel uitmaken van:</w:t>
      </w:r>
    </w:p>
    <w:p w:rsidR="009D4CEA" w:rsidP="009D4CEA" w:rsidRDefault="009D4CEA" w14:paraId="6BCAC317" w14:textId="77777777">
      <w:pPr>
        <w:ind w:firstLine="284"/>
      </w:pPr>
      <w:r>
        <w:t xml:space="preserve">a. een groep als bedoeld in artikel 24b van Boek 2 van het Burgerlijk Wetboek; </w:t>
      </w:r>
    </w:p>
    <w:p w:rsidR="009D4CEA" w:rsidP="009D4CEA" w:rsidRDefault="009D4CEA" w14:paraId="31CA495A" w14:textId="77777777">
      <w:pPr>
        <w:ind w:firstLine="284"/>
      </w:pPr>
      <w:r>
        <w:t xml:space="preserve">b. een gemeenschappelijke regeling als bedoeld in artikel 1 van de Wet gemeenschappelijke regelingen of een op grond daarvan ingesteld openbaar lichaam, gemeenschappelijk orgaan of </w:t>
      </w:r>
      <w:proofErr w:type="spellStart"/>
      <w:r>
        <w:t>bedrijfsvoeringsorganisatie</w:t>
      </w:r>
      <w:proofErr w:type="spellEnd"/>
      <w:r>
        <w:t xml:space="preserve">; of </w:t>
      </w:r>
    </w:p>
    <w:p w:rsidR="009D4CEA" w:rsidP="009D4CEA" w:rsidRDefault="009D4CEA" w14:paraId="2C97C559" w14:textId="15A9CBD3">
      <w:pPr>
        <w:ind w:firstLine="284"/>
      </w:pPr>
      <w:r>
        <w:t>c. een andere duurzame en schriftelijk vastgelegde samenwerkingsstructuur die betrekking heeft op de verlening of ondersteuning van een essentiële dienst</w:t>
      </w:r>
      <w:r w:rsidR="003E413E">
        <w:t>.</w:t>
      </w:r>
    </w:p>
    <w:p w:rsidR="009D4CEA" w:rsidP="009D4CEA" w:rsidRDefault="003E413E" w14:paraId="46FA4795" w14:textId="5D137AC4">
      <w:pPr>
        <w:ind w:firstLine="284"/>
      </w:pPr>
      <w:r>
        <w:t>Daarbij blijft</w:t>
      </w:r>
      <w:r w:rsidR="009D4CEA">
        <w:t xml:space="preserve"> voor iedere betrokken kritieke entiteit afzonderlijk inzichtelijk </w:t>
      </w:r>
      <w:r>
        <w:t xml:space="preserve">welke risico’s specifiek op die entiteit van toepassing zijn. </w:t>
      </w:r>
    </w:p>
    <w:p w:rsidR="009D4CEA" w:rsidP="003E413E" w:rsidRDefault="009D4CEA" w14:paraId="28D1EC5D" w14:textId="77777777">
      <w:pPr>
        <w:rPr>
          <w:rFonts w:eastAsia="Calibri"/>
          <w:lang w:eastAsia="en-US"/>
        </w:rPr>
      </w:pPr>
    </w:p>
    <w:p w:rsidR="003E413E" w:rsidP="003E413E" w:rsidRDefault="003E413E" w14:paraId="3AB1F5B3" w14:textId="1E74F26D">
      <w:pPr>
        <w:rPr>
          <w:rFonts w:eastAsia="Calibri"/>
          <w:lang w:eastAsia="en-US"/>
        </w:rPr>
      </w:pPr>
      <w:r>
        <w:rPr>
          <w:rFonts w:eastAsia="Calibri"/>
          <w:lang w:eastAsia="en-US"/>
        </w:rPr>
        <w:t>II</w:t>
      </w:r>
    </w:p>
    <w:p w:rsidR="003E413E" w:rsidP="003E413E" w:rsidRDefault="003E413E" w14:paraId="15AF8C13" w14:textId="77777777">
      <w:pPr>
        <w:rPr>
          <w:rFonts w:eastAsia="Calibri"/>
          <w:lang w:eastAsia="en-US"/>
        </w:rPr>
      </w:pPr>
    </w:p>
    <w:p w:rsidR="003E413E" w:rsidP="003E413E" w:rsidRDefault="003E413E" w14:paraId="52C8ADC6" w14:textId="375D0605">
      <w:pPr>
        <w:rPr>
          <w:rFonts w:eastAsia="Calibri"/>
          <w:lang w:eastAsia="en-US"/>
        </w:rPr>
      </w:pPr>
      <w:r>
        <w:rPr>
          <w:rFonts w:eastAsia="Calibri"/>
          <w:lang w:eastAsia="en-US"/>
        </w:rPr>
        <w:tab/>
        <w:t xml:space="preserve">In artikel 15 wordt na het derde lid een lid ingevoegd, luidende: </w:t>
      </w:r>
    </w:p>
    <w:p w:rsidR="003E413E" w:rsidP="003E413E" w:rsidRDefault="003E413E" w14:paraId="657F2B09" w14:textId="57FCDB6D">
      <w:pPr>
        <w:ind w:firstLine="284"/>
        <w:rPr>
          <w:rFonts w:eastAsia="Calibri"/>
          <w:lang w:eastAsia="en-US"/>
        </w:rPr>
      </w:pPr>
      <w:r>
        <w:rPr>
          <w:rFonts w:eastAsia="Calibri"/>
          <w:lang w:eastAsia="en-US"/>
        </w:rPr>
        <w:t xml:space="preserve">3a. </w:t>
      </w:r>
      <w:r w:rsidRPr="00087C12">
        <w:rPr>
          <w:rFonts w:eastAsia="Calibri"/>
          <w:lang w:eastAsia="en-US"/>
        </w:rPr>
        <w:t>Bij of krachtens algemene maatregel van bestuur</w:t>
      </w:r>
      <w:r>
        <w:rPr>
          <w:rFonts w:eastAsia="Calibri"/>
          <w:lang w:eastAsia="en-US"/>
        </w:rPr>
        <w:t xml:space="preserve"> worden</w:t>
      </w:r>
      <w:r w:rsidRPr="00087C12">
        <w:rPr>
          <w:rFonts w:eastAsia="Calibri"/>
          <w:lang w:eastAsia="en-US"/>
        </w:rPr>
        <w:t xml:space="preserve"> regels worden over het</w:t>
      </w:r>
      <w:r>
        <w:rPr>
          <w:rFonts w:eastAsia="Calibri"/>
          <w:lang w:eastAsia="en-US"/>
        </w:rPr>
        <w:t xml:space="preserve"> gezamenlijk opstellen van de in het derde lid bedoelde beschrijving van maatregelen door twee of meer kritieke entiteiten die deel uitmaken van:</w:t>
      </w:r>
    </w:p>
    <w:p w:rsidR="003E413E" w:rsidP="003E413E" w:rsidRDefault="003E413E" w14:paraId="5AA2F540" w14:textId="77777777">
      <w:pPr>
        <w:ind w:firstLine="284"/>
      </w:pPr>
      <w:r>
        <w:t xml:space="preserve">a. een groep als bedoeld in artikel 24b van Boek 2 van het Burgerlijk Wetboek; </w:t>
      </w:r>
    </w:p>
    <w:p w:rsidR="003E413E" w:rsidP="003E413E" w:rsidRDefault="003E413E" w14:paraId="38A77131" w14:textId="77777777">
      <w:pPr>
        <w:ind w:firstLine="284"/>
      </w:pPr>
      <w:r>
        <w:t xml:space="preserve">b. een gemeenschappelijke regeling als bedoeld in artikel 1 van de Wet gemeenschappelijke regelingen of een op grond daarvan ingesteld openbaar lichaam, gemeenschappelijk orgaan of </w:t>
      </w:r>
      <w:proofErr w:type="spellStart"/>
      <w:r>
        <w:t>bedrijfsvoeringsorganisatie</w:t>
      </w:r>
      <w:proofErr w:type="spellEnd"/>
      <w:r>
        <w:t xml:space="preserve">; of </w:t>
      </w:r>
    </w:p>
    <w:p w:rsidR="003E413E" w:rsidP="003E413E" w:rsidRDefault="003E413E" w14:paraId="0AAE2F95" w14:textId="77777777">
      <w:pPr>
        <w:ind w:firstLine="284"/>
      </w:pPr>
      <w:r>
        <w:t>c. een andere duurzame en schriftelijk vastgelegde samenwerkingsstructuur die betrekking heeft op de verlening of ondersteuning van een essentiële dienst.</w:t>
      </w:r>
    </w:p>
    <w:p w:rsidR="003E413E" w:rsidP="003E413E" w:rsidRDefault="003E413E" w14:paraId="5764253E" w14:textId="2DC385FF">
      <w:pPr>
        <w:ind w:firstLine="284"/>
      </w:pPr>
      <w:r>
        <w:t xml:space="preserve">Daarbij blijft voor iedere betrokken kritieke entiteit afzonderlijk inzichtelijk welke maatregelen specifiek op die entiteit van toepassing zijn. </w:t>
      </w:r>
    </w:p>
    <w:p w:rsidR="003E413E" w:rsidP="003E413E" w:rsidRDefault="003E413E" w14:paraId="37F5AB9E" w14:textId="77777777">
      <w:pPr>
        <w:rPr>
          <w:rFonts w:eastAsia="Calibri"/>
          <w:lang w:eastAsia="en-US"/>
        </w:rPr>
      </w:pPr>
    </w:p>
    <w:p w:rsidRPr="00EA69AC" w:rsidR="003C21AC" w:rsidP="00EA1CE4" w:rsidRDefault="003C21AC" w14:paraId="6C6F3780" w14:textId="77777777">
      <w:pPr>
        <w:rPr>
          <w:b/>
        </w:rPr>
      </w:pPr>
      <w:r w:rsidRPr="00EA69AC">
        <w:rPr>
          <w:b/>
        </w:rPr>
        <w:t>Toelichting</w:t>
      </w:r>
    </w:p>
    <w:p w:rsidRPr="00EA69AC" w:rsidR="003C21AC" w:rsidP="00BF623B" w:rsidRDefault="003C21AC" w14:paraId="01B1213D" w14:textId="77777777"/>
    <w:p w:rsidR="00DF1CD2" w:rsidP="00BF623B" w:rsidRDefault="009D4CEA" w14:paraId="4C4A6AB0" w14:textId="3C7A9499">
      <w:r>
        <w:t xml:space="preserve">Dit amendement maakt expliciet mogelijk dat entiteiten binnen een concern, een publiekrechtelijke samenwerking of een andere vaste samenwerkingsstructuur één gezamenlijke risicobeoordeling en één </w:t>
      </w:r>
      <w:r>
        <w:lastRenderedPageBreak/>
        <w:t>gezamenlijke beschrijving van maatregelen opstellen. Daarmee wordt dubbel werk voorkomen bij ketens waarin meerdere rechtspersonen feitelijk één dienst, één locatie of één governance-structuur delen. De kernwaarborg is dat voor iedere betrokken kritieke entiteit afzonderlijk zichtbaar moet blijven welke risico's, afhankelijkheden, kwetsbaarheden en maatregelen specifiek op haar van toepassing zijn. De individuele nalevingsverantwoordelijkheid blijft dus volledig in stand. De CER-richtlijn</w:t>
      </w:r>
      <w:r w:rsidR="00967DBC">
        <w:rPr>
          <w:rStyle w:val="Voetnootmarkering"/>
        </w:rPr>
        <w:footnoteReference w:id="1"/>
      </w:r>
      <w:r>
        <w:t xml:space="preserve"> schrijft voor dat kritieke entiteiten zelf een risicobeoordeling uitvoeren, maar verbiedt niet dat dit in concern- of ketenverband wordt georganiseerd zolang de uitkomst per entiteit toetsbaar blijft. Dat maakt deze bepaling juridisch houdbaar en praktisch nuttig.</w:t>
      </w:r>
    </w:p>
    <w:p w:rsidRPr="00EA69AC" w:rsidR="009D4CEA" w:rsidP="00BF623B" w:rsidRDefault="009D4CEA" w14:paraId="152BACB7" w14:textId="77777777"/>
    <w:p w:rsidRPr="00EA69AC" w:rsidR="00B4708A" w:rsidP="00EA1CE4" w:rsidRDefault="007245FB" w14:paraId="7E712FFB" w14:textId="31358F87">
      <w:r>
        <w:t>Van den Berg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1E9AD" w14:textId="77777777" w:rsidR="007245FB" w:rsidRDefault="007245FB">
      <w:pPr>
        <w:spacing w:line="20" w:lineRule="exact"/>
      </w:pPr>
    </w:p>
  </w:endnote>
  <w:endnote w:type="continuationSeparator" w:id="0">
    <w:p w14:paraId="043818D5" w14:textId="77777777" w:rsidR="007245FB" w:rsidRDefault="007245FB">
      <w:pPr>
        <w:pStyle w:val="Amendement"/>
      </w:pPr>
      <w:r>
        <w:rPr>
          <w:b w:val="0"/>
        </w:rPr>
        <w:t xml:space="preserve"> </w:t>
      </w:r>
    </w:p>
  </w:endnote>
  <w:endnote w:type="continuationNotice" w:id="1">
    <w:p w14:paraId="3DE166FA" w14:textId="77777777" w:rsidR="007245FB" w:rsidRDefault="007245F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F2DE" w14:textId="77777777" w:rsidR="007245FB" w:rsidRDefault="007245FB">
      <w:pPr>
        <w:pStyle w:val="Amendement"/>
      </w:pPr>
      <w:r>
        <w:rPr>
          <w:b w:val="0"/>
        </w:rPr>
        <w:separator/>
      </w:r>
    </w:p>
  </w:footnote>
  <w:footnote w:type="continuationSeparator" w:id="0">
    <w:p w14:paraId="23B5A4D8" w14:textId="77777777" w:rsidR="007245FB" w:rsidRDefault="007245FB">
      <w:r>
        <w:continuationSeparator/>
      </w:r>
    </w:p>
  </w:footnote>
  <w:footnote w:id="1">
    <w:p w14:paraId="45A388F3" w14:textId="1B1EA192" w:rsidR="00967DBC" w:rsidRPr="00967DBC" w:rsidRDefault="00967DBC">
      <w:pPr>
        <w:pStyle w:val="Voetnoottekst"/>
        <w:rPr>
          <w:sz w:val="20"/>
        </w:rPr>
      </w:pPr>
      <w:r w:rsidRPr="00967DBC">
        <w:rPr>
          <w:rStyle w:val="Voetnootmarkering"/>
          <w:sz w:val="20"/>
        </w:rPr>
        <w:footnoteRef/>
      </w:r>
      <w:r w:rsidRPr="00967DBC">
        <w:rPr>
          <w:sz w:val="20"/>
        </w:rPr>
        <w:t xml:space="preserve"> </w:t>
      </w:r>
      <w:r w:rsidRPr="00967DBC">
        <w:rPr>
          <w:rFonts w:eastAsia="Calibri"/>
          <w:sz w:val="20"/>
          <w:lang w:eastAsia="en-US"/>
        </w:rPr>
        <w:t>Richtlijn (EU) 2022/2557 van het Europees Parlement en de Raad van 14 december 2022 betreffende de weerbaarheid van kritieke entiteiten en tot intrekking van Richtlijn 2008/114/EG van de Raad (</w:t>
      </w:r>
      <w:proofErr w:type="spellStart"/>
      <w:r w:rsidRPr="00967DBC">
        <w:rPr>
          <w:rFonts w:eastAsia="Calibri"/>
          <w:i/>
          <w:iCs/>
          <w:sz w:val="20"/>
          <w:lang w:eastAsia="en-US"/>
        </w:rPr>
        <w:t>PbEU</w:t>
      </w:r>
      <w:proofErr w:type="spellEnd"/>
      <w:r w:rsidRPr="00967DBC">
        <w:rPr>
          <w:rFonts w:eastAsia="Calibri"/>
          <w:sz w:val="20"/>
          <w:lang w:eastAsia="en-US"/>
        </w:rPr>
        <w:t xml:space="preserve"> 2022, L 333).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FB"/>
    <w:rsid w:val="00035178"/>
    <w:rsid w:val="00052244"/>
    <w:rsid w:val="0007471A"/>
    <w:rsid w:val="000D17BF"/>
    <w:rsid w:val="00157CAF"/>
    <w:rsid w:val="001656EE"/>
    <w:rsid w:val="0016653D"/>
    <w:rsid w:val="00180446"/>
    <w:rsid w:val="001D56AF"/>
    <w:rsid w:val="001E0E21"/>
    <w:rsid w:val="00212E0A"/>
    <w:rsid w:val="002153B0"/>
    <w:rsid w:val="0021777F"/>
    <w:rsid w:val="00241DD0"/>
    <w:rsid w:val="002A0713"/>
    <w:rsid w:val="0037531B"/>
    <w:rsid w:val="003C21AC"/>
    <w:rsid w:val="003C5218"/>
    <w:rsid w:val="003C7876"/>
    <w:rsid w:val="003E2308"/>
    <w:rsid w:val="003E2F98"/>
    <w:rsid w:val="003E413E"/>
    <w:rsid w:val="00413B00"/>
    <w:rsid w:val="0042574B"/>
    <w:rsid w:val="004330ED"/>
    <w:rsid w:val="00481C91"/>
    <w:rsid w:val="004911E3"/>
    <w:rsid w:val="00492D68"/>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245FB"/>
    <w:rsid w:val="00764BB2"/>
    <w:rsid w:val="007709F6"/>
    <w:rsid w:val="00783215"/>
    <w:rsid w:val="007965FC"/>
    <w:rsid w:val="007D2608"/>
    <w:rsid w:val="008004CB"/>
    <w:rsid w:val="008137F9"/>
    <w:rsid w:val="008164E5"/>
    <w:rsid w:val="00830081"/>
    <w:rsid w:val="00845249"/>
    <w:rsid w:val="008467D7"/>
    <w:rsid w:val="00852541"/>
    <w:rsid w:val="00865D47"/>
    <w:rsid w:val="0088452C"/>
    <w:rsid w:val="008D7DCB"/>
    <w:rsid w:val="009055DB"/>
    <w:rsid w:val="00905ECB"/>
    <w:rsid w:val="0096165D"/>
    <w:rsid w:val="00967DBC"/>
    <w:rsid w:val="00993E91"/>
    <w:rsid w:val="009A409F"/>
    <w:rsid w:val="009B5845"/>
    <w:rsid w:val="009C0C1F"/>
    <w:rsid w:val="009D4CEA"/>
    <w:rsid w:val="00A10505"/>
    <w:rsid w:val="00A1288B"/>
    <w:rsid w:val="00A53203"/>
    <w:rsid w:val="00A772EB"/>
    <w:rsid w:val="00B01BA6"/>
    <w:rsid w:val="00B4708A"/>
    <w:rsid w:val="00BA6255"/>
    <w:rsid w:val="00BF623B"/>
    <w:rsid w:val="00C035D4"/>
    <w:rsid w:val="00C33EF7"/>
    <w:rsid w:val="00C679BF"/>
    <w:rsid w:val="00C773C1"/>
    <w:rsid w:val="00C81BBD"/>
    <w:rsid w:val="00CC6E44"/>
    <w:rsid w:val="00CD3132"/>
    <w:rsid w:val="00CE27CD"/>
    <w:rsid w:val="00D009AF"/>
    <w:rsid w:val="00D134F3"/>
    <w:rsid w:val="00D47D01"/>
    <w:rsid w:val="00D51A07"/>
    <w:rsid w:val="00D774B3"/>
    <w:rsid w:val="00DD35A5"/>
    <w:rsid w:val="00DE2948"/>
    <w:rsid w:val="00DF1CD2"/>
    <w:rsid w:val="00DF68BE"/>
    <w:rsid w:val="00DF712A"/>
    <w:rsid w:val="00E25DF4"/>
    <w:rsid w:val="00E3485D"/>
    <w:rsid w:val="00E6594C"/>
    <w:rsid w:val="00E6619B"/>
    <w:rsid w:val="00E908D7"/>
    <w:rsid w:val="00EA1CE4"/>
    <w:rsid w:val="00EA69AC"/>
    <w:rsid w:val="00EB40A1"/>
    <w:rsid w:val="00EC3112"/>
    <w:rsid w:val="00ED5E57"/>
    <w:rsid w:val="00EE1BD8"/>
    <w:rsid w:val="00FA5BBE"/>
    <w:rsid w:val="00FE4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B8FF6"/>
  <w15:docId w15:val="{5CF23D3E-F771-4356-8681-05FCB76C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245FB"/>
    <w:rPr>
      <w:sz w:val="16"/>
      <w:szCs w:val="16"/>
    </w:rPr>
  </w:style>
  <w:style w:type="paragraph" w:styleId="Tekstopmerking">
    <w:name w:val="annotation text"/>
    <w:basedOn w:val="Standaard"/>
    <w:link w:val="TekstopmerkingChar"/>
    <w:unhideWhenUsed/>
    <w:rsid w:val="007245FB"/>
    <w:rPr>
      <w:sz w:val="20"/>
    </w:rPr>
  </w:style>
  <w:style w:type="character" w:customStyle="1" w:styleId="TekstopmerkingChar">
    <w:name w:val="Tekst opmerking Char"/>
    <w:basedOn w:val="Standaardalinea-lettertype"/>
    <w:link w:val="Tekstopmerking"/>
    <w:rsid w:val="007245FB"/>
  </w:style>
  <w:style w:type="paragraph" w:styleId="Onderwerpvanopmerking">
    <w:name w:val="annotation subject"/>
    <w:basedOn w:val="Tekstopmerking"/>
    <w:next w:val="Tekstopmerking"/>
    <w:link w:val="OnderwerpvanopmerkingChar"/>
    <w:semiHidden/>
    <w:unhideWhenUsed/>
    <w:rsid w:val="007245FB"/>
    <w:rPr>
      <w:b/>
      <w:bCs/>
    </w:rPr>
  </w:style>
  <w:style w:type="character" w:customStyle="1" w:styleId="OnderwerpvanopmerkingChar">
    <w:name w:val="Onderwerp van opmerking Char"/>
    <w:basedOn w:val="TekstopmerkingChar"/>
    <w:link w:val="Onderwerpvanopmerking"/>
    <w:semiHidden/>
    <w:rsid w:val="007245FB"/>
    <w:rPr>
      <w:b/>
      <w:bCs/>
    </w:rPr>
  </w:style>
  <w:style w:type="paragraph" w:styleId="Lijstalinea">
    <w:name w:val="List Paragraph"/>
    <w:basedOn w:val="Standaard"/>
    <w:uiPriority w:val="34"/>
    <w:qFormat/>
    <w:rsid w:val="007245FB"/>
    <w:pPr>
      <w:ind w:left="720"/>
      <w:contextualSpacing/>
    </w:pPr>
  </w:style>
  <w:style w:type="paragraph" w:styleId="Revisie">
    <w:name w:val="Revision"/>
    <w:hidden/>
    <w:uiPriority w:val="99"/>
    <w:semiHidden/>
    <w:rsid w:val="00C33EF7"/>
    <w:rPr>
      <w:sz w:val="24"/>
    </w:rPr>
  </w:style>
  <w:style w:type="character" w:styleId="Voetnootmarkering">
    <w:name w:val="footnote reference"/>
    <w:basedOn w:val="Standaardalinea-lettertype"/>
    <w:semiHidden/>
    <w:unhideWhenUsed/>
    <w:rsid w:val="00967D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500</ap:Words>
  <ap:Characters>2750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2026-03-31T12:38:00.0000000Z</dcterms:created>
  <dcterms:modified xsi:type="dcterms:W3CDTF">2026-03-31T12:38:00.0000000Z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