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2026Z06487</w:t>
        <w:br/>
      </w:r>
      <w:proofErr w:type="spellEnd"/>
    </w:p>
    <w:p>
      <w:pPr>
        <w:pStyle w:val="Normal"/>
        <w:rPr>
          <w:b w:val="1"/>
          <w:bCs w:val="1"/>
        </w:rPr>
      </w:pPr>
      <w:r w:rsidR="250AE766">
        <w:rPr>
          <w:b w:val="0"/>
          <w:bCs w:val="0"/>
        </w:rPr>
        <w:t>(ingezonden 30 maart 2026)</w:t>
        <w:br/>
      </w:r>
    </w:p>
    <w:p>
      <w:r>
        <w:t xml:space="preserve">Vragen van het lid Keijzer (Keijzer) aan de minister van Onderwijs, Cultuur en Wetenschap over het Concertgebouw dat musici en orkesten weert die direct of indirect betrokkenheid hebben bij oorlogsmisdaden en genocide.</w:t>
      </w:r>
      <w:r>
        <w:br/>
      </w:r>
    </w:p>
    <w:p>
      <w:r>
        <w:t xml:space="preserve"> </w:t>
      </w:r>
      <w:r>
        <w:br/>
      </w:r>
    </w:p>
    <w:p>
      <w:pPr>
        <w:pStyle w:val="ListParagraph"/>
        <w:numPr>
          <w:ilvl w:val="0"/>
          <w:numId w:val="100502440"/>
        </w:numPr>
        <w:ind w:left="360"/>
      </w:pPr>
      <w:r>
        <w:t xml:space="preserve">Klopt het dat het Concertgebouw nieuwe richtlijnen heeft ingevoerd waarbij artiesten, musici en orkesten kunnen worden geweerd indien zij (direct of indirect) betrokken zouden zijn bij discriminatie, geweld of ernstige schendingen van internationaal recht, waaronder oorlogsmisdaden en genocide? [1]</w:t>
      </w:r>
      <w:r>
        <w:br/>
      </w:r>
    </w:p>
    <w:p>
      <w:pPr>
        <w:pStyle w:val="ListParagraph"/>
        <w:numPr>
          <w:ilvl w:val="0"/>
          <w:numId w:val="100502440"/>
        </w:numPr>
        <w:ind w:left="360"/>
      </w:pPr>
      <w:r>
        <w:t xml:space="preserve">Hoe beoordeelt u dat Het Concertgebouw nieuwe richtlijnen hanteert waarbij artiesten, musici of complete orkesten kunnen worden geweerd op basis van vermeende betrokkenheid bij internationale misdrijven, zonder dat daar een juridisch oordeel of individueel onderzoek aan voorafgaat?</w:t>
      </w:r>
      <w:r>
        <w:br/>
      </w:r>
    </w:p>
    <w:p>
      <w:pPr>
        <w:pStyle w:val="ListParagraph"/>
        <w:numPr>
          <w:ilvl w:val="0"/>
          <w:numId w:val="100502440"/>
        </w:numPr>
        <w:ind w:left="360"/>
      </w:pPr>
      <w:r>
        <w:t xml:space="preserve">Klopt het dat deze richtlijnen zijn opgesteld naar aanleiding van activistische druk rondom het optreden van een cantor van het Israëlische leger en dat deze richtlijnen zonder openbare toelichting of consultatie zijn ingevoerd?</w:t>
      </w:r>
      <w:r>
        <w:br/>
      </w:r>
    </w:p>
    <w:p>
      <w:pPr>
        <w:pStyle w:val="ListParagraph"/>
        <w:numPr>
          <w:ilvl w:val="0"/>
          <w:numId w:val="100502440"/>
        </w:numPr>
        <w:ind w:left="360"/>
      </w:pPr>
      <w:r>
        <w:t xml:space="preserve">Acht u het passend dat een gesubsidieerde culturele instelling beleid formuleert dat in de praktijk kan leiden tot collectieve uitsluiting van artiesten uit bepaalde landen of culturele groepen en daarmee het risico loopt op discriminatoire besluitvorming of zelfs (juridisch relevante) groepsbelediging?</w:t>
      </w:r>
      <w:r>
        <w:br/>
      </w:r>
    </w:p>
    <w:p>
      <w:pPr>
        <w:pStyle w:val="ListParagraph"/>
        <w:numPr>
          <w:ilvl w:val="0"/>
          <w:numId w:val="100502440"/>
        </w:numPr>
        <w:ind w:left="360"/>
      </w:pPr>
      <w:r>
        <w:t xml:space="preserve">Kunt u toelichten op welke wijze een instelling als Het Concertgebouw, dat geen internationaal‑juridische bevoegdheid heeft, kan vaststellen of een artiest schuldig is aan oorlogsmisdaden of misdrijven tegen de menselijkheid en ziet u risico’s in deze vorm van zelftoegeëigende morele rechtspraak?</w:t>
      </w:r>
      <w:r>
        <w:br/>
      </w:r>
    </w:p>
    <w:p>
      <w:pPr>
        <w:pStyle w:val="ListParagraph"/>
        <w:numPr>
          <w:ilvl w:val="0"/>
          <w:numId w:val="100502440"/>
        </w:numPr>
        <w:ind w:left="360"/>
      </w:pPr>
      <w:r>
        <w:t xml:space="preserve">Bent u het ermee eens dat dergelijke uitsluiting kan leiden tot (juridisch relevante) groepsbelediging, omdat hiermee een volledige bevolkingsgroep of nationale culturele sector collectief wordt weggezet als medeplichtig aan internationale misdrijven? Zo ja, overtreedt Het Concertgebouw hier dan niet gewoon de wet?</w:t>
      </w:r>
      <w:r>
        <w:br/>
      </w:r>
    </w:p>
    <w:p>
      <w:pPr>
        <w:pStyle w:val="ListParagraph"/>
        <w:numPr>
          <w:ilvl w:val="0"/>
          <w:numId w:val="100502440"/>
        </w:numPr>
        <w:ind w:left="360"/>
      </w:pPr>
      <w:r>
        <w:t xml:space="preserve">In hoeverre zijn deze richtlijnen verenigbaar met de wettelijke non‑discriminatienormen en de Governance Code Cultuur?</w:t>
      </w:r>
      <w:r>
        <w:br/>
      </w:r>
    </w:p>
    <w:p>
      <w:pPr>
        <w:pStyle w:val="ListParagraph"/>
        <w:numPr>
          <w:ilvl w:val="0"/>
          <w:numId w:val="100502440"/>
        </w:numPr>
        <w:ind w:left="360"/>
      </w:pPr>
      <w:r>
        <w:t xml:space="preserve">Acht u het wenselijk dat een instelling die (zelfs beperkt) wordt gefinancierd met publieke middelen, circa 4% gemeentelijke subsidie, een politiek‑activistische boycot kan effectueren, met verstrekkende maatschappelijke gevolgen?</w:t>
      </w:r>
      <w:r>
        <w:br/>
      </w:r>
    </w:p>
    <w:p>
      <w:pPr>
        <w:pStyle w:val="ListParagraph"/>
        <w:numPr>
          <w:ilvl w:val="0"/>
          <w:numId w:val="100502440"/>
        </w:numPr>
        <w:ind w:left="360"/>
      </w:pPr>
      <w:r>
        <w:t xml:space="preserve">Hoe kijkt u aan tegen het feit dat in de regeling Vierjarige subsidies Kunstenplan 2025–2028 van de gemeente Amsterdam staat dat subsidie wordt geweigerd of ingetrokken wanneer een instelling in strijd handelt met wet- of regelgeving en bent u het ermee eens dat deze richtlijnen strijdig zijn met deze subsidievoorwaarden, en dus een grond vormen voor ingrijpen richting Het Concertgebouw?</w:t>
      </w:r>
      <w:r>
        <w:br/>
      </w:r>
    </w:p>
    <w:p>
      <w:pPr>
        <w:pStyle w:val="ListParagraph"/>
        <w:numPr>
          <w:ilvl w:val="0"/>
          <w:numId w:val="100502440"/>
        </w:numPr>
        <w:ind w:left="360"/>
      </w:pPr>
      <w:r>
        <w:t xml:space="preserve">Hoe kijkt u aan tegen het feit dat Het Concertgebouw zich in de aanvraag van de subsidie presenteert als toegankelijk huis “voor alle Amsterdammers”, met nadruk op diversiteit en inclusie en bent u bereid om tijdens een overleg met de gemeente Amsterdam te pleiten voor een onderzoek naar mogelijke schendingen van subsidievoorwaarden door Het Concertgebouw?</w:t>
      </w:r>
      <w:r>
        <w:br/>
      </w:r>
    </w:p>
    <w:p>
      <w:pPr>
        <w:pStyle w:val="ListParagraph"/>
        <w:numPr>
          <w:ilvl w:val="0"/>
          <w:numId w:val="100502440"/>
        </w:numPr>
        <w:ind w:left="360"/>
      </w:pPr>
      <w:r>
        <w:t xml:space="preserve">Kunt u toezeggen de gemeente Amsterdam expliciet te adviseren de subsidie te heroverwegen of in te trekken zodra wordt vastgesteld dat Het Concertgebouw met dit boycotbeleid buiten zijn statutaire doel treedt én in strijd handelt met de aan de subsidie verbonden normen van non-discriminatie en diversiteit en inclusie?</w:t>
      </w:r>
      <w:r>
        <w:br/>
      </w:r>
    </w:p>
    <w:p>
      <w:pPr>
        <w:pStyle w:val="ListParagraph"/>
        <w:numPr>
          <w:ilvl w:val="0"/>
          <w:numId w:val="100502440"/>
        </w:numPr>
        <w:ind w:left="360"/>
      </w:pPr>
      <w:r>
        <w:t xml:space="preserve">Hoe kijkt u aan tegen het feit dat deze richtlijnen een precedent kunnen scheppen waardoor andere musea en culturele instellingen onder activistische druk vergelijkbare uitsluitingscriteria overnemen, met alle gevolgen voor artistieke vrijheid, publieke toegankelijkheid en maatschappelijke polarisatie?</w:t>
      </w:r>
      <w:r>
        <w:br/>
      </w:r>
    </w:p>
    <w:p>
      <w:pPr>
        <w:pStyle w:val="ListParagraph"/>
        <w:numPr>
          <w:ilvl w:val="0"/>
          <w:numId w:val="100502440"/>
        </w:numPr>
        <w:ind w:left="360"/>
      </w:pPr>
      <w:r>
        <w:t xml:space="preserve">Klopt het dat u bevoegd bent om in te grijpen wanneer gesubsidieerde instellingen handelen op een wijze die strijdig is met wettelijke normen en bent u bereid dit te doen wanneer blijkt dat Het Concertgebouw met deze richtlijnen de grenzen van non‑discriminatie overschrijdt?</w:t>
      </w:r>
      <w:r>
        <w:br/>
      </w:r>
    </w:p>
    <w:p>
      <w:pPr>
        <w:pStyle w:val="ListParagraph"/>
        <w:numPr>
          <w:ilvl w:val="0"/>
          <w:numId w:val="100502440"/>
        </w:numPr>
        <w:ind w:left="360"/>
      </w:pPr>
      <w:r>
        <w:t xml:space="preserve">Ziet u aanleiding om Het Concertgebouw erop aan te spreken dat hun richtlijnen mogelijk buiten hun statutaire doelstelling vallen nu in de statuten van Het Concertgebouw is vastgelegd dat de instelling tot doel heeft het geven van concerten, het instandhouden van het gebouw en educatie en uitdrukkelijk géén taak heeft op het gebied van internationale politieke oordeelsvorming of sanctiebeleid?</w:t>
      </w:r>
      <w:r>
        <w:br/>
      </w:r>
    </w:p>
    <w:p>
      <w:pPr>
        <w:pStyle w:val="ListParagraph"/>
        <w:numPr>
          <w:ilvl w:val="0"/>
          <w:numId w:val="100502440"/>
        </w:numPr>
        <w:ind w:left="360"/>
      </w:pPr>
      <w:r>
        <w:t xml:space="preserve">Kunt u toezeggen te laten onderzoeken of de richtlijnen van Het Concertgebouw in strijd zijn met het discriminatieverbod en/of strafrechtelijke bepalingen rond groepsbelediging en de Kamer te informeren over de juridische beoordeling?</w:t>
      </w:r>
      <w:r>
        <w:br/>
      </w:r>
    </w:p>
    <w:p>
      <w:pPr>
        <w:pStyle w:val="ListParagraph"/>
        <w:numPr>
          <w:ilvl w:val="0"/>
          <w:numId w:val="100502440"/>
        </w:numPr>
        <w:ind w:left="360"/>
      </w:pPr>
      <w:r>
        <w:t xml:space="preserve">Kunt u toezeggen om bij gemeenten die, ondanks evidente schendingen van subsidievoorwaarden door musea of andere culturele instellingen, deze subsidies toch in stand houden, te onderzoeken op welke wijze kortingen op de algemene uitkering uit het Gemeentefonds kunnen worden gedaan?</w:t>
      </w:r>
      <w:r>
        <w:br/>
      </w:r>
    </w:p>
    <w:p>
      <w:pPr>
        <w:pStyle w:val="ListParagraph"/>
        <w:numPr>
          <w:ilvl w:val="0"/>
          <w:numId w:val="100502440"/>
        </w:numPr>
        <w:ind w:left="360"/>
      </w:pPr>
      <w:r>
        <w:t xml:space="preserve">Kunt u toezeggen de Kamer te informeren over eventuele uitkomsten van dergelijke onderzoeken en eventuele maatregelen, inclusief financiële consequenties voor Het Concertgebouw, indien blijkt dat de richtlijnen onrechtmatig of onwenselijk zijn?</w:t>
      </w:r>
      <w:r>
        <w:br/>
      </w:r>
    </w:p>
    <w:p>
      <w:r>
        <w:t xml:space="preserve"> </w:t>
      </w:r>
      <w:r>
        <w:br/>
      </w:r>
    </w:p>
    <w:p>
      <w:r>
        <w:t xml:space="preserve"> </w:t>
      </w:r>
      <w:r>
        <w:br/>
      </w:r>
    </w:p>
    <w:p>
      <w:r>
        <w:t xml:space="preserve">[1] Website Het Koninklijk Concertgebouw, geraadpleegd op 30 maart 2026, Organisatie - Concertgebouw - Nederlands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200">
    <w:abstractNumId w:val="100502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