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1E37" w:rsidP="00591E37" w:rsidRDefault="00591E37" w14:paraId="196A9F98" w14:textId="77777777">
      <w:pPr>
        <w:pStyle w:val="Kop1"/>
        <w:rPr>
          <w:rFonts w:ascii="Arial" w:hAnsi="Arial" w:eastAsia="Times New Roman" w:cs="Arial"/>
        </w:rPr>
      </w:pPr>
      <w:r>
        <w:rPr>
          <w:rStyle w:val="Zwaar"/>
          <w:rFonts w:ascii="Arial" w:hAnsi="Arial" w:eastAsia="Times New Roman" w:cs="Arial"/>
          <w:b w:val="0"/>
          <w:bCs w:val="0"/>
        </w:rPr>
        <w:t>Stemmingen</w:t>
      </w:r>
    </w:p>
    <w:p w:rsidR="00591E37" w:rsidP="00591E37" w:rsidRDefault="00591E37" w14:paraId="2A79468A"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591E37" w:rsidP="00591E37" w:rsidRDefault="00591E37" w14:paraId="0993D814" w14:textId="77777777">
      <w:pPr>
        <w:spacing w:after="240"/>
        <w:rPr>
          <w:rFonts w:ascii="Arial" w:hAnsi="Arial" w:eastAsia="Times New Roman" w:cs="Arial"/>
          <w:sz w:val="22"/>
          <w:szCs w:val="22"/>
        </w:rPr>
      </w:pPr>
      <w:r>
        <w:rPr>
          <w:rFonts w:ascii="Arial" w:hAnsi="Arial" w:eastAsia="Times New Roman" w:cs="Arial"/>
          <w:sz w:val="22"/>
          <w:szCs w:val="22"/>
        </w:rPr>
        <w:t>Stemmingen moties Landbouw- en Visserijraad d.d. 30 maart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Landbouw- en Visserijraad d.d. 30 maart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591E37" w:rsidP="00591E37" w:rsidRDefault="00591E37" w14:paraId="07D536B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motie-Lohman c.s. over het uitwerken van een concrete en samenhangende visie op de eiwitketen als onderdeel van de nationale voedselstrategie (21501-32, nr. 1767);</w:t>
      </w:r>
    </w:p>
    <w:p w:rsidR="00591E37" w:rsidP="00591E37" w:rsidRDefault="00591E37" w14:paraId="19A1780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zich inzetten om ook voor de binnenvisserij toegang tot EMFAF-middelen voor verduurzaming te verkrijgen (21501-32, nr. 1768);</w:t>
      </w:r>
    </w:p>
    <w:p w:rsidR="00591E37" w:rsidP="00591E37" w:rsidRDefault="00591E37" w14:paraId="6285908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in Europees verband pleiten voor meer ruimte voor het gebruik van dierlijke mest binnen de bestaande stikstofgebruiksnormen (21501-32, nr. 1769);</w:t>
      </w:r>
    </w:p>
    <w:p w:rsidR="00591E37" w:rsidP="00591E37" w:rsidRDefault="00591E37" w14:paraId="3907A1C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in nauwe samenwerking met de visserijsector de mogelijkheden voor werkbare alternatieven voor de aanlandplicht uitwerken en deze inbrengen bij de Europese Commissie (21501-32, nr. 1770);</w:t>
      </w:r>
    </w:p>
    <w:p w:rsidR="00591E37" w:rsidP="00591E37" w:rsidRDefault="00591E37" w14:paraId="74D540D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motie-Den Hollander/</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over zorg ervoor dragen dat het Omnibusvoorstel niet tot versoepeling ten koste van veiligheid leidt (21501-32, nr. 1771);</w:t>
      </w:r>
    </w:p>
    <w:p w:rsidR="00591E37" w:rsidP="00591E37" w:rsidRDefault="00591E37" w14:paraId="3425DFE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over zich er hard voor maken dat de EU daadwerkelijk overgaat tot het loslaten van het meest conservatieve ICES-scenario (21501-32, nr. 1772);</w:t>
      </w:r>
    </w:p>
    <w:p w:rsidR="00591E37" w:rsidP="00591E37" w:rsidRDefault="00591E37" w14:paraId="2C0CADA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over zich ervoor inzetten dat de EU vasthoudt aan het historische aandeel van circa 23% in de makreelvangst (21501-32, nr. 1773).</w:t>
      </w:r>
    </w:p>
    <w:p w:rsidR="00591E37" w:rsidP="00591E37" w:rsidRDefault="00591E37" w14:paraId="7D6F246D" w14:textId="77777777">
      <w:pPr>
        <w:rPr>
          <w:rFonts w:ascii="Arial" w:hAnsi="Arial" w:eastAsia="Times New Roman" w:cs="Arial"/>
          <w:sz w:val="22"/>
          <w:szCs w:val="22"/>
        </w:rPr>
      </w:pPr>
    </w:p>
    <w:p w:rsidR="00591E37" w:rsidP="00591E37" w:rsidRDefault="00591E37" w14:paraId="2BD5695A" w14:textId="77777777">
      <w:pPr>
        <w:spacing w:after="240"/>
        <w:rPr>
          <w:rFonts w:ascii="Arial" w:hAnsi="Arial" w:eastAsia="Times New Roman" w:cs="Arial"/>
          <w:sz w:val="22"/>
          <w:szCs w:val="22"/>
        </w:rPr>
      </w:pPr>
      <w:r>
        <w:rPr>
          <w:rFonts w:ascii="Arial" w:hAnsi="Arial" w:eastAsia="Times New Roman" w:cs="Arial"/>
          <w:sz w:val="22"/>
          <w:szCs w:val="22"/>
        </w:rPr>
        <w:t>(Zie vergadering van heden.)</w:t>
      </w:r>
    </w:p>
    <w:p w:rsidR="00591E37" w:rsidP="00591E37" w:rsidRDefault="00591E37" w14:paraId="35376F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der Plas (21501-32, nr. 1768) is in die zin gewijzigd dat zij thans luidt:</w:t>
      </w:r>
    </w:p>
    <w:p w:rsidR="00591E37" w:rsidP="00591E37" w:rsidRDefault="00591E37" w14:paraId="2AD05C5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vanuit het Meerjarig Financieel Kader (MFK) middelen beschikbaar zijn gesteld voor de verduurzaming van de visserijsector;</w:t>
      </w:r>
      <w:r>
        <w:rPr>
          <w:rFonts w:ascii="Arial" w:hAnsi="Arial" w:eastAsia="Times New Roman" w:cs="Arial"/>
          <w:sz w:val="22"/>
          <w:szCs w:val="22"/>
        </w:rPr>
        <w:br/>
      </w:r>
      <w:r>
        <w:rPr>
          <w:rFonts w:ascii="Arial" w:hAnsi="Arial" w:eastAsia="Times New Roman" w:cs="Arial"/>
          <w:sz w:val="22"/>
          <w:szCs w:val="22"/>
        </w:rPr>
        <w:br/>
        <w:t>overwegende dat de binnenvisserij nog niet in aanmerking is gekomen voor verduurzamingssubsidies;</w:t>
      </w:r>
      <w:r>
        <w:rPr>
          <w:rFonts w:ascii="Arial" w:hAnsi="Arial" w:eastAsia="Times New Roman" w:cs="Arial"/>
          <w:sz w:val="22"/>
          <w:szCs w:val="22"/>
        </w:rPr>
        <w:br/>
      </w:r>
      <w:r>
        <w:rPr>
          <w:rFonts w:ascii="Arial" w:hAnsi="Arial" w:eastAsia="Times New Roman" w:cs="Arial"/>
          <w:sz w:val="22"/>
          <w:szCs w:val="22"/>
        </w:rPr>
        <w:br/>
        <w:t>verzoekt de regering zich actief in te zetten om ook voor de binnenvisserij toegang tot MFK-middelen voor verduurzaming te verkrijgen,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91E37" w:rsidP="00591E37" w:rsidRDefault="00591E37" w14:paraId="1673FD48" w14:textId="77777777">
      <w:pPr>
        <w:spacing w:after="240"/>
        <w:rPr>
          <w:rFonts w:ascii="Arial" w:hAnsi="Arial" w:eastAsia="Times New Roman" w:cs="Arial"/>
          <w:sz w:val="22"/>
          <w:szCs w:val="22"/>
        </w:rPr>
      </w:pPr>
      <w:r>
        <w:rPr>
          <w:rFonts w:ascii="Arial" w:hAnsi="Arial" w:eastAsia="Times New Roman" w:cs="Arial"/>
          <w:sz w:val="22"/>
          <w:szCs w:val="22"/>
        </w:rPr>
        <w:t>Zij krijgt nr. ??, was nr. 1768 (21501-32).</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591E37" w:rsidP="00591E37" w:rsidRDefault="00591E37" w14:paraId="7AC86E0C" w14:textId="77777777">
      <w:pPr>
        <w:spacing w:after="240"/>
        <w:rPr>
          <w:rFonts w:ascii="Arial" w:hAnsi="Arial" w:eastAsia="Times New Roman" w:cs="Arial"/>
          <w:sz w:val="22"/>
          <w:szCs w:val="22"/>
        </w:rPr>
      </w:pPr>
      <w:r>
        <w:rPr>
          <w:rFonts w:ascii="Arial" w:hAnsi="Arial" w:eastAsia="Times New Roman" w:cs="Arial"/>
          <w:sz w:val="22"/>
          <w:szCs w:val="22"/>
        </w:rPr>
        <w:lastRenderedPageBreak/>
        <w:t>Aan de orde zijn de stemmingen.</w:t>
      </w:r>
    </w:p>
    <w:p w:rsidR="00591E37" w:rsidP="00591E37" w:rsidRDefault="00591E37" w14:paraId="7632B9B8" w14:textId="77777777">
      <w:pPr>
        <w:spacing w:after="240"/>
        <w:rPr>
          <w:rFonts w:ascii="Arial" w:hAnsi="Arial" w:eastAsia="Times New Roman" w:cs="Arial"/>
          <w:sz w:val="22"/>
          <w:szCs w:val="22"/>
        </w:rPr>
      </w:pPr>
      <w:r>
        <w:rPr>
          <w:rFonts w:ascii="Arial" w:hAnsi="Arial" w:eastAsia="Times New Roman" w:cs="Arial"/>
          <w:sz w:val="22"/>
          <w:szCs w:val="22"/>
        </w:rPr>
        <w:t>In stemming komt de motie-Lohman c.s. (21501-32, nr. 1767).</w:t>
      </w:r>
    </w:p>
    <w:p w:rsidR="00591E37" w:rsidP="00591E37" w:rsidRDefault="00591E37" w14:paraId="130BAF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en de ChristenUnie voor deze motie hebben gestemd en de leden van de fracties van JA21, BBB, Groep Markuszower, de PVV en FVD ertegen, zodat zij is aangenomen.</w:t>
      </w:r>
    </w:p>
    <w:p w:rsidR="00591E37" w:rsidP="00591E37" w:rsidRDefault="00591E37" w14:paraId="4251B0C9"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motie-Van der Plas (21501-32, nr. ??, was nr. 1768).</w:t>
      </w:r>
    </w:p>
    <w:p w:rsidR="00591E37" w:rsidP="00591E37" w:rsidRDefault="00591E37" w14:paraId="52F7DA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DENK, de VVD, de SGP, de ChristenUnie, JA21, BBB, Groep Markuszower, de PVV en FVD voor deze gewijzigde motie hebben gestemd en de leden van de fractie van de PvdD ertegen, zodat zij is aangenomen.</w:t>
      </w:r>
    </w:p>
    <w:p w:rsidR="00591E37" w:rsidP="00591E37" w:rsidRDefault="00591E37" w14:paraId="097C8AD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(21501-32, nr. 1769).</w:t>
      </w:r>
    </w:p>
    <w:p w:rsidR="00591E37" w:rsidP="00591E37" w:rsidRDefault="00591E37" w14:paraId="09E624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de ChristenUnie, JA21, BBB, Groep Markuszower, de PVV en FVD voor deze motie hebben gestemd en de leden van de fracties van de SP, GroenLinks-PvdA, D66, Volt, de PvdD, het CDA, DENK en de VVD ertegen, zodat zij is verworpen.</w:t>
      </w:r>
    </w:p>
    <w:p w:rsidR="00591E37" w:rsidP="00591E37" w:rsidRDefault="00591E37" w14:paraId="5D23905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(21501-32, nr. 1770).</w:t>
      </w:r>
    </w:p>
    <w:p w:rsidR="00591E37" w:rsidP="00591E37" w:rsidRDefault="00591E37" w14:paraId="3865E1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 VVD, de SGP, de ChristenUnie, JA21, BBB, Groep Markuszower, de PVV en FVD voor deze motie hebben gestemd en de leden van de fracties van de SP, GroenLinks-PvdA, Volt, de PvdD en DENK ertegen, zodat zij is aangenomen.</w:t>
      </w:r>
    </w:p>
    <w:p w:rsidR="00591E37" w:rsidP="00591E37" w:rsidRDefault="00591E37" w14:paraId="378321EC"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motie-Den Hollander/</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(21501-32, nr. 1771).</w:t>
      </w:r>
    </w:p>
    <w:p w:rsidR="00591E37" w:rsidP="00591E37" w:rsidRDefault="00591E37" w14:paraId="3CB927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en de ChristenUnie voor deze motie hebben gestemd en de leden van de fracties van de SGP, JA21, BBB, Groep Markuszower, de PVV en FVD ertegen, zodat zij is aangenomen.</w:t>
      </w:r>
    </w:p>
    <w:p w:rsidR="00591E37" w:rsidP="00591E37" w:rsidRDefault="00591E37" w14:paraId="26317373"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(21501-32, nr. 1772).</w:t>
      </w:r>
    </w:p>
    <w:p w:rsidR="00591E37" w:rsidP="00591E37" w:rsidRDefault="00591E37" w14:paraId="5226CC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ChristenUnie, JA21, BBB, Groep Markuszower, de PVV en FVD voor deze motie hebben gestemd en de leden van de fracties van de SP, 50PLUS, GroenLinks-PvdA, D66, Volt, de PvdD, het CDA, DENK en de VVD ertegen, zodat zij is verworpen.</w:t>
      </w:r>
    </w:p>
    <w:p w:rsidR="00591E37" w:rsidP="00591E37" w:rsidRDefault="00591E37" w14:paraId="3574E765"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(21501-32, nr. 1773).</w:t>
      </w:r>
    </w:p>
    <w:p w:rsidR="00591E37" w:rsidP="00591E37" w:rsidRDefault="00591E37" w14:paraId="60DDD4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VVD, de SGP, de ChristenUnie, JA21, BBB, Groep Markuszower, de PVV en FVD voor deze motie hebben gestemd en de leden van de fracties van de SP, GroenLinks-PvdA, D66, Volt, de PvdD, het CDA en DENK </w:t>
      </w:r>
      <w:r>
        <w:rPr>
          <w:rFonts w:ascii="Arial" w:hAnsi="Arial" w:eastAsia="Times New Roman" w:cs="Arial"/>
          <w:sz w:val="22"/>
          <w:szCs w:val="22"/>
        </w:rPr>
        <w:lastRenderedPageBreak/>
        <w:t>ertegen, zodat de uitslag bij handopsteken niet kan worden vastgesteld.</w:t>
      </w:r>
      <w:r>
        <w:rPr>
          <w:rFonts w:ascii="Arial" w:hAnsi="Arial" w:eastAsia="Times New Roman" w:cs="Arial"/>
          <w:sz w:val="22"/>
          <w:szCs w:val="22"/>
        </w:rPr>
        <w:br/>
      </w:r>
      <w:r>
        <w:rPr>
          <w:rFonts w:ascii="Arial" w:hAnsi="Arial" w:eastAsia="Times New Roman" w:cs="Arial"/>
          <w:sz w:val="22"/>
          <w:szCs w:val="22"/>
        </w:rPr>
        <w:br/>
        <w:t>Nog één keer opnieuw.</w:t>
      </w:r>
    </w:p>
    <w:p w:rsidR="00591E37" w:rsidP="00591E37" w:rsidRDefault="00591E37" w14:paraId="393C5E48"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(21501-32, nr. 1773).</w:t>
      </w:r>
    </w:p>
    <w:p w:rsidR="00591E37" w:rsidP="00591E37" w:rsidRDefault="00591E37" w14:paraId="5BF9BF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de ChristenUnie, JA21, BBB, Groep Markuszower, de PVV en FVD voor deze motie hebben gestemd en de leden van de fracties van de SP, GroenLinks-PvdA, D66, Volt, de PvdD, het CDA en DENK ertegen, zodat de uitslag bij handopsteken niet kan worden vastgesteld.</w:t>
      </w:r>
    </w:p>
    <w:p w:rsidR="00591E37" w:rsidP="00591E37" w:rsidRDefault="00591E37" w14:paraId="1742FEC5" w14:textId="77777777">
      <w:pPr>
        <w:spacing w:after="240"/>
        <w:rPr>
          <w:rFonts w:ascii="Arial" w:hAnsi="Arial" w:eastAsia="Times New Roman" w:cs="Arial"/>
          <w:sz w:val="22"/>
          <w:szCs w:val="22"/>
        </w:rPr>
      </w:pPr>
      <w:r>
        <w:rPr>
          <w:rFonts w:ascii="Arial" w:hAnsi="Arial" w:eastAsia="Times New Roman" w:cs="Arial"/>
          <w:sz w:val="22"/>
          <w:szCs w:val="22"/>
        </w:rPr>
        <w:t xml:space="preserve">We kunnen er ook toe besluiten om er dinsdag over te stemmen, zeg ik tegen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Hij is daartoe bereid. Dan wordt de motie aangehouden tot dinsdag.</w:t>
      </w:r>
    </w:p>
    <w:p w:rsidR="00591E37" w:rsidP="00591E37" w:rsidRDefault="00591E37" w14:paraId="003491DA" w14:textId="77777777">
      <w:pPr>
        <w:spacing w:after="240"/>
        <w:rPr>
          <w:rFonts w:ascii="Arial" w:hAnsi="Arial" w:eastAsia="Times New Roman" w:cs="Arial"/>
          <w:sz w:val="22"/>
          <w:szCs w:val="22"/>
        </w:rPr>
      </w:pPr>
      <w:r>
        <w:rPr>
          <w:rFonts w:ascii="Arial" w:hAnsi="Arial" w:eastAsia="Times New Roman" w:cs="Arial"/>
          <w:sz w:val="22"/>
          <w:szCs w:val="22"/>
        </w:rPr>
        <w:t xml:space="preserve">Op verzoek van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stel ik voor zijn motie (21501-32, nr. 1773)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591E37" w:rsidP="00591E37" w:rsidRDefault="00591E37" w14:paraId="7BCC1A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waren de stemmingen. Ik dank u. De vergadering is voor een kort ogenblik geschorst.</w:t>
      </w:r>
    </w:p>
    <w:p w:rsidR="00591E37" w:rsidP="00591E37" w:rsidRDefault="00591E37" w14:paraId="60163E11"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344B13" w:rsidRDefault="00344B13" w14:paraId="50FA3D32" w14:textId="77777777"/>
    <w:sectPr w:rsidR="00344B1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F7960"/>
    <w:multiLevelType w:val="multilevel"/>
    <w:tmpl w:val="7722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5390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37"/>
    <w:rsid w:val="0029165D"/>
    <w:rsid w:val="00344B13"/>
    <w:rsid w:val="00591E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5A693"/>
  <w15:chartTrackingRefBased/>
  <w15:docId w15:val="{7D6B20E8-C7D6-4667-80C2-AFC8E9638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1E37"/>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91E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91E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91E3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91E3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91E3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91E3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1E3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1E3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1E3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1E3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91E3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91E3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91E3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91E3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91E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1E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1E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1E37"/>
    <w:rPr>
      <w:rFonts w:eastAsiaTheme="majorEastAsia" w:cstheme="majorBidi"/>
      <w:color w:val="272727" w:themeColor="text1" w:themeTint="D8"/>
    </w:rPr>
  </w:style>
  <w:style w:type="paragraph" w:styleId="Titel">
    <w:name w:val="Title"/>
    <w:basedOn w:val="Standaard"/>
    <w:next w:val="Standaard"/>
    <w:link w:val="TitelChar"/>
    <w:uiPriority w:val="10"/>
    <w:qFormat/>
    <w:rsid w:val="00591E3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1E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1E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1E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1E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1E37"/>
    <w:rPr>
      <w:i/>
      <w:iCs/>
      <w:color w:val="404040" w:themeColor="text1" w:themeTint="BF"/>
    </w:rPr>
  </w:style>
  <w:style w:type="paragraph" w:styleId="Lijstalinea">
    <w:name w:val="List Paragraph"/>
    <w:basedOn w:val="Standaard"/>
    <w:uiPriority w:val="34"/>
    <w:qFormat/>
    <w:rsid w:val="00591E37"/>
    <w:pPr>
      <w:ind w:left="720"/>
      <w:contextualSpacing/>
    </w:pPr>
  </w:style>
  <w:style w:type="character" w:styleId="Intensievebenadrukking">
    <w:name w:val="Intense Emphasis"/>
    <w:basedOn w:val="Standaardalinea-lettertype"/>
    <w:uiPriority w:val="21"/>
    <w:qFormat/>
    <w:rsid w:val="00591E37"/>
    <w:rPr>
      <w:i/>
      <w:iCs/>
      <w:color w:val="2F5496" w:themeColor="accent1" w:themeShade="BF"/>
    </w:rPr>
  </w:style>
  <w:style w:type="paragraph" w:styleId="Duidelijkcitaat">
    <w:name w:val="Intense Quote"/>
    <w:basedOn w:val="Standaard"/>
    <w:next w:val="Standaard"/>
    <w:link w:val="DuidelijkcitaatChar"/>
    <w:uiPriority w:val="30"/>
    <w:qFormat/>
    <w:rsid w:val="00591E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91E37"/>
    <w:rPr>
      <w:i/>
      <w:iCs/>
      <w:color w:val="2F5496" w:themeColor="accent1" w:themeShade="BF"/>
    </w:rPr>
  </w:style>
  <w:style w:type="character" w:styleId="Intensieveverwijzing">
    <w:name w:val="Intense Reference"/>
    <w:basedOn w:val="Standaardalinea-lettertype"/>
    <w:uiPriority w:val="32"/>
    <w:qFormat/>
    <w:rsid w:val="00591E37"/>
    <w:rPr>
      <w:b/>
      <w:bCs/>
      <w:smallCaps/>
      <w:color w:val="2F5496" w:themeColor="accent1" w:themeShade="BF"/>
      <w:spacing w:val="5"/>
    </w:rPr>
  </w:style>
  <w:style w:type="character" w:styleId="Zwaar">
    <w:name w:val="Strong"/>
    <w:basedOn w:val="Standaardalinea-lettertype"/>
    <w:uiPriority w:val="22"/>
    <w:qFormat/>
    <w:rsid w:val="00591E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866</ap:Words>
  <ap:Characters>4766</ap:Characters>
  <ap:DocSecurity>0</ap:DocSecurity>
  <ap:Lines>39</ap:Lines>
  <ap:Paragraphs>11</ap:Paragraphs>
  <ap:ScaleCrop>false</ap:ScaleCrop>
  <ap:LinksUpToDate>false</ap:LinksUpToDate>
  <ap:CharactersWithSpaces>5621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2026-03-27T08:34:00.0000000Z</dcterms:created>
  <dcterms:modified xsi:type="dcterms:W3CDTF">2026-03-27T08:34:00.0000000Z</dcterms:modified>
  <version/>
  <category/>
</coreProperties>
</file>