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904E91" w:rsidTr="00904E91" w14:paraId="13DC07DD" w14:textId="77777777">
        <w:sdt>
          <w:sdtPr>
            <w:tag w:val="bmZaakNummerAdvies"/>
            <w:id w:val="1307514831"/>
            <w:lock w:val="sdtLocked"/>
            <w:placeholder>
              <w:docPart w:val="DefaultPlaceholder_-1854013440"/>
            </w:placeholder>
          </w:sdtPr>
          <w:sdtEndPr/>
          <w:sdtContent>
            <w:tc>
              <w:tcPr>
                <w:tcW w:w="4251" w:type="dxa"/>
              </w:tcPr>
              <w:p w:rsidR="00904E91" w:rsidRDefault="00904E91" w14:paraId="06ABF070" w14:textId="7070FFC1">
                <w:r>
                  <w:t>No. W13.25.00089/III</w:t>
                </w:r>
              </w:p>
            </w:tc>
          </w:sdtContent>
        </w:sdt>
        <w:sdt>
          <w:sdtPr>
            <w:tag w:val="bmDatumAdvies"/>
            <w:id w:val="-943682813"/>
            <w:lock w:val="sdtLocked"/>
            <w:placeholder>
              <w:docPart w:val="DefaultPlaceholder_-1854013440"/>
            </w:placeholder>
          </w:sdtPr>
          <w:sdtEndPr/>
          <w:sdtContent>
            <w:tc>
              <w:tcPr>
                <w:tcW w:w="4252" w:type="dxa"/>
              </w:tcPr>
              <w:p w:rsidR="00904E91" w:rsidRDefault="00904E91" w14:paraId="0D33B60F" w14:textId="6A158F4B">
                <w:r>
                  <w:t xml:space="preserve">'s-Gravenhage, </w:t>
                </w:r>
                <w:r w:rsidR="003F39CF">
                  <w:t>2</w:t>
                </w:r>
                <w:r>
                  <w:t xml:space="preserve"> juli 2025</w:t>
                </w:r>
              </w:p>
            </w:tc>
          </w:sdtContent>
        </w:sdt>
      </w:tr>
    </w:tbl>
    <w:p w:rsidR="00904E91" w:rsidRDefault="00904E91" w14:paraId="67DED1CD" w14:textId="77777777"/>
    <w:p w:rsidR="00904E91" w:rsidRDefault="00904E91" w14:paraId="74CB6D30" w14:textId="77777777"/>
    <w:p w:rsidR="001978DD" w:rsidRDefault="007E63B4" w14:paraId="565742D7" w14:textId="4CB70A82">
      <w:sdt>
        <w:sdtPr>
          <w:tag w:val="bmAanhef"/>
          <w:id w:val="880677437"/>
          <w:lock w:val="sdtLocked"/>
          <w:placeholder>
            <w:docPart w:val="DefaultPlaceholder_-1854013440"/>
          </w:placeholder>
        </w:sdtPr>
        <w:sdtEndPr/>
        <w:sdtContent>
          <w:r w:rsidR="00904E91">
            <w:rPr>
              <w:color w:val="000000"/>
            </w:rPr>
            <w:t>Bij Kabinetsmissive van 22 april 2025, no.2025000897, heeft Uwe Majesteit, op voordracht van de Staatssecretaris Jeugd, Preventie en Sport, bij de Afdeling advisering van de Raad van State ter overweging aanhangig gemaakt het voorstel van wet tot wijziging van de Tabaks- en rookwarenwet in verband met een verkoopverbod voor tabaksproducten en aanverwante producten in andere verkooppunten dan speciaalzaken, met memorie van toelichting.</w:t>
          </w:r>
        </w:sdtContent>
      </w:sdt>
    </w:p>
    <w:p w:rsidR="001978DD" w:rsidRDefault="001978DD" w14:paraId="565742D8" w14:textId="77777777"/>
    <w:sdt>
      <w:sdtPr>
        <w:tag w:val="bmVrijeTekst1"/>
        <w:id w:val="762264877"/>
        <w:lock w:val="sdtLocked"/>
        <w:placeholder>
          <w:docPart w:val="DefaultPlaceholder_-1854013440"/>
        </w:placeholder>
      </w:sdtPr>
      <w:sdtEndPr/>
      <w:sdtContent>
        <w:p w:rsidR="00DE317C" w:rsidRDefault="00672433" w14:paraId="2F824798" w14:textId="3560148A">
          <w:pPr>
            <w:rPr>
              <w:rFonts w:eastAsia="Calibri"/>
            </w:rPr>
          </w:pPr>
          <w:r>
            <w:t>De regering heeft als doel</w:t>
          </w:r>
          <w:r w:rsidR="00F8562F">
            <w:t xml:space="preserve"> om in 2040 een rookvrije generatie te </w:t>
          </w:r>
          <w:r w:rsidR="00EF5458">
            <w:t>realiseren</w:t>
          </w:r>
          <w:r w:rsidR="00F8562F">
            <w:t>.</w:t>
          </w:r>
          <w:r w:rsidR="00827126">
            <w:t xml:space="preserve"> </w:t>
          </w:r>
          <w:r w:rsidR="001D4771">
            <w:t xml:space="preserve">Een </w:t>
          </w:r>
          <w:r w:rsidRPr="009A5E07" w:rsidR="001D4771">
            <w:rPr>
              <w:rFonts w:eastAsia="Calibri"/>
            </w:rPr>
            <w:t xml:space="preserve">combinatie van maatregelen </w:t>
          </w:r>
          <w:r w:rsidR="001D4771">
            <w:rPr>
              <w:rFonts w:eastAsia="Calibri"/>
            </w:rPr>
            <w:t xml:space="preserve">is </w:t>
          </w:r>
          <w:r w:rsidR="00466068">
            <w:rPr>
              <w:rFonts w:eastAsia="Calibri"/>
            </w:rPr>
            <w:t>al</w:t>
          </w:r>
          <w:r w:rsidR="001D4771">
            <w:rPr>
              <w:rFonts w:eastAsia="Calibri"/>
            </w:rPr>
            <w:t xml:space="preserve"> genomen om ervoor te zorgen </w:t>
          </w:r>
          <w:r w:rsidRPr="009A5E07" w:rsidR="001D4771">
            <w:rPr>
              <w:rFonts w:eastAsia="Calibri"/>
            </w:rPr>
            <w:t>dat kinderen en jongeren niet gaan roken, rokers stoppen met roken, gestopt blijven en dat meeroken door jong en oud wordt voorkomen</w:t>
          </w:r>
          <w:r w:rsidR="00EA3283">
            <w:rPr>
              <w:rFonts w:eastAsia="Calibri"/>
            </w:rPr>
            <w:t xml:space="preserve">. </w:t>
          </w:r>
          <w:r w:rsidR="00DE317C">
            <w:rPr>
              <w:rFonts w:eastAsia="Calibri"/>
            </w:rPr>
            <w:t>De regering stelt met</w:t>
          </w:r>
          <w:r w:rsidRPr="00DE317C" w:rsidR="00DE317C">
            <w:rPr>
              <w:rFonts w:eastAsia="Calibri"/>
            </w:rPr>
            <w:t xml:space="preserve"> het onderhavig wetsvoorstel voor</w:t>
          </w:r>
          <w:r w:rsidR="00DE317C">
            <w:rPr>
              <w:rFonts w:eastAsia="Calibri"/>
            </w:rPr>
            <w:t xml:space="preserve"> om</w:t>
          </w:r>
          <w:r w:rsidRPr="00DE317C" w:rsidR="00DE317C">
            <w:rPr>
              <w:rFonts w:eastAsia="Calibri"/>
            </w:rPr>
            <w:t xml:space="preserve"> de Tabaks- en rookwarenwet aan te passen, met het doel het aantal verkooppunten te verminderen. </w:t>
          </w:r>
        </w:p>
        <w:p w:rsidR="00DE317C" w:rsidRDefault="00DE317C" w14:paraId="697E53B7" w14:textId="77777777">
          <w:pPr>
            <w:rPr>
              <w:rFonts w:eastAsia="Calibri"/>
            </w:rPr>
          </w:pPr>
        </w:p>
        <w:p w:rsidRPr="004533B4" w:rsidR="000B69F7" w:rsidRDefault="00F41361" w14:paraId="477C3DA7" w14:textId="4DD0952D">
          <w:pPr>
            <w:rPr>
              <w:rFonts w:eastAsia="Calibri"/>
            </w:rPr>
          </w:pPr>
          <w:r>
            <w:rPr>
              <w:rFonts w:eastAsia="Calibri"/>
            </w:rPr>
            <w:t>Het wetsvoorstel bevat enkel</w:t>
          </w:r>
          <w:r w:rsidR="00965DB7">
            <w:rPr>
              <w:rFonts w:eastAsia="Calibri"/>
            </w:rPr>
            <w:t>e</w:t>
          </w:r>
          <w:r>
            <w:rPr>
              <w:rFonts w:eastAsia="Calibri"/>
            </w:rPr>
            <w:t xml:space="preserve"> verkoopverboden; in de </w:t>
          </w:r>
          <w:r>
            <w:rPr>
              <w:szCs w:val="22"/>
            </w:rPr>
            <w:t xml:space="preserve">toekomst mogen </w:t>
          </w:r>
          <w:r w:rsidRPr="00F178FC">
            <w:t>tabaksproducten en aanverwante producten</w:t>
          </w:r>
          <w:r>
            <w:t xml:space="preserve"> zoals elektronische dampwaar</w:t>
          </w:r>
          <w:r w:rsidRPr="00F178FC">
            <w:t xml:space="preserve"> </w:t>
          </w:r>
          <w:r>
            <w:t xml:space="preserve">alleen nog worden verkocht in (tabaks)speciaalzaken. </w:t>
          </w:r>
          <w:r w:rsidR="0090186F">
            <w:t xml:space="preserve">Wat </w:t>
          </w:r>
          <w:r w:rsidR="008C6E23">
            <w:t>een</w:t>
          </w:r>
          <w:r w:rsidR="0090186F">
            <w:t xml:space="preserve"> speciaalza</w:t>
          </w:r>
          <w:r w:rsidR="008C6E23">
            <w:t>ak is,</w:t>
          </w:r>
          <w:r w:rsidR="0090186F">
            <w:t xml:space="preserve"> wordt met het wetsvoorstel gedefinieerd. </w:t>
          </w:r>
          <w:r w:rsidR="004002E8">
            <w:t>D</w:t>
          </w:r>
          <w:r w:rsidR="0090186F">
            <w:t xml:space="preserve">e </w:t>
          </w:r>
          <w:r w:rsidRPr="00EA38BA" w:rsidR="0090186F">
            <w:rPr>
              <w:rFonts w:eastAsia="Calibri"/>
            </w:rPr>
            <w:t>Afdeling advisering van de Raad van State</w:t>
          </w:r>
          <w:r w:rsidR="0090186F">
            <w:rPr>
              <w:rFonts w:eastAsia="Calibri"/>
            </w:rPr>
            <w:t xml:space="preserve"> </w:t>
          </w:r>
          <w:r w:rsidR="00F5164A">
            <w:rPr>
              <w:rFonts w:eastAsia="Calibri"/>
            </w:rPr>
            <w:t xml:space="preserve">merkt op dat </w:t>
          </w:r>
          <w:r w:rsidR="0090186F">
            <w:rPr>
              <w:rFonts w:eastAsia="Calibri"/>
            </w:rPr>
            <w:t>die definitie onbedoeld tegenstrijdig</w:t>
          </w:r>
          <w:r w:rsidR="00F5164A">
            <w:rPr>
              <w:rFonts w:eastAsia="Calibri"/>
            </w:rPr>
            <w:t xml:space="preserve"> is</w:t>
          </w:r>
          <w:r w:rsidR="0090186F">
            <w:rPr>
              <w:rFonts w:eastAsia="Calibri"/>
            </w:rPr>
            <w:t xml:space="preserve"> en moet worden aangepast. Ook adviseert </w:t>
          </w:r>
          <w:r w:rsidR="00F5164A">
            <w:rPr>
              <w:rFonts w:eastAsia="Calibri"/>
            </w:rPr>
            <w:t xml:space="preserve">zij </w:t>
          </w:r>
          <w:r w:rsidR="009D4432">
            <w:rPr>
              <w:rFonts w:eastAsia="Calibri"/>
            </w:rPr>
            <w:t xml:space="preserve">om in de toelichting </w:t>
          </w:r>
          <w:r w:rsidR="00F970FA">
            <w:rPr>
              <w:rFonts w:eastAsia="Calibri"/>
            </w:rPr>
            <w:t xml:space="preserve">in te gaan op </w:t>
          </w:r>
          <w:r w:rsidR="000B69F7">
            <w:t xml:space="preserve">de rechtvaardiging van het verkoopverbod in het licht van </w:t>
          </w:r>
          <w:r w:rsidRPr="00E84D82" w:rsidR="000B69F7">
            <w:t>de vrijheid van vestiging</w:t>
          </w:r>
          <w:r w:rsidR="004533B4">
            <w:t>.</w:t>
          </w:r>
        </w:p>
        <w:p w:rsidR="009D4432" w:rsidRDefault="009D4432" w14:paraId="5296D5E5" w14:textId="77777777">
          <w:pPr>
            <w:rPr>
              <w:rFonts w:eastAsia="Calibri"/>
            </w:rPr>
          </w:pPr>
        </w:p>
        <w:p w:rsidR="00F13621" w:rsidP="00960CA2" w:rsidRDefault="0049644C" w14:paraId="658E9533" w14:textId="55F7C27A">
          <w:pPr>
            <w:rPr>
              <w:rFonts w:eastAsia="Calibri"/>
            </w:rPr>
          </w:pPr>
          <w:r>
            <w:t xml:space="preserve">Verder gaat de Afdeling in op de fasering van de verschillende verboden. Het verbod </w:t>
          </w:r>
          <w:r w:rsidRPr="0049644C">
            <w:t>geldt als eerste voor elektronische dampwaar</w:t>
          </w:r>
          <w:r>
            <w:t xml:space="preserve"> (vapes) en pas later voor tabak. </w:t>
          </w:r>
          <w:r w:rsidR="00960CA2">
            <w:t xml:space="preserve">Zo wordt het gebruik hiervan voor een nieuwe, jonge generatie minder aantrekkelijk. Voor de huidige </w:t>
          </w:r>
          <w:r w:rsidR="00960CA2">
            <w:rPr>
              <w:rFonts w:eastAsia="Calibri"/>
            </w:rPr>
            <w:t xml:space="preserve">gebruikers van vapes </w:t>
          </w:r>
          <w:r w:rsidR="00AA1719">
            <w:rPr>
              <w:rFonts w:eastAsia="Calibri"/>
            </w:rPr>
            <w:t>kan een gevolg echter zijn</w:t>
          </w:r>
          <w:r w:rsidR="00960CA2">
            <w:rPr>
              <w:rFonts w:eastAsia="Calibri"/>
            </w:rPr>
            <w:t xml:space="preserve"> </w:t>
          </w:r>
          <w:r w:rsidR="00DE7C92">
            <w:t xml:space="preserve">dat </w:t>
          </w:r>
          <w:r w:rsidR="00DE7C92">
            <w:rPr>
              <w:rFonts w:eastAsia="Calibri"/>
            </w:rPr>
            <w:t xml:space="preserve">zij overstappen op beter verkrijgbare tabaksproducten. </w:t>
          </w:r>
          <w:r w:rsidR="00E4619C">
            <w:rPr>
              <w:rFonts w:eastAsia="Calibri"/>
            </w:rPr>
            <w:t xml:space="preserve">Zij </w:t>
          </w:r>
          <w:r w:rsidR="00AC6DB3">
            <w:rPr>
              <w:rFonts w:eastAsia="Calibri"/>
            </w:rPr>
            <w:t>adviseert om daar in de toelichting aandacht aan te besteden.</w:t>
          </w:r>
          <w:r w:rsidR="00CD1CB4">
            <w:rPr>
              <w:rFonts w:eastAsia="Calibri"/>
            </w:rPr>
            <w:t xml:space="preserve"> </w:t>
          </w:r>
          <w:r w:rsidR="001C2562">
            <w:rPr>
              <w:rFonts w:eastAsia="Calibri"/>
            </w:rPr>
            <w:t xml:space="preserve">Ook vraagt de Afdeling aandacht voor </w:t>
          </w:r>
          <w:r w:rsidR="00BF085A">
            <w:rPr>
              <w:rFonts w:eastAsia="Calibri"/>
            </w:rPr>
            <w:t xml:space="preserve">de handhaving van de verkoopverboden. </w:t>
          </w:r>
        </w:p>
        <w:p w:rsidR="00F13621" w:rsidRDefault="00F13621" w14:paraId="4E0DE5D4" w14:textId="77777777">
          <w:pPr>
            <w:rPr>
              <w:rFonts w:eastAsia="Calibri"/>
            </w:rPr>
          </w:pPr>
        </w:p>
        <w:p w:rsidR="006E0225" w:rsidRDefault="00432CC8" w14:paraId="19CBABD9" w14:textId="1CECA813">
          <w:pPr>
            <w:rPr>
              <w:rFonts w:eastAsia="Calibri"/>
            </w:rPr>
          </w:pPr>
          <w:r>
            <w:rPr>
              <w:rFonts w:eastAsia="Calibri"/>
            </w:rPr>
            <w:t>Tot slot vraagt de Afdeling aandacht voor Caribisch Nederland</w:t>
          </w:r>
          <w:r w:rsidR="00204AD1">
            <w:rPr>
              <w:rFonts w:eastAsia="Calibri"/>
            </w:rPr>
            <w:t>. Uit de toelichting op het wetsvoorstel blijkt onvoldoende</w:t>
          </w:r>
          <w:r w:rsidR="00204AD1">
            <w:t xml:space="preserve"> waarom </w:t>
          </w:r>
          <w:r w:rsidRPr="004D7551" w:rsidR="00204AD1">
            <w:rPr>
              <w:rFonts w:eastAsia="Calibri"/>
            </w:rPr>
            <w:t xml:space="preserve">de in Europees Nederland geldende wetgeving </w:t>
          </w:r>
          <w:r w:rsidR="00204AD1">
            <w:rPr>
              <w:rFonts w:eastAsia="Calibri"/>
            </w:rPr>
            <w:t xml:space="preserve">niet van toepassing is in </w:t>
          </w:r>
          <w:r w:rsidRPr="004D7551" w:rsidR="00204AD1">
            <w:rPr>
              <w:rFonts w:eastAsia="Calibri"/>
            </w:rPr>
            <w:t>Caribisch Nederland</w:t>
          </w:r>
          <w:r w:rsidR="00204AD1">
            <w:t xml:space="preserve">. </w:t>
          </w:r>
          <w:r w:rsidR="00E4619C">
            <w:t xml:space="preserve">Zij </w:t>
          </w:r>
          <w:r w:rsidR="008C6E23">
            <w:t xml:space="preserve">adviseert de toelichting op dat punt aan te </w:t>
          </w:r>
          <w:r w:rsidR="004D5BF9">
            <w:t>vullen</w:t>
          </w:r>
          <w:r w:rsidR="008C6E23">
            <w:t xml:space="preserve"> en daarbij in </w:t>
          </w:r>
          <w:r w:rsidR="008C6E23">
            <w:rPr>
              <w:rFonts w:eastAsia="Calibri"/>
            </w:rPr>
            <w:t>te gaan op een mogelijk tijdpad voor de toepassing van verschillende maatregelen uit de Tabaks- en rookwarenwet in Caribisch Nederland</w:t>
          </w:r>
          <w:r w:rsidR="004D5BF9">
            <w:rPr>
              <w:rFonts w:eastAsia="Calibri"/>
            </w:rPr>
            <w:t>.</w:t>
          </w:r>
        </w:p>
        <w:p w:rsidR="00BD18F0" w:rsidRDefault="00BD18F0" w14:paraId="07326410" w14:textId="77777777"/>
        <w:p w:rsidR="00827126" w:rsidRDefault="00BD18F0" w14:paraId="33968453" w14:textId="7E0A8CAA">
          <w:r w:rsidRPr="00BD18F0">
            <w:t xml:space="preserve">In verband daarmee is aanpassing wenselijk van het wetsvoorstel </w:t>
          </w:r>
          <w:r>
            <w:t>en de toelichting</w:t>
          </w:r>
          <w:r w:rsidRPr="00BD18F0">
            <w:t>.</w:t>
          </w:r>
        </w:p>
        <w:p w:rsidR="00827126" w:rsidRDefault="00827126" w14:paraId="0DB57D35" w14:textId="77777777">
          <w:pPr>
            <w:rPr>
              <w:vanish/>
            </w:rPr>
          </w:pPr>
        </w:p>
        <w:p w:rsidRPr="0049414E" w:rsidR="00827126" w:rsidRDefault="00827126" w14:paraId="1DE47520" w14:textId="77777777">
          <w:pPr>
            <w:rPr>
              <w:vanish/>
            </w:rPr>
          </w:pPr>
        </w:p>
        <w:p w:rsidR="00A43FD6" w:rsidRDefault="00A43FD6" w14:paraId="51452389" w14:textId="77777777"/>
        <w:p w:rsidRPr="00035B05" w:rsidR="00035B05" w:rsidP="0049414E" w:rsidRDefault="00035B05" w14:paraId="262CBCAB" w14:textId="7C00CE00">
          <w:pPr>
            <w:pStyle w:val="Kop1"/>
          </w:pPr>
          <w:r w:rsidRPr="00035B05">
            <w:t>Aanleiding en inhoud van het wetsvoorstel</w:t>
          </w:r>
        </w:p>
        <w:p w:rsidR="00035B05" w:rsidP="00035B05" w:rsidRDefault="00035B05" w14:paraId="1D4EA2AC" w14:textId="77777777"/>
        <w:p w:rsidR="00035B05" w:rsidP="00035B05" w:rsidRDefault="00035B05" w14:paraId="6CC35CF3" w14:textId="2F1629B8">
          <w:r>
            <w:t xml:space="preserve">Met een verkoopverbod voor tabaksproducten </w:t>
          </w:r>
          <w:r w:rsidRPr="00F178FC" w:rsidR="00527002">
            <w:t>en aanverwante producten</w:t>
          </w:r>
          <w:r w:rsidR="00527002">
            <w:t xml:space="preserve"> zoals elektronische dampwaar</w:t>
          </w:r>
          <w:r w:rsidRPr="00F178FC" w:rsidR="00527002">
            <w:t xml:space="preserve"> </w:t>
          </w:r>
          <w:r>
            <w:t xml:space="preserve">wil de regering een nieuwe stap zetten in het </w:t>
          </w:r>
          <w:r>
            <w:lastRenderedPageBreak/>
            <w:t xml:space="preserve">beschermen van </w:t>
          </w:r>
          <w:r w:rsidRPr="00B028EE">
            <w:t>jongeren en gestopte rokers tegen de verleiding om te gaan roken</w:t>
          </w:r>
          <w:r>
            <w:t xml:space="preserve">. Momenteel zijn tabaksproducten nog te koop in </w:t>
          </w:r>
          <w:r w:rsidR="00685766">
            <w:t>bijvoorbeeld</w:t>
          </w:r>
          <w:r>
            <w:t xml:space="preserve"> tankstations, tabakszaken en gemakszaken, nadat eerder al verboden werd tabaksproducten te verkopen in automaten,</w:t>
          </w:r>
          <w:r>
            <w:rPr>
              <w:rStyle w:val="Voetnootmarkering"/>
            </w:rPr>
            <w:footnoteReference w:id="2"/>
          </w:r>
          <w:r>
            <w:t xml:space="preserve"> online op afstand,</w:t>
          </w:r>
          <w:r>
            <w:rPr>
              <w:rStyle w:val="Voetnootmarkering"/>
            </w:rPr>
            <w:footnoteReference w:id="3"/>
          </w:r>
          <w:r>
            <w:t xml:space="preserve"> en in supermarkten en horeca-inrichtingen.</w:t>
          </w:r>
          <w:r>
            <w:rPr>
              <w:rStyle w:val="Voetnootmarkering"/>
            </w:rPr>
            <w:footnoteReference w:id="4"/>
          </w:r>
          <w:r>
            <w:t xml:space="preserve"> Deze verkoopverboden geven uitvoering aan de </w:t>
          </w:r>
          <w:r w:rsidR="00DF76F4">
            <w:t xml:space="preserve">afspraak uit </w:t>
          </w:r>
          <w:r>
            <w:t>het Nationaal Preventieakkoord (NPA)</w:t>
          </w:r>
          <w:r w:rsidR="00DF76F4">
            <w:t xml:space="preserve"> om </w:t>
          </w:r>
          <w:r w:rsidRPr="001E4917" w:rsidR="00DF76F4">
            <w:t>het aantal verkooppunten</w:t>
          </w:r>
          <w:r w:rsidR="00DF76F4">
            <w:t xml:space="preserve"> te</w:t>
          </w:r>
          <w:r w:rsidRPr="001E4917" w:rsidR="00DF76F4">
            <w:t xml:space="preserve"> verminderen</w:t>
          </w:r>
          <w:r w:rsidR="00DF76F4">
            <w:t>.</w:t>
          </w:r>
          <w:r w:rsidR="00DF76F4">
            <w:rPr>
              <w:rStyle w:val="Voetnootmarkering"/>
            </w:rPr>
            <w:footnoteReference w:id="5"/>
          </w:r>
          <w:r w:rsidR="00DF76F4">
            <w:t xml:space="preserve"> Daa</w:t>
          </w:r>
          <w:r w:rsidR="003C272B">
            <w:t xml:space="preserve">rnaast omvat het NPA maatregelen als </w:t>
          </w:r>
          <w:r w:rsidRPr="001E4917">
            <w:t>accijnsverhoging, een uitstalverbod, neutrale verpakkingen, uitbreiding van het reclameverbod</w:t>
          </w:r>
          <w:r w:rsidR="003C272B">
            <w:t xml:space="preserve"> en</w:t>
          </w:r>
          <w:r w:rsidRPr="001E4917">
            <w:t xml:space="preserve"> uitbreiding van het rookverbod</w:t>
          </w:r>
          <w:r w:rsidR="00527002">
            <w:t>.</w:t>
          </w:r>
          <w:r w:rsidRPr="001E4917">
            <w:t xml:space="preserve"> </w:t>
          </w:r>
          <w:r>
            <w:t xml:space="preserve">Ook is er voor verkooppunten een verplichting </w:t>
          </w:r>
          <w:r w:rsidR="00527002">
            <w:t xml:space="preserve">gekomen </w:t>
          </w:r>
          <w:r>
            <w:t>zich te registeren bij het ministerie van VWS.</w:t>
          </w:r>
          <w:r>
            <w:rPr>
              <w:rStyle w:val="Voetnootmarkering"/>
            </w:rPr>
            <w:footnoteReference w:id="6"/>
          </w:r>
        </w:p>
        <w:p w:rsidR="00035B05" w:rsidP="00035B05" w:rsidRDefault="00035B05" w14:paraId="1DD1C686" w14:textId="77777777"/>
        <w:p w:rsidR="00644C56" w:rsidP="00035B05" w:rsidRDefault="00035B05" w14:paraId="7A2C87F6" w14:textId="77777777">
          <w:pPr>
            <w:rPr>
              <w:rFonts w:eastAsia="Calibri"/>
            </w:rPr>
          </w:pPr>
          <w:r>
            <w:t xml:space="preserve">Met het wetsvoorstel worden maatregelen genomen om het aantal verkooppunten </w:t>
          </w:r>
          <w:r w:rsidRPr="00F178FC">
            <w:t>van tabaksproducten en aanverwante producten</w:t>
          </w:r>
          <w:r>
            <w:t xml:space="preserve"> zoals elektronische dampwaar</w:t>
          </w:r>
          <w:r w:rsidRPr="00F178FC">
            <w:t xml:space="preserve"> </w:t>
          </w:r>
          <w:r w:rsidR="00527F06">
            <w:t xml:space="preserve">verder </w:t>
          </w:r>
          <w:r>
            <w:t xml:space="preserve">te verminderen. Dat gaat gefaseerd. Het verkoopverbod voor dampwaar op andere plekken dan in </w:t>
          </w:r>
          <w:r w:rsidRPr="00F178FC">
            <w:t>tabaksspeciaalzaken</w:t>
          </w:r>
          <w:r>
            <w:t xml:space="preserve"> moet per 1 juli 2026 in werking zijn.</w:t>
          </w:r>
          <w:r>
            <w:rPr>
              <w:rStyle w:val="Voetnootmarkering"/>
            </w:rPr>
            <w:footnoteReference w:id="7"/>
          </w:r>
          <w:r>
            <w:t xml:space="preserve"> Gevolgd door het verkoopverbod voor alle </w:t>
          </w:r>
          <w:r w:rsidRPr="009A5E07">
            <w:rPr>
              <w:rFonts w:eastAsia="Calibri"/>
            </w:rPr>
            <w:t xml:space="preserve">tabaksproducten en aanverwante producten </w:t>
          </w:r>
          <w:r>
            <w:rPr>
              <w:rFonts w:eastAsia="Calibri"/>
            </w:rPr>
            <w:t xml:space="preserve">in 2030, met uitzonderingen voor </w:t>
          </w:r>
          <w:r w:rsidRPr="00F178FC">
            <w:rPr>
              <w:rFonts w:eastAsia="Calibri"/>
            </w:rPr>
            <w:t>gemakszaken en tabaksspeciaalzaken</w:t>
          </w:r>
          <w:r>
            <w:rPr>
              <w:rFonts w:eastAsia="Calibri"/>
            </w:rPr>
            <w:t xml:space="preserve"> waar de producten nog verkocht mogen worden.</w:t>
          </w:r>
          <w:r>
            <w:rPr>
              <w:rStyle w:val="Voetnootmarkering"/>
              <w:rFonts w:eastAsia="Calibri"/>
            </w:rPr>
            <w:footnoteReference w:id="8"/>
          </w:r>
          <w:r>
            <w:rPr>
              <w:rFonts w:eastAsia="Calibri"/>
            </w:rPr>
            <w:t xml:space="preserve"> Tabak is dan niet meer te koop in bijvoorbeeld tankstations. </w:t>
          </w:r>
        </w:p>
        <w:p w:rsidR="00644C56" w:rsidP="00035B05" w:rsidRDefault="00644C56" w14:paraId="1CD4B545" w14:textId="77777777">
          <w:pPr>
            <w:rPr>
              <w:rFonts w:eastAsia="Calibri"/>
            </w:rPr>
          </w:pPr>
        </w:p>
        <w:p w:rsidR="00035B05" w:rsidP="00035B05" w:rsidRDefault="00035B05" w14:paraId="13B9BA0E" w14:textId="1B0EAB77">
          <w:r>
            <w:rPr>
              <w:rFonts w:eastAsia="Calibri"/>
            </w:rPr>
            <w:t xml:space="preserve">Per 2032 geldt het verkoopverbod van tabak ook voor gemakszaken en mogen </w:t>
          </w:r>
          <w:r>
            <w:t xml:space="preserve">tabaksproducten en </w:t>
          </w:r>
          <w:r w:rsidRPr="00F178FC">
            <w:t>aanverwante producten</w:t>
          </w:r>
          <w:r>
            <w:t xml:space="preserve"> zoals elektronische dampwaar alleen nog worden verkocht in </w:t>
          </w:r>
          <w:r w:rsidRPr="00F178FC">
            <w:t>tabaksspeciaalzaken</w:t>
          </w:r>
          <w:r>
            <w:t>.</w:t>
          </w:r>
          <w:r>
            <w:rPr>
              <w:rStyle w:val="Voetnootmarkering"/>
            </w:rPr>
            <w:footnoteReference w:id="9"/>
          </w:r>
          <w:r>
            <w:t xml:space="preserve"> Verkoop op andere plekken is dan verboden</w:t>
          </w:r>
          <w:r w:rsidR="00A044A6">
            <w:t>,</w:t>
          </w:r>
          <w:r w:rsidR="009405B5">
            <w:rPr>
              <w:rStyle w:val="Voetnootmarkering"/>
            </w:rPr>
            <w:footnoteReference w:id="10"/>
          </w:r>
          <w:r w:rsidR="00A044A6">
            <w:t xml:space="preserve"> net als verkoop op afstand (</w:t>
          </w:r>
          <w:r w:rsidR="008A3D32">
            <w:t>zoals</w:t>
          </w:r>
          <w:r w:rsidR="00A044A6">
            <w:t xml:space="preserve"> online)</w:t>
          </w:r>
          <w:r>
            <w:t xml:space="preserve">. Het wetsvoorstel regelt </w:t>
          </w:r>
          <w:r w:rsidR="00F47850">
            <w:t xml:space="preserve">dat deze verboden </w:t>
          </w:r>
          <w:r>
            <w:t>stapsgewijs van kracht worden. Hiermee vormt het wetsvoorstel een belangrijk sluitstuk op het traject dat met het NPA is ingezet om het aantal verkooppunten terug te brengen.</w:t>
          </w:r>
        </w:p>
        <w:p w:rsidR="00035B05" w:rsidP="00035B05" w:rsidRDefault="00035B05" w14:paraId="5723677A" w14:textId="77777777"/>
        <w:p w:rsidR="00670FCA" w:rsidP="00035B05" w:rsidRDefault="00437B22" w14:paraId="31C51C87" w14:textId="5F442C1E">
          <w:pPr>
            <w:pStyle w:val="Kop1"/>
          </w:pPr>
          <w:r>
            <w:t>T</w:t>
          </w:r>
          <w:r w:rsidR="00496B4D">
            <w:t>abaksverkoop als dienst</w:t>
          </w:r>
        </w:p>
        <w:p w:rsidR="00670FCA" w:rsidP="00670FCA" w:rsidRDefault="00670FCA" w14:paraId="3E64BDE6" w14:textId="77777777"/>
        <w:p w:rsidRPr="00F4624E" w:rsidR="00670FCA" w:rsidP="006F7AC3" w:rsidRDefault="00670FCA" w14:paraId="09B13BF6" w14:textId="535D7C3C">
          <w:pPr>
            <w:pStyle w:val="Kop2"/>
            <w:ind w:left="567" w:hanging="567"/>
          </w:pPr>
          <w:r w:rsidRPr="00263349">
            <w:t>Definitie speciaalzaak</w:t>
          </w:r>
        </w:p>
        <w:p w:rsidR="00156FA9" w:rsidP="00670FCA" w:rsidRDefault="00496DAD" w14:paraId="4D27A94E" w14:textId="7E8AD544">
          <w:pPr>
            <w:rPr>
              <w:szCs w:val="22"/>
            </w:rPr>
          </w:pPr>
          <w:r>
            <w:rPr>
              <w:szCs w:val="22"/>
            </w:rPr>
            <w:t xml:space="preserve">In de toekomst mogen </w:t>
          </w:r>
          <w:r w:rsidRPr="00F178FC">
            <w:t>tabaksproducten en aanverwante producten</w:t>
          </w:r>
          <w:r>
            <w:t xml:space="preserve"> zoals elektronische dampwaar</w:t>
          </w:r>
          <w:r w:rsidRPr="00F178FC">
            <w:t xml:space="preserve"> </w:t>
          </w:r>
          <w:r>
            <w:t>alleen nog worden verkocht in (tabaks)speciaalzaken.</w:t>
          </w:r>
          <w:r>
            <w:rPr>
              <w:szCs w:val="22"/>
            </w:rPr>
            <w:t xml:space="preserve"> In het wetsvoorstel</w:t>
          </w:r>
          <w:r w:rsidRPr="0020729A" w:rsidR="00827DBB">
            <w:rPr>
              <w:szCs w:val="22"/>
            </w:rPr>
            <w:t xml:space="preserve"> wordt </w:t>
          </w:r>
          <w:r w:rsidR="004B3C8D">
            <w:rPr>
              <w:szCs w:val="22"/>
            </w:rPr>
            <w:t>h</w:t>
          </w:r>
          <w:r w:rsidRPr="0020729A" w:rsidR="00827DBB">
            <w:rPr>
              <w:szCs w:val="22"/>
            </w:rPr>
            <w:t>e</w:t>
          </w:r>
          <w:r w:rsidR="004B3C8D">
            <w:rPr>
              <w:szCs w:val="22"/>
            </w:rPr>
            <w:t>t</w:t>
          </w:r>
          <w:r w:rsidRPr="0020729A" w:rsidR="00827DBB">
            <w:rPr>
              <w:szCs w:val="22"/>
            </w:rPr>
            <w:t xml:space="preserve"> begrip ‘speciaalzaak’ </w:t>
          </w:r>
          <w:r w:rsidR="004B3C8D">
            <w:rPr>
              <w:szCs w:val="22"/>
            </w:rPr>
            <w:t>gedefinieerd</w:t>
          </w:r>
          <w:r w:rsidRPr="0020729A" w:rsidR="00827DBB">
            <w:rPr>
              <w:szCs w:val="22"/>
            </w:rPr>
            <w:t xml:space="preserve">. Deze wordt omschreven als een </w:t>
          </w:r>
          <w:r w:rsidR="00932AE7">
            <w:rPr>
              <w:szCs w:val="22"/>
            </w:rPr>
            <w:t xml:space="preserve">verkoopruimte van tabaksproducten en </w:t>
          </w:r>
          <w:r w:rsidR="00880318">
            <w:rPr>
              <w:szCs w:val="22"/>
            </w:rPr>
            <w:t xml:space="preserve">enkele </w:t>
          </w:r>
          <w:r w:rsidR="00592EA5">
            <w:rPr>
              <w:szCs w:val="22"/>
            </w:rPr>
            <w:t xml:space="preserve">andere, </w:t>
          </w:r>
          <w:r w:rsidR="00880318">
            <w:rPr>
              <w:szCs w:val="22"/>
            </w:rPr>
            <w:t>afgebakende productgroepen</w:t>
          </w:r>
          <w:r w:rsidR="0043291C">
            <w:rPr>
              <w:szCs w:val="22"/>
            </w:rPr>
            <w:t xml:space="preserve">, </w:t>
          </w:r>
          <w:r w:rsidR="00681719">
            <w:rPr>
              <w:szCs w:val="22"/>
            </w:rPr>
            <w:t xml:space="preserve">waar </w:t>
          </w:r>
          <w:r w:rsidRPr="0020729A" w:rsidR="00681719">
            <w:rPr>
              <w:szCs w:val="22"/>
            </w:rPr>
            <w:t xml:space="preserve">geen diensten </w:t>
          </w:r>
          <w:r w:rsidR="00AD686C">
            <w:rPr>
              <w:szCs w:val="22"/>
            </w:rPr>
            <w:t>a</w:t>
          </w:r>
          <w:r w:rsidRPr="0020729A" w:rsidR="00681719">
            <w:rPr>
              <w:szCs w:val="22"/>
            </w:rPr>
            <w:t xml:space="preserve">an consumenten worden </w:t>
          </w:r>
          <w:r w:rsidRPr="0020729A" w:rsidR="00681719">
            <w:rPr>
              <w:szCs w:val="22"/>
            </w:rPr>
            <w:lastRenderedPageBreak/>
            <w:t>verleend.</w:t>
          </w:r>
          <w:r w:rsidRPr="0020729A" w:rsidR="00156FA9">
            <w:rPr>
              <w:szCs w:val="22"/>
              <w:vertAlign w:val="superscript"/>
            </w:rPr>
            <w:footnoteReference w:id="11"/>
          </w:r>
          <w:r w:rsidRPr="0020729A" w:rsidR="00681719">
            <w:rPr>
              <w:szCs w:val="22"/>
            </w:rPr>
            <w:t xml:space="preserve"> </w:t>
          </w:r>
          <w:r w:rsidR="0043291C">
            <w:rPr>
              <w:szCs w:val="22"/>
            </w:rPr>
            <w:t xml:space="preserve">De </w:t>
          </w:r>
          <w:r w:rsidR="00724192">
            <w:rPr>
              <w:szCs w:val="22"/>
            </w:rPr>
            <w:t>voorgestelde</w:t>
          </w:r>
          <w:r w:rsidR="0043291C">
            <w:rPr>
              <w:szCs w:val="22"/>
            </w:rPr>
            <w:t xml:space="preserve"> definitie bevat daarmee een tegenstrijdigheid. </w:t>
          </w:r>
          <w:r w:rsidRPr="0020729A" w:rsidR="00C51D68">
            <w:rPr>
              <w:szCs w:val="22"/>
            </w:rPr>
            <w:t xml:space="preserve">De verkoop van </w:t>
          </w:r>
          <w:r w:rsidR="00721BB8">
            <w:rPr>
              <w:szCs w:val="22"/>
            </w:rPr>
            <w:t>genoemde producten</w:t>
          </w:r>
          <w:r w:rsidRPr="0020729A" w:rsidR="00C51D68">
            <w:rPr>
              <w:szCs w:val="22"/>
            </w:rPr>
            <w:t xml:space="preserve"> </w:t>
          </w:r>
          <w:r w:rsidR="00955A97">
            <w:rPr>
              <w:szCs w:val="22"/>
            </w:rPr>
            <w:t>is</w:t>
          </w:r>
          <w:r w:rsidR="00C51D68">
            <w:rPr>
              <w:szCs w:val="22"/>
            </w:rPr>
            <w:t xml:space="preserve"> namelijk </w:t>
          </w:r>
          <w:r w:rsidR="00955A97">
            <w:rPr>
              <w:szCs w:val="22"/>
            </w:rPr>
            <w:t xml:space="preserve">op zichzelf ook </w:t>
          </w:r>
          <w:r w:rsidR="00C51D68">
            <w:rPr>
              <w:szCs w:val="22"/>
            </w:rPr>
            <w:t xml:space="preserve">een economische </w:t>
          </w:r>
          <w:r w:rsidR="00DE3ED5">
            <w:rPr>
              <w:szCs w:val="22"/>
            </w:rPr>
            <w:t>dienst.</w:t>
          </w:r>
          <w:r w:rsidDel="00707C63" w:rsidR="00DE3ED5">
            <w:rPr>
              <w:szCs w:val="22"/>
            </w:rPr>
            <w:t xml:space="preserve"> </w:t>
          </w:r>
          <w:r w:rsidR="00DE3ED5">
            <w:rPr>
              <w:szCs w:val="22"/>
            </w:rPr>
            <w:t xml:space="preserve">Er is immers sprake van een </w:t>
          </w:r>
          <w:r w:rsidR="00423A70">
            <w:rPr>
              <w:szCs w:val="22"/>
            </w:rPr>
            <w:t xml:space="preserve">economische </w:t>
          </w:r>
          <w:r w:rsidRPr="0020729A" w:rsidR="00C51D68">
            <w:rPr>
              <w:szCs w:val="22"/>
            </w:rPr>
            <w:t>activiteit die tegen betaling wordt verricht en niet in loondienst plaatsvindt.</w:t>
          </w:r>
          <w:r w:rsidRPr="0020729A" w:rsidR="00C51D68">
            <w:rPr>
              <w:szCs w:val="22"/>
              <w:vertAlign w:val="superscript"/>
            </w:rPr>
            <w:footnoteReference w:id="12"/>
          </w:r>
          <w:r w:rsidRPr="0020729A" w:rsidR="00C51D68">
            <w:rPr>
              <w:szCs w:val="22"/>
            </w:rPr>
            <w:t xml:space="preserve"> </w:t>
          </w:r>
          <w:r w:rsidR="00B75A1B">
            <w:rPr>
              <w:szCs w:val="22"/>
            </w:rPr>
            <w:t xml:space="preserve">Uit de toelichting blijkt dat de regering </w:t>
          </w:r>
          <w:r w:rsidR="00EB7B34">
            <w:rPr>
              <w:szCs w:val="22"/>
            </w:rPr>
            <w:t xml:space="preserve">beoogt te regelen dat in een speciaalzaak geen </w:t>
          </w:r>
          <w:r w:rsidR="00721BB8">
            <w:rPr>
              <w:szCs w:val="22"/>
            </w:rPr>
            <w:t>á</w:t>
          </w:r>
          <w:r w:rsidR="00EB7B34">
            <w:rPr>
              <w:szCs w:val="22"/>
            </w:rPr>
            <w:t>ndere diensten worden verricht dan de ver</w:t>
          </w:r>
          <w:r w:rsidR="00092654">
            <w:rPr>
              <w:szCs w:val="22"/>
            </w:rPr>
            <w:t>k</w:t>
          </w:r>
          <w:r w:rsidR="00EB7B34">
            <w:rPr>
              <w:szCs w:val="22"/>
            </w:rPr>
            <w:t>oop van de (limitatief) opgesomde productgroepen</w:t>
          </w:r>
          <w:r w:rsidR="00246E24">
            <w:rPr>
              <w:szCs w:val="22"/>
            </w:rPr>
            <w:t>.</w:t>
          </w:r>
          <w:r w:rsidR="00312D70">
            <w:rPr>
              <w:rStyle w:val="Voetnootmarkering"/>
              <w:szCs w:val="22"/>
            </w:rPr>
            <w:footnoteReference w:id="13"/>
          </w:r>
          <w:r w:rsidR="00246E24">
            <w:rPr>
              <w:szCs w:val="22"/>
            </w:rPr>
            <w:t xml:space="preserve"> </w:t>
          </w:r>
          <w:r w:rsidR="003212B1">
            <w:rPr>
              <w:szCs w:val="22"/>
            </w:rPr>
            <w:t>D</w:t>
          </w:r>
          <w:r w:rsidRPr="0020729A" w:rsidR="00827DBB">
            <w:rPr>
              <w:szCs w:val="22"/>
            </w:rPr>
            <w:t>e voorgestelde definitie</w:t>
          </w:r>
          <w:r w:rsidR="00E6242E">
            <w:rPr>
              <w:szCs w:val="22"/>
            </w:rPr>
            <w:t xml:space="preserve"> </w:t>
          </w:r>
          <w:r w:rsidR="0037753F">
            <w:rPr>
              <w:szCs w:val="22"/>
            </w:rPr>
            <w:t xml:space="preserve">strookt niet </w:t>
          </w:r>
          <w:r w:rsidR="00E6242E">
            <w:rPr>
              <w:szCs w:val="22"/>
            </w:rPr>
            <w:t>met die bedoeling</w:t>
          </w:r>
          <w:r w:rsidRPr="0020729A" w:rsidDel="00E447CC" w:rsidR="00827DBB">
            <w:rPr>
              <w:szCs w:val="22"/>
            </w:rPr>
            <w:t xml:space="preserve">. </w:t>
          </w:r>
        </w:p>
        <w:p w:rsidR="00156FA9" w:rsidP="00670FCA" w:rsidRDefault="00156FA9" w14:paraId="2847475E" w14:textId="77777777">
          <w:pPr>
            <w:rPr>
              <w:szCs w:val="22"/>
            </w:rPr>
          </w:pPr>
        </w:p>
        <w:p w:rsidR="00C0121C" w:rsidP="00670FCA" w:rsidRDefault="0037753F" w14:paraId="2285644D" w14:textId="6E3777D0">
          <w:pPr>
            <w:rPr>
              <w:szCs w:val="22"/>
            </w:rPr>
          </w:pPr>
          <w:r>
            <w:rPr>
              <w:szCs w:val="22"/>
            </w:rPr>
            <w:t>De</w:t>
          </w:r>
          <w:r w:rsidRPr="0020729A" w:rsidR="00827DBB">
            <w:rPr>
              <w:szCs w:val="22"/>
            </w:rPr>
            <w:t xml:space="preserve"> Afdeling</w:t>
          </w:r>
          <w:r w:rsidR="0002751E">
            <w:rPr>
              <w:szCs w:val="22"/>
            </w:rPr>
            <w:t xml:space="preserve"> adviseert</w:t>
          </w:r>
          <w:r w:rsidRPr="0020729A" w:rsidR="00827DBB">
            <w:rPr>
              <w:szCs w:val="22"/>
            </w:rPr>
            <w:t xml:space="preserve"> </w:t>
          </w:r>
          <w:r w:rsidR="0002751E">
            <w:rPr>
              <w:szCs w:val="22"/>
            </w:rPr>
            <w:t xml:space="preserve">om de voorgestelde definitie van een tabaksspeciaalzaak </w:t>
          </w:r>
          <w:r w:rsidR="00D83E17">
            <w:rPr>
              <w:szCs w:val="22"/>
            </w:rPr>
            <w:t xml:space="preserve">aan </w:t>
          </w:r>
          <w:r w:rsidR="0002751E">
            <w:rPr>
              <w:szCs w:val="22"/>
            </w:rPr>
            <w:t xml:space="preserve">te </w:t>
          </w:r>
          <w:r w:rsidR="00D83E17">
            <w:rPr>
              <w:szCs w:val="22"/>
            </w:rPr>
            <w:t>passen</w:t>
          </w:r>
          <w:r w:rsidR="003660A0">
            <w:rPr>
              <w:szCs w:val="22"/>
            </w:rPr>
            <w:t>,</w:t>
          </w:r>
          <w:r w:rsidR="004B2808">
            <w:rPr>
              <w:szCs w:val="22"/>
            </w:rPr>
            <w:t xml:space="preserve"> zodat de verkoop van </w:t>
          </w:r>
          <w:r w:rsidRPr="0020729A" w:rsidR="004B2808">
            <w:rPr>
              <w:szCs w:val="22"/>
            </w:rPr>
            <w:t xml:space="preserve">tabaksproducten en </w:t>
          </w:r>
          <w:r w:rsidR="004B2808">
            <w:rPr>
              <w:szCs w:val="22"/>
            </w:rPr>
            <w:t xml:space="preserve">andere afgebakende productgroepen </w:t>
          </w:r>
          <w:r w:rsidR="002B0CAE">
            <w:rPr>
              <w:szCs w:val="22"/>
            </w:rPr>
            <w:t xml:space="preserve">is </w:t>
          </w:r>
          <w:r w:rsidRPr="0020729A" w:rsidR="002B0CAE">
            <w:rPr>
              <w:szCs w:val="22"/>
            </w:rPr>
            <w:t>uitgezonderd van het algemene verbod op het verlenen van diensten</w:t>
          </w:r>
          <w:r w:rsidR="00D83E17">
            <w:rPr>
              <w:szCs w:val="22"/>
            </w:rPr>
            <w:t xml:space="preserve"> door speciaalzaken</w:t>
          </w:r>
          <w:r w:rsidRPr="0020729A" w:rsidR="002B0CAE">
            <w:rPr>
              <w:szCs w:val="22"/>
            </w:rPr>
            <w:t>.</w:t>
          </w:r>
        </w:p>
        <w:p w:rsidR="00C0121C" w:rsidP="00670FCA" w:rsidRDefault="00C0121C" w14:paraId="18525603" w14:textId="77777777">
          <w:pPr>
            <w:rPr>
              <w:szCs w:val="22"/>
            </w:rPr>
          </w:pPr>
        </w:p>
        <w:p w:rsidRPr="00F4624E" w:rsidR="008C6BE2" w:rsidP="003D051F" w:rsidRDefault="008C6BE2" w14:paraId="5A0E0A63" w14:textId="7FC7F423">
          <w:pPr>
            <w:pStyle w:val="Kop2"/>
            <w:ind w:left="567" w:hanging="567"/>
          </w:pPr>
          <w:r>
            <w:t>V</w:t>
          </w:r>
          <w:r w:rsidR="0034557D">
            <w:t>es</w:t>
          </w:r>
          <w:r w:rsidR="00423687">
            <w:t>tiging van dienstverrichters</w:t>
          </w:r>
        </w:p>
        <w:p w:rsidR="006B4E0C" w:rsidP="00E856BD" w:rsidRDefault="00E84D82" w14:paraId="67F492FF" w14:textId="4ED184E4">
          <w:pPr>
            <w:pStyle w:val="Geenafstand"/>
            <w:rPr>
              <w:rFonts w:ascii="Univers" w:hAnsi="Univers"/>
              <w:sz w:val="22"/>
              <w:lang w:val="nl-NL"/>
            </w:rPr>
          </w:pPr>
          <w:r w:rsidRPr="00E84D82">
            <w:rPr>
              <w:rFonts w:ascii="Univers" w:hAnsi="Univers"/>
              <w:sz w:val="22"/>
              <w:lang w:val="nl-NL"/>
            </w:rPr>
            <w:t>In de toelichting op h</w:t>
          </w:r>
          <w:r>
            <w:rPr>
              <w:rFonts w:ascii="Univers" w:hAnsi="Univers"/>
              <w:sz w:val="22"/>
              <w:lang w:val="nl-NL"/>
            </w:rPr>
            <w:t xml:space="preserve">et wetsvoorstel wordt uitgebreid aandacht besteed aan </w:t>
          </w:r>
          <w:r w:rsidR="00BD2996">
            <w:rPr>
              <w:rFonts w:ascii="Univers" w:hAnsi="Univers"/>
              <w:sz w:val="22"/>
              <w:lang w:val="nl-NL"/>
            </w:rPr>
            <w:t xml:space="preserve">hoe </w:t>
          </w:r>
          <w:r w:rsidR="00EA53C5">
            <w:rPr>
              <w:rFonts w:ascii="Univers" w:hAnsi="Univers"/>
              <w:sz w:val="22"/>
              <w:lang w:val="nl-NL"/>
            </w:rPr>
            <w:t>het</w:t>
          </w:r>
          <w:r>
            <w:rPr>
              <w:rFonts w:ascii="Univers" w:hAnsi="Univers"/>
              <w:sz w:val="22"/>
              <w:lang w:val="nl-NL"/>
            </w:rPr>
            <w:t xml:space="preserve"> </w:t>
          </w:r>
          <w:r w:rsidR="00BD2996">
            <w:rPr>
              <w:rFonts w:ascii="Univers" w:hAnsi="Univers"/>
              <w:sz w:val="22"/>
              <w:lang w:val="nl-NL"/>
            </w:rPr>
            <w:t>verkoopverbod zich verhoud</w:t>
          </w:r>
          <w:r w:rsidR="00EA53C5">
            <w:rPr>
              <w:rFonts w:ascii="Univers" w:hAnsi="Univers"/>
              <w:sz w:val="22"/>
              <w:lang w:val="nl-NL"/>
            </w:rPr>
            <w:t>t</w:t>
          </w:r>
          <w:r w:rsidR="000164FA">
            <w:rPr>
              <w:rFonts w:ascii="Univers" w:hAnsi="Univers"/>
              <w:sz w:val="22"/>
              <w:lang w:val="nl-NL"/>
            </w:rPr>
            <w:t xml:space="preserve"> tot de vrijheid van </w:t>
          </w:r>
          <w:r w:rsidR="00FF06B2">
            <w:rPr>
              <w:rFonts w:ascii="Univers" w:hAnsi="Univers"/>
              <w:sz w:val="22"/>
              <w:lang w:val="nl-NL"/>
            </w:rPr>
            <w:t>ondernemers</w:t>
          </w:r>
          <w:r w:rsidR="000164FA">
            <w:rPr>
              <w:rFonts w:ascii="Univers" w:hAnsi="Univers"/>
              <w:sz w:val="22"/>
              <w:lang w:val="nl-NL"/>
            </w:rPr>
            <w:t xml:space="preserve"> om diensten te verrichten in een andere lidstaat dan waar zij gevestigd zijn.</w:t>
          </w:r>
          <w:r w:rsidR="00441073">
            <w:rPr>
              <w:rStyle w:val="Voetnootmarkering"/>
              <w:rFonts w:ascii="Univers" w:hAnsi="Univers"/>
              <w:sz w:val="22"/>
              <w:lang w:val="nl-NL"/>
            </w:rPr>
            <w:footnoteReference w:id="14"/>
          </w:r>
          <w:r w:rsidR="00441073">
            <w:rPr>
              <w:rFonts w:ascii="Univers" w:hAnsi="Univers"/>
              <w:sz w:val="22"/>
              <w:lang w:val="nl-NL"/>
            </w:rPr>
            <w:t xml:space="preserve"> Beperkingen op die vrijheid zijn mogelijk</w:t>
          </w:r>
          <w:r w:rsidR="004431ED">
            <w:rPr>
              <w:rFonts w:ascii="Univers" w:hAnsi="Univers"/>
              <w:sz w:val="22"/>
              <w:lang w:val="nl-NL"/>
            </w:rPr>
            <w:t>, bij</w:t>
          </w:r>
          <w:r w:rsidR="00870190">
            <w:rPr>
              <w:rFonts w:ascii="Univers" w:hAnsi="Univers"/>
              <w:sz w:val="22"/>
              <w:lang w:val="nl-NL"/>
            </w:rPr>
            <w:t>voorbeeld</w:t>
          </w:r>
          <w:r w:rsidR="00B83ADD">
            <w:rPr>
              <w:rFonts w:ascii="Univers" w:hAnsi="Univers"/>
              <w:sz w:val="22"/>
              <w:lang w:val="nl-NL"/>
            </w:rPr>
            <w:t xml:space="preserve"> ter bescherming</w:t>
          </w:r>
          <w:r w:rsidR="0066071E">
            <w:rPr>
              <w:rFonts w:ascii="Univers" w:hAnsi="Univers"/>
              <w:sz w:val="22"/>
              <w:lang w:val="nl-NL"/>
            </w:rPr>
            <w:t xml:space="preserve"> van de volksgezondheid</w:t>
          </w:r>
          <w:r w:rsidR="00441073">
            <w:rPr>
              <w:rFonts w:ascii="Univers" w:hAnsi="Univers"/>
              <w:sz w:val="22"/>
              <w:lang w:val="nl-NL"/>
            </w:rPr>
            <w:t>.</w:t>
          </w:r>
          <w:r w:rsidR="00441073">
            <w:rPr>
              <w:rStyle w:val="Voetnootmarkering"/>
              <w:rFonts w:ascii="Univers" w:hAnsi="Univers"/>
              <w:sz w:val="22"/>
              <w:lang w:val="nl-NL"/>
            </w:rPr>
            <w:footnoteReference w:id="15"/>
          </w:r>
          <w:r w:rsidR="00441073">
            <w:rPr>
              <w:rFonts w:ascii="Univers" w:hAnsi="Univers"/>
              <w:sz w:val="22"/>
              <w:lang w:val="nl-NL"/>
            </w:rPr>
            <w:t xml:space="preserve"> Het voorliggende verkoopverbod past binnen de ruimte die de Dienstenrichtlijn </w:t>
          </w:r>
          <w:r w:rsidR="00DD02CF">
            <w:rPr>
              <w:rFonts w:ascii="Univers" w:hAnsi="Univers"/>
              <w:sz w:val="22"/>
              <w:lang w:val="nl-NL"/>
            </w:rPr>
            <w:t xml:space="preserve">de wetgever laat </w:t>
          </w:r>
          <w:r w:rsidR="00AA4732">
            <w:rPr>
              <w:rFonts w:ascii="Univers" w:hAnsi="Univers"/>
              <w:sz w:val="22"/>
              <w:lang w:val="nl-NL"/>
            </w:rPr>
            <w:t xml:space="preserve">om beperkingen op te leggen aan </w:t>
          </w:r>
          <w:r w:rsidR="00441073">
            <w:rPr>
              <w:rFonts w:ascii="Univers" w:hAnsi="Univers"/>
              <w:sz w:val="22"/>
              <w:lang w:val="nl-NL"/>
            </w:rPr>
            <w:t xml:space="preserve">ondernemers </w:t>
          </w:r>
          <w:r w:rsidR="00AA4732">
            <w:rPr>
              <w:rFonts w:ascii="Univers" w:hAnsi="Univers"/>
              <w:sz w:val="22"/>
              <w:lang w:val="nl-NL"/>
            </w:rPr>
            <w:t>die</w:t>
          </w:r>
          <w:r w:rsidR="0058337B">
            <w:rPr>
              <w:rFonts w:ascii="Univers" w:hAnsi="Univers"/>
              <w:sz w:val="22"/>
              <w:lang w:val="nl-NL"/>
            </w:rPr>
            <w:t xml:space="preserve"> </w:t>
          </w:r>
          <w:r w:rsidR="00441073">
            <w:rPr>
              <w:rFonts w:ascii="Univers" w:hAnsi="Univers"/>
              <w:sz w:val="22"/>
              <w:lang w:val="nl-NL"/>
            </w:rPr>
            <w:t>in Nederland hun diensten verrichten terwijl ze elders zijn gevestigd.</w:t>
          </w:r>
          <w:r w:rsidR="008A0532">
            <w:rPr>
              <w:rFonts w:ascii="Univers" w:hAnsi="Univers"/>
              <w:sz w:val="22"/>
              <w:lang w:val="nl-NL"/>
            </w:rPr>
            <w:t xml:space="preserve"> </w:t>
          </w:r>
        </w:p>
        <w:p w:rsidR="006B4E0C" w:rsidP="00E856BD" w:rsidRDefault="006B4E0C" w14:paraId="6DF03263" w14:textId="77777777">
          <w:pPr>
            <w:pStyle w:val="Geenafstand"/>
            <w:rPr>
              <w:rFonts w:ascii="Univers" w:hAnsi="Univers"/>
              <w:sz w:val="22"/>
              <w:lang w:val="nl-NL"/>
            </w:rPr>
          </w:pPr>
        </w:p>
        <w:p w:rsidR="00270E16" w:rsidP="008341DD" w:rsidRDefault="0002665E" w14:paraId="483092F4" w14:textId="7BC5B83A">
          <w:pPr>
            <w:pStyle w:val="Geenafstand"/>
            <w:rPr>
              <w:rFonts w:ascii="Univers" w:hAnsi="Univers"/>
              <w:sz w:val="22"/>
              <w:lang w:val="nl-NL"/>
            </w:rPr>
          </w:pPr>
          <w:r>
            <w:rPr>
              <w:rFonts w:ascii="Univers" w:hAnsi="Univers"/>
              <w:sz w:val="22"/>
              <w:lang w:val="nl-NL"/>
            </w:rPr>
            <w:t xml:space="preserve">Naast de vrijheid van </w:t>
          </w:r>
          <w:r w:rsidR="009E278E">
            <w:rPr>
              <w:rFonts w:ascii="Univers" w:hAnsi="Univers"/>
              <w:sz w:val="22"/>
              <w:lang w:val="nl-NL"/>
            </w:rPr>
            <w:t xml:space="preserve">het verrichten van diensten door een elders gevestigde ondernemer, beperkt het verkoopverbod </w:t>
          </w:r>
          <w:r w:rsidR="00AD3E7E">
            <w:rPr>
              <w:rFonts w:ascii="Univers" w:hAnsi="Univers"/>
              <w:sz w:val="22"/>
              <w:lang w:val="nl-NL"/>
            </w:rPr>
            <w:t xml:space="preserve">ook </w:t>
          </w:r>
          <w:r w:rsidR="008510B2">
            <w:rPr>
              <w:rFonts w:ascii="Univers" w:hAnsi="Univers"/>
              <w:sz w:val="22"/>
              <w:lang w:val="nl-NL"/>
            </w:rPr>
            <w:t xml:space="preserve">de </w:t>
          </w:r>
          <w:r w:rsidR="004A6F20">
            <w:rPr>
              <w:rFonts w:ascii="Univers" w:hAnsi="Univers"/>
              <w:sz w:val="22"/>
              <w:lang w:val="nl-NL"/>
            </w:rPr>
            <w:t xml:space="preserve">mogelijkheden van ondernemers om zich in </w:t>
          </w:r>
          <w:r w:rsidR="009E278E">
            <w:rPr>
              <w:rFonts w:ascii="Univers" w:hAnsi="Univers"/>
              <w:sz w:val="22"/>
              <w:lang w:val="nl-NL"/>
            </w:rPr>
            <w:t>Nederland</w:t>
          </w:r>
          <w:r w:rsidR="004A6F20">
            <w:rPr>
              <w:rFonts w:ascii="Univers" w:hAnsi="Univers"/>
              <w:sz w:val="22"/>
              <w:lang w:val="nl-NL"/>
            </w:rPr>
            <w:t xml:space="preserve"> te vestigen</w:t>
          </w:r>
          <w:r w:rsidR="009E278E">
            <w:rPr>
              <w:rFonts w:ascii="Univers" w:hAnsi="Univers"/>
              <w:sz w:val="22"/>
              <w:lang w:val="nl-NL"/>
            </w:rPr>
            <w:t>.</w:t>
          </w:r>
          <w:r w:rsidR="00AA3BF5">
            <w:rPr>
              <w:rStyle w:val="Voetnootmarkering"/>
              <w:rFonts w:ascii="Univers" w:hAnsi="Univers"/>
              <w:sz w:val="22"/>
              <w:lang w:val="nl-NL"/>
            </w:rPr>
            <w:footnoteReference w:id="16"/>
          </w:r>
          <w:r w:rsidDel="00AA3BF5" w:rsidR="001D59D8">
            <w:rPr>
              <w:rFonts w:ascii="Univers" w:hAnsi="Univers"/>
              <w:sz w:val="22"/>
              <w:lang w:val="nl-NL"/>
            </w:rPr>
            <w:t xml:space="preserve"> </w:t>
          </w:r>
          <w:r w:rsidR="00D16A27">
            <w:rPr>
              <w:rFonts w:ascii="Univers" w:hAnsi="Univers"/>
              <w:sz w:val="22"/>
              <w:lang w:val="nl-NL"/>
            </w:rPr>
            <w:t>Het</w:t>
          </w:r>
          <w:r w:rsidR="008D1193">
            <w:rPr>
              <w:rFonts w:ascii="Univers" w:hAnsi="Univers"/>
              <w:sz w:val="22"/>
              <w:lang w:val="nl-NL"/>
            </w:rPr>
            <w:t xml:space="preserve"> </w:t>
          </w:r>
          <w:r w:rsidR="001D59D8">
            <w:rPr>
              <w:rFonts w:ascii="Univers" w:hAnsi="Univers"/>
              <w:sz w:val="22"/>
              <w:lang w:val="nl-NL"/>
            </w:rPr>
            <w:t xml:space="preserve">voorgestelde </w:t>
          </w:r>
          <w:r w:rsidR="008D1193">
            <w:rPr>
              <w:rFonts w:ascii="Univers" w:hAnsi="Univers"/>
              <w:sz w:val="22"/>
              <w:lang w:val="nl-NL"/>
            </w:rPr>
            <w:t xml:space="preserve">verkoopverbod </w:t>
          </w:r>
          <w:r w:rsidR="00A87765">
            <w:rPr>
              <w:rFonts w:ascii="Univers" w:hAnsi="Univers"/>
              <w:sz w:val="22"/>
              <w:lang w:val="nl-NL"/>
            </w:rPr>
            <w:t xml:space="preserve">verbindt eisen </w:t>
          </w:r>
          <w:r w:rsidR="00792C8B">
            <w:rPr>
              <w:rFonts w:ascii="Univers" w:hAnsi="Univers"/>
              <w:sz w:val="22"/>
              <w:lang w:val="nl-NL"/>
            </w:rPr>
            <w:t xml:space="preserve">aan </w:t>
          </w:r>
          <w:r w:rsidR="008D1193">
            <w:rPr>
              <w:rFonts w:ascii="Univers" w:hAnsi="Univers"/>
              <w:sz w:val="22"/>
              <w:lang w:val="nl-NL"/>
            </w:rPr>
            <w:t>d</w:t>
          </w:r>
          <w:r w:rsidR="001D59D8">
            <w:rPr>
              <w:rFonts w:ascii="Univers" w:hAnsi="Univers"/>
              <w:sz w:val="22"/>
              <w:lang w:val="nl-NL"/>
            </w:rPr>
            <w:t>i</w:t>
          </w:r>
          <w:r w:rsidR="008D1193">
            <w:rPr>
              <w:rFonts w:ascii="Univers" w:hAnsi="Univers"/>
              <w:sz w:val="22"/>
              <w:lang w:val="nl-NL"/>
            </w:rPr>
            <w:t xml:space="preserve">e </w:t>
          </w:r>
          <w:r w:rsidR="001D59D8">
            <w:rPr>
              <w:rFonts w:ascii="Univers" w:hAnsi="Univers"/>
              <w:sz w:val="22"/>
              <w:lang w:val="nl-NL"/>
            </w:rPr>
            <w:t>vrije</w:t>
          </w:r>
          <w:r w:rsidR="008D1193">
            <w:rPr>
              <w:rFonts w:ascii="Univers" w:hAnsi="Univers"/>
              <w:sz w:val="22"/>
              <w:lang w:val="nl-NL"/>
            </w:rPr>
            <w:t xml:space="preserve"> vestiging door </w:t>
          </w:r>
          <w:r w:rsidRPr="00E84D82" w:rsidR="00AE288F">
            <w:rPr>
              <w:rFonts w:ascii="Univers" w:hAnsi="Univers"/>
              <w:sz w:val="22"/>
              <w:lang w:val="nl-NL"/>
            </w:rPr>
            <w:t>de verkoop van tabaksproducten en aanverwante producten</w:t>
          </w:r>
          <w:r w:rsidR="00AE288F">
            <w:rPr>
              <w:rFonts w:ascii="Univers" w:hAnsi="Univers"/>
              <w:sz w:val="22"/>
              <w:lang w:val="nl-NL"/>
            </w:rPr>
            <w:t xml:space="preserve"> </w:t>
          </w:r>
          <w:r w:rsidRPr="00E84D82" w:rsidR="00AE288F">
            <w:rPr>
              <w:rFonts w:ascii="Univers" w:hAnsi="Univers"/>
              <w:sz w:val="22"/>
              <w:lang w:val="nl-NL"/>
            </w:rPr>
            <w:t>voor</w:t>
          </w:r>
          <w:r w:rsidR="00AE288F">
            <w:rPr>
              <w:rFonts w:ascii="Univers" w:hAnsi="Univers"/>
              <w:sz w:val="22"/>
              <w:lang w:val="nl-NL"/>
            </w:rPr>
            <w:t xml:space="preserve"> te </w:t>
          </w:r>
          <w:r w:rsidRPr="00E84D82" w:rsidR="00AE288F">
            <w:rPr>
              <w:rFonts w:ascii="Univers" w:hAnsi="Univers"/>
              <w:sz w:val="22"/>
              <w:lang w:val="nl-NL"/>
            </w:rPr>
            <w:t>behouden aan bepaalde dienstverrichters.</w:t>
          </w:r>
          <w:r w:rsidRPr="0020729A" w:rsidR="00AE288F">
            <w:rPr>
              <w:rStyle w:val="Voetnootmarkering"/>
              <w:rFonts w:ascii="Univers" w:hAnsi="Univers"/>
              <w:sz w:val="22"/>
            </w:rPr>
            <w:footnoteReference w:id="17"/>
          </w:r>
          <w:r w:rsidRPr="00E84D82" w:rsidR="00AE288F">
            <w:rPr>
              <w:rFonts w:ascii="Univers" w:hAnsi="Univers"/>
              <w:sz w:val="22"/>
              <w:lang w:val="nl-NL"/>
            </w:rPr>
            <w:t xml:space="preserve"> </w:t>
          </w:r>
          <w:r w:rsidR="004468F4">
            <w:rPr>
              <w:rFonts w:ascii="Univers" w:hAnsi="Univers"/>
              <w:sz w:val="22"/>
              <w:lang w:val="nl-NL"/>
            </w:rPr>
            <w:t>De</w:t>
          </w:r>
          <w:r w:rsidR="00000C03">
            <w:rPr>
              <w:rFonts w:ascii="Univers" w:hAnsi="Univers"/>
              <w:sz w:val="22"/>
              <w:lang w:val="nl-NL"/>
            </w:rPr>
            <w:t>rgelijke</w:t>
          </w:r>
          <w:r w:rsidR="004468F4">
            <w:rPr>
              <w:rFonts w:ascii="Univers" w:hAnsi="Univers"/>
              <w:sz w:val="22"/>
              <w:lang w:val="nl-NL"/>
            </w:rPr>
            <w:t xml:space="preserve"> eisen moeten </w:t>
          </w:r>
          <w:r w:rsidRPr="002C6D93" w:rsidR="002C6D93">
            <w:rPr>
              <w:rFonts w:ascii="Univers" w:hAnsi="Univers"/>
              <w:sz w:val="22"/>
              <w:lang w:val="nl-NL"/>
            </w:rPr>
            <w:t xml:space="preserve">voldoen aan de in </w:t>
          </w:r>
          <w:r w:rsidRPr="008341DD" w:rsidR="004468F4">
            <w:rPr>
              <w:rFonts w:ascii="Univers" w:hAnsi="Univers"/>
              <w:sz w:val="22"/>
              <w:lang w:val="nl-NL"/>
            </w:rPr>
            <w:t>artikel 15 van de Dienstenrichtlijn</w:t>
          </w:r>
          <w:r w:rsidR="004468F4">
            <w:rPr>
              <w:rFonts w:ascii="Univers" w:hAnsi="Univers"/>
              <w:sz w:val="22"/>
              <w:lang w:val="nl-NL"/>
            </w:rPr>
            <w:t xml:space="preserve"> </w:t>
          </w:r>
          <w:r w:rsidRPr="002C6D93" w:rsidR="002C6D93">
            <w:rPr>
              <w:rFonts w:ascii="Univers" w:hAnsi="Univers"/>
              <w:sz w:val="22"/>
              <w:lang w:val="nl-NL"/>
            </w:rPr>
            <w:t>genoemde voorwaarden van non-discriminatie, noodzakelijkheid en evenredigheid.</w:t>
          </w:r>
          <w:r w:rsidR="005B3B5E">
            <w:rPr>
              <w:rStyle w:val="Voetnootmarkering"/>
              <w:rFonts w:ascii="Univers" w:hAnsi="Univers"/>
              <w:sz w:val="22"/>
              <w:lang w:val="nl-NL"/>
            </w:rPr>
            <w:footnoteReference w:id="18"/>
          </w:r>
          <w:r w:rsidR="009B739C">
            <w:rPr>
              <w:rFonts w:ascii="Univers" w:hAnsi="Univers"/>
              <w:sz w:val="22"/>
              <w:lang w:val="nl-NL"/>
            </w:rPr>
            <w:t xml:space="preserve"> </w:t>
          </w:r>
          <w:r w:rsidR="002B0B7A">
            <w:rPr>
              <w:rFonts w:ascii="Univers" w:hAnsi="Univers"/>
              <w:sz w:val="22"/>
              <w:lang w:val="nl-NL"/>
            </w:rPr>
            <w:t>In</w:t>
          </w:r>
          <w:r w:rsidR="00B17875">
            <w:rPr>
              <w:rFonts w:ascii="Univers" w:hAnsi="Univers"/>
              <w:sz w:val="22"/>
              <w:lang w:val="nl-NL"/>
            </w:rPr>
            <w:t xml:space="preserve"> de toelichting </w:t>
          </w:r>
          <w:r w:rsidR="002B0B7A">
            <w:rPr>
              <w:rFonts w:ascii="Univers" w:hAnsi="Univers"/>
              <w:sz w:val="22"/>
              <w:lang w:val="nl-NL"/>
            </w:rPr>
            <w:t xml:space="preserve">wordt niet ingegaan </w:t>
          </w:r>
          <w:r w:rsidR="00B17875">
            <w:rPr>
              <w:rFonts w:ascii="Univers" w:hAnsi="Univers"/>
              <w:sz w:val="22"/>
              <w:lang w:val="nl-NL"/>
            </w:rPr>
            <w:t xml:space="preserve">op </w:t>
          </w:r>
          <w:r w:rsidR="002B0B7A">
            <w:rPr>
              <w:rFonts w:ascii="Univers" w:hAnsi="Univers"/>
              <w:sz w:val="22"/>
              <w:lang w:val="nl-NL"/>
            </w:rPr>
            <w:t>de vraag of</w:t>
          </w:r>
          <w:r w:rsidR="00B17875">
            <w:rPr>
              <w:rFonts w:ascii="Univers" w:hAnsi="Univers"/>
              <w:sz w:val="22"/>
              <w:lang w:val="nl-NL"/>
            </w:rPr>
            <w:t xml:space="preserve"> </w:t>
          </w:r>
          <w:r w:rsidR="00D37E3E">
            <w:rPr>
              <w:rFonts w:ascii="Univers" w:hAnsi="Univers"/>
              <w:sz w:val="22"/>
              <w:lang w:val="nl-NL"/>
            </w:rPr>
            <w:t xml:space="preserve">het verkoopverbod ook in </w:t>
          </w:r>
          <w:r w:rsidR="009B739C">
            <w:rPr>
              <w:rFonts w:ascii="Univers" w:hAnsi="Univers"/>
              <w:sz w:val="22"/>
              <w:lang w:val="nl-NL"/>
            </w:rPr>
            <w:t xml:space="preserve">het licht van de vrijheid van vestiging van </w:t>
          </w:r>
          <w:r w:rsidRPr="00E84D82" w:rsidR="009B739C">
            <w:rPr>
              <w:rFonts w:ascii="Univers" w:hAnsi="Univers"/>
              <w:sz w:val="22"/>
              <w:lang w:val="nl-NL"/>
            </w:rPr>
            <w:t>dienstverrichters</w:t>
          </w:r>
          <w:r w:rsidR="009B739C">
            <w:rPr>
              <w:rFonts w:ascii="Univers" w:hAnsi="Univers"/>
              <w:sz w:val="22"/>
              <w:lang w:val="nl-NL"/>
            </w:rPr>
            <w:t xml:space="preserve"> is gerechtvaardigd.</w:t>
          </w:r>
          <w:r w:rsidR="00C6708E">
            <w:rPr>
              <w:rFonts w:ascii="Univers" w:hAnsi="Univers"/>
              <w:sz w:val="22"/>
              <w:lang w:val="nl-NL"/>
            </w:rPr>
            <w:t xml:space="preserve"> </w:t>
          </w:r>
        </w:p>
        <w:p w:rsidR="00270E16" w:rsidP="008341DD" w:rsidRDefault="00270E16" w14:paraId="1BE1DE3E" w14:textId="77777777">
          <w:pPr>
            <w:pStyle w:val="Geenafstand"/>
            <w:rPr>
              <w:rFonts w:ascii="Univers" w:hAnsi="Univers"/>
              <w:sz w:val="22"/>
              <w:lang w:val="nl-NL"/>
            </w:rPr>
          </w:pPr>
        </w:p>
        <w:p w:rsidR="00CD5B0D" w:rsidP="008341DD" w:rsidRDefault="008341DD" w14:paraId="57233737" w14:textId="5C306E00">
          <w:pPr>
            <w:pStyle w:val="Geenafstand"/>
            <w:rPr>
              <w:rFonts w:ascii="Univers" w:hAnsi="Univers"/>
              <w:sz w:val="22"/>
              <w:lang w:val="nl-NL"/>
            </w:rPr>
          </w:pPr>
          <w:r w:rsidRPr="00E84D82">
            <w:rPr>
              <w:rFonts w:ascii="Univers" w:hAnsi="Univers"/>
              <w:sz w:val="22"/>
              <w:lang w:val="nl-NL"/>
            </w:rPr>
            <w:lastRenderedPageBreak/>
            <w:t xml:space="preserve">De Afdeling adviseert </w:t>
          </w:r>
          <w:r w:rsidR="00CD5B0D">
            <w:rPr>
              <w:rFonts w:ascii="Univers" w:hAnsi="Univers"/>
              <w:sz w:val="22"/>
              <w:lang w:val="nl-NL"/>
            </w:rPr>
            <w:t xml:space="preserve">om </w:t>
          </w:r>
          <w:r w:rsidR="000B4313">
            <w:rPr>
              <w:rFonts w:ascii="Univers" w:hAnsi="Univers"/>
              <w:sz w:val="22"/>
              <w:lang w:val="nl-NL"/>
            </w:rPr>
            <w:t xml:space="preserve">in de </w:t>
          </w:r>
          <w:r w:rsidR="00DA1216">
            <w:rPr>
              <w:rFonts w:ascii="Univers" w:hAnsi="Univers"/>
              <w:sz w:val="22"/>
              <w:lang w:val="nl-NL"/>
            </w:rPr>
            <w:t xml:space="preserve">toelichting ook in te gaan op de </w:t>
          </w:r>
          <w:r w:rsidR="00CD5B0D">
            <w:rPr>
              <w:rFonts w:ascii="Univers" w:hAnsi="Univers"/>
              <w:sz w:val="22"/>
              <w:lang w:val="nl-NL"/>
            </w:rPr>
            <w:t>rechtvaardig</w:t>
          </w:r>
          <w:r w:rsidR="00F53D8D">
            <w:rPr>
              <w:rFonts w:ascii="Univers" w:hAnsi="Univers"/>
              <w:sz w:val="22"/>
              <w:lang w:val="nl-NL"/>
            </w:rPr>
            <w:t>ing</w:t>
          </w:r>
          <w:r w:rsidR="00303CBA">
            <w:rPr>
              <w:rFonts w:ascii="Univers" w:hAnsi="Univers"/>
              <w:sz w:val="22"/>
              <w:lang w:val="nl-NL"/>
            </w:rPr>
            <w:t xml:space="preserve"> van het verkoopverbod in het licht van </w:t>
          </w:r>
          <w:r w:rsidDel="00303CBA" w:rsidR="00CD5B0D">
            <w:rPr>
              <w:rFonts w:ascii="Univers" w:hAnsi="Univers"/>
              <w:sz w:val="22"/>
              <w:lang w:val="nl-NL"/>
            </w:rPr>
            <w:t xml:space="preserve">de </w:t>
          </w:r>
          <w:r w:rsidRPr="00E84D82" w:rsidR="00CD5B0D">
            <w:rPr>
              <w:rFonts w:ascii="Univers" w:hAnsi="Univers"/>
              <w:sz w:val="22"/>
              <w:lang w:val="nl-NL"/>
            </w:rPr>
            <w:t>vrijheid van vestiging van dienstverrichters</w:t>
          </w:r>
          <w:r w:rsidR="00CD5B0D">
            <w:rPr>
              <w:rFonts w:ascii="Univers" w:hAnsi="Univers"/>
              <w:sz w:val="22"/>
              <w:lang w:val="nl-NL"/>
            </w:rPr>
            <w:t xml:space="preserve"> als bedoeld in </w:t>
          </w:r>
          <w:r w:rsidRPr="008341DD" w:rsidR="00CD5B0D">
            <w:rPr>
              <w:rFonts w:ascii="Univers" w:hAnsi="Univers"/>
              <w:sz w:val="22"/>
              <w:lang w:val="nl-NL"/>
            </w:rPr>
            <w:t>artikel 15 van de Dienstenrichtlijn</w:t>
          </w:r>
          <w:r w:rsidRPr="00E84D82" w:rsidR="00CD5B0D">
            <w:rPr>
              <w:rFonts w:ascii="Univers" w:hAnsi="Univers"/>
              <w:sz w:val="22"/>
              <w:lang w:val="nl-NL"/>
            </w:rPr>
            <w:t>.</w:t>
          </w:r>
        </w:p>
        <w:p w:rsidR="00CD5B0D" w:rsidP="008341DD" w:rsidRDefault="00CD5B0D" w14:paraId="1A4B54BA" w14:textId="77777777">
          <w:pPr>
            <w:pStyle w:val="Geenafstand"/>
            <w:rPr>
              <w:rFonts w:ascii="Univers" w:hAnsi="Univers"/>
              <w:sz w:val="22"/>
              <w:lang w:val="nl-NL"/>
            </w:rPr>
          </w:pPr>
        </w:p>
        <w:p w:rsidR="00035B05" w:rsidP="0049414E" w:rsidRDefault="00FB67BA" w14:paraId="21CE8F6A" w14:textId="7FD10E81">
          <w:pPr>
            <w:pStyle w:val="Kop1"/>
          </w:pPr>
          <w:r>
            <w:t xml:space="preserve">Gevolgen </w:t>
          </w:r>
          <w:r w:rsidR="005D557E">
            <w:t>verkoop</w:t>
          </w:r>
          <w:r w:rsidR="00035B05">
            <w:t xml:space="preserve">verbod </w:t>
          </w:r>
          <w:r w:rsidR="005D557E">
            <w:t xml:space="preserve">voor gebruikers </w:t>
          </w:r>
          <w:r w:rsidR="00035B05">
            <w:t>dampwaar</w:t>
          </w:r>
        </w:p>
        <w:p w:rsidR="00035B05" w:rsidP="00035B05" w:rsidRDefault="00035B05" w14:paraId="0C60A4B6" w14:textId="77777777"/>
        <w:p w:rsidR="00035B05" w:rsidP="00035B05" w:rsidRDefault="00035B05" w14:paraId="729B8D5E" w14:textId="083832AF">
          <w:pPr>
            <w:rPr>
              <w:rFonts w:eastAsia="Calibri"/>
            </w:rPr>
          </w:pPr>
          <w:r>
            <w:t xml:space="preserve">Het voorgestelde verkoopverbod </w:t>
          </w:r>
          <w:r w:rsidR="00EA7E73">
            <w:t>geldt</w:t>
          </w:r>
          <w:r>
            <w:t xml:space="preserve"> als eerste voor elektronische dampwaar, beter bekend als </w:t>
          </w:r>
          <w:r w:rsidRPr="00E47818">
            <w:t xml:space="preserve">e-sigaret </w:t>
          </w:r>
          <w:r>
            <w:t xml:space="preserve">of vape. Die producten mogen alleen nog maar in tabaksspeciaalzaken verkocht worden. </w:t>
          </w:r>
          <w:r w:rsidRPr="00E47818">
            <w:t xml:space="preserve">Het gebruik van </w:t>
          </w:r>
          <w:r>
            <w:t xml:space="preserve">vapes </w:t>
          </w:r>
          <w:r w:rsidRPr="00E47818">
            <w:t xml:space="preserve">is </w:t>
          </w:r>
          <w:r w:rsidR="004F19AD">
            <w:t xml:space="preserve">vooral </w:t>
          </w:r>
          <w:r w:rsidRPr="00E47818">
            <w:t>populair onder jongeren</w:t>
          </w:r>
          <w:r>
            <w:t xml:space="preserve">. </w:t>
          </w:r>
          <w:r w:rsidR="0013086D">
            <w:t>D</w:t>
          </w:r>
          <w:r>
            <w:t xml:space="preserve">ampwaar </w:t>
          </w:r>
          <w:r w:rsidR="0013086D">
            <w:t xml:space="preserve">bevat </w:t>
          </w:r>
          <w:r>
            <w:t xml:space="preserve">weliswaar geen tabak, maar wel andere schadelijke stoffen zoals </w:t>
          </w:r>
          <w:r w:rsidRPr="00E47818">
            <w:t xml:space="preserve">nicotine en giftige en kankerverwekkende stoffen </w:t>
          </w:r>
          <w:r>
            <w:t xml:space="preserve">en bovendien </w:t>
          </w:r>
          <w:r w:rsidRPr="009A5E07">
            <w:rPr>
              <w:rFonts w:eastAsia="Calibri"/>
            </w:rPr>
            <w:t>kan leiden tot irritatie en schade aan de luchtwegen, hartkloppingen en een verhoogde kans op kanker</w:t>
          </w:r>
          <w:r>
            <w:rPr>
              <w:rFonts w:eastAsia="Calibri"/>
            </w:rPr>
            <w:t>.</w:t>
          </w:r>
          <w:r>
            <w:rPr>
              <w:rStyle w:val="Voetnootmarkering"/>
              <w:rFonts w:eastAsia="Calibri"/>
            </w:rPr>
            <w:footnoteReference w:id="19"/>
          </w:r>
          <w:r>
            <w:rPr>
              <w:rFonts w:eastAsia="Calibri"/>
            </w:rPr>
            <w:t xml:space="preserve"> Bovendien </w:t>
          </w:r>
          <w:r w:rsidR="00E71620">
            <w:rPr>
              <w:rFonts w:eastAsia="Calibri"/>
            </w:rPr>
            <w:t>kan het gebruik van dampwaar de drempel naar het roken van tabaksproducten verlagen</w:t>
          </w:r>
          <w:r w:rsidR="00422569">
            <w:rPr>
              <w:rFonts w:eastAsia="Calibri"/>
            </w:rPr>
            <w:t xml:space="preserve"> en laat onderzoek zien dat veel gebruikers van dampwaar ook tabaksproducten </w:t>
          </w:r>
          <w:r w:rsidR="00513D68">
            <w:rPr>
              <w:rFonts w:eastAsia="Calibri"/>
            </w:rPr>
            <w:t>gaan</w:t>
          </w:r>
          <w:r w:rsidR="00422569">
            <w:rPr>
              <w:rFonts w:eastAsia="Calibri"/>
            </w:rPr>
            <w:t xml:space="preserve"> gebruiken.</w:t>
          </w:r>
          <w:r w:rsidR="00422569">
            <w:rPr>
              <w:rStyle w:val="Voetnootmarkering"/>
              <w:rFonts w:eastAsia="Calibri"/>
            </w:rPr>
            <w:footnoteReference w:id="20"/>
          </w:r>
          <w:r>
            <w:rPr>
              <w:rFonts w:eastAsia="Calibri"/>
            </w:rPr>
            <w:t xml:space="preserve"> Vanuit dit perspectief bezien is het beperken van de verkoop van </w:t>
          </w:r>
          <w:r>
            <w:t xml:space="preserve">dampwaar </w:t>
          </w:r>
          <w:r>
            <w:rPr>
              <w:rFonts w:eastAsia="Calibri"/>
            </w:rPr>
            <w:t xml:space="preserve">als eerste stap </w:t>
          </w:r>
          <w:r w:rsidR="00170527">
            <w:rPr>
              <w:rFonts w:eastAsia="Calibri"/>
            </w:rPr>
            <w:t>goed te volgen</w:t>
          </w:r>
          <w:r>
            <w:rPr>
              <w:rFonts w:eastAsia="Calibri"/>
            </w:rPr>
            <w:t xml:space="preserve">. Zo wordt het gebruik hiervan voor een </w:t>
          </w:r>
          <w:r w:rsidR="00EE50CC">
            <w:rPr>
              <w:rFonts w:eastAsia="Calibri"/>
            </w:rPr>
            <w:t xml:space="preserve">nieuwe, </w:t>
          </w:r>
          <w:r>
            <w:rPr>
              <w:rFonts w:eastAsia="Calibri"/>
            </w:rPr>
            <w:t xml:space="preserve">jonge generatie minder aantrekkelijk. </w:t>
          </w:r>
        </w:p>
        <w:p w:rsidR="00035B05" w:rsidP="00035B05" w:rsidRDefault="00035B05" w14:paraId="548B3247" w14:textId="77777777">
          <w:pPr>
            <w:rPr>
              <w:rFonts w:eastAsia="Calibri"/>
            </w:rPr>
          </w:pPr>
        </w:p>
        <w:p w:rsidR="00623A4C" w:rsidP="00EF4E00" w:rsidRDefault="00FB67BA" w14:paraId="6F748F1A" w14:textId="50C4E04C">
          <w:pPr>
            <w:rPr>
              <w:rFonts w:eastAsia="Calibri"/>
            </w:rPr>
          </w:pPr>
          <w:r>
            <w:rPr>
              <w:rFonts w:eastAsia="Calibri"/>
            </w:rPr>
            <w:t>H</w:t>
          </w:r>
          <w:r w:rsidR="0013086D">
            <w:rPr>
              <w:rFonts w:eastAsia="Calibri"/>
            </w:rPr>
            <w:t xml:space="preserve">uidige </w:t>
          </w:r>
          <w:r w:rsidR="00035B05">
            <w:rPr>
              <w:rFonts w:eastAsia="Calibri"/>
            </w:rPr>
            <w:t xml:space="preserve">gebruikers </w:t>
          </w:r>
          <w:r w:rsidR="0013086D">
            <w:rPr>
              <w:rFonts w:eastAsia="Calibri"/>
            </w:rPr>
            <w:t>van dampwaar</w:t>
          </w:r>
          <w:r w:rsidR="00035B05">
            <w:rPr>
              <w:rFonts w:eastAsia="Calibri"/>
            </w:rPr>
            <w:t xml:space="preserve"> </w:t>
          </w:r>
          <w:r>
            <w:rPr>
              <w:rFonts w:eastAsia="Calibri"/>
            </w:rPr>
            <w:t xml:space="preserve">worden </w:t>
          </w:r>
          <w:r w:rsidR="00035B05">
            <w:rPr>
              <w:rFonts w:eastAsia="Calibri"/>
            </w:rPr>
            <w:t xml:space="preserve">vanaf 2026 geconfronteerd met </w:t>
          </w:r>
          <w:r w:rsidR="0013086D">
            <w:rPr>
              <w:rFonts w:eastAsia="Calibri"/>
            </w:rPr>
            <w:t>de situatie</w:t>
          </w:r>
          <w:r w:rsidR="00035B05">
            <w:rPr>
              <w:rFonts w:eastAsia="Calibri"/>
            </w:rPr>
            <w:t xml:space="preserve"> dat dampwaar alleen nog verkrijgbaar </w:t>
          </w:r>
          <w:r w:rsidR="001D1180">
            <w:rPr>
              <w:rFonts w:eastAsia="Calibri"/>
            </w:rPr>
            <w:t>is</w:t>
          </w:r>
          <w:r w:rsidR="00035B05">
            <w:rPr>
              <w:rFonts w:eastAsia="Calibri"/>
            </w:rPr>
            <w:t xml:space="preserve"> in tabaksspeciaalzaken,</w:t>
          </w:r>
          <w:r w:rsidR="00035B05">
            <w:rPr>
              <w:rStyle w:val="Voetnootmarkering"/>
              <w:rFonts w:eastAsia="Calibri"/>
            </w:rPr>
            <w:footnoteReference w:id="21"/>
          </w:r>
          <w:r w:rsidR="00035B05">
            <w:rPr>
              <w:rFonts w:eastAsia="Calibri"/>
            </w:rPr>
            <w:t xml:space="preserve"> terwijl tabaksproducten nog breed verkrijgbaar zijn in tankstations en gemakszaken.</w:t>
          </w:r>
          <w:r w:rsidR="00035B05">
            <w:rPr>
              <w:rStyle w:val="Voetnootmarkering"/>
              <w:rFonts w:eastAsia="Calibri"/>
            </w:rPr>
            <w:footnoteReference w:id="22"/>
          </w:r>
          <w:r w:rsidR="00035B05">
            <w:rPr>
              <w:rFonts w:eastAsia="Calibri"/>
            </w:rPr>
            <w:t xml:space="preserve"> Die overgangsfase duurt zo’n vier jaar totdat de verkoop van tabak eerst beperkt wordt tot </w:t>
          </w:r>
          <w:r w:rsidRPr="00C007AE" w:rsidR="00035B05">
            <w:rPr>
              <w:rFonts w:eastAsia="Calibri"/>
            </w:rPr>
            <w:t>gemakszaken en tabaksspeciaalzaken</w:t>
          </w:r>
          <w:r w:rsidR="00035B05">
            <w:rPr>
              <w:rFonts w:eastAsia="Calibri"/>
            </w:rPr>
            <w:t>,</w:t>
          </w:r>
          <w:r w:rsidR="00035B05">
            <w:rPr>
              <w:rStyle w:val="Voetnootmarkering"/>
              <w:rFonts w:eastAsia="Calibri"/>
            </w:rPr>
            <w:footnoteReference w:id="23"/>
          </w:r>
          <w:r w:rsidR="00035B05">
            <w:rPr>
              <w:rFonts w:eastAsia="Calibri"/>
            </w:rPr>
            <w:t xml:space="preserve"> en daarna nog twee jaar totdat ook deze producten alleen in tabaksspeciaalzaken gekocht kunnen worden. </w:t>
          </w:r>
          <w:r w:rsidR="002E07E0">
            <w:rPr>
              <w:rFonts w:eastAsia="Calibri"/>
            </w:rPr>
            <w:t xml:space="preserve">De afnemende beschikbaarheid van </w:t>
          </w:r>
          <w:r w:rsidR="002E07E0">
            <w:t xml:space="preserve">dampwaar </w:t>
          </w:r>
          <w:r w:rsidR="002E387F">
            <w:t>kan</w:t>
          </w:r>
          <w:r w:rsidR="002E07E0">
            <w:t xml:space="preserve"> het </w:t>
          </w:r>
          <w:r w:rsidR="002E07E0">
            <w:rPr>
              <w:rFonts w:eastAsia="Calibri"/>
            </w:rPr>
            <w:t xml:space="preserve">voor gebruikers aantrekkelijk </w:t>
          </w:r>
          <w:r w:rsidR="002E387F">
            <w:rPr>
              <w:rFonts w:eastAsia="Calibri"/>
            </w:rPr>
            <w:t xml:space="preserve">maken </w:t>
          </w:r>
          <w:r w:rsidR="002E07E0">
            <w:rPr>
              <w:rFonts w:eastAsia="Calibri"/>
            </w:rPr>
            <w:t xml:space="preserve">om over te stappen op de breder beschikbare tabaksproducten. </w:t>
          </w:r>
          <w:r w:rsidR="009D7914">
            <w:rPr>
              <w:rFonts w:eastAsia="Calibri"/>
            </w:rPr>
            <w:t>Op</w:t>
          </w:r>
          <w:r w:rsidR="0025790B">
            <w:rPr>
              <w:rFonts w:eastAsia="Calibri"/>
            </w:rPr>
            <w:t xml:space="preserve"> </w:t>
          </w:r>
          <w:r w:rsidR="002E07E0">
            <w:rPr>
              <w:rFonts w:eastAsia="Calibri"/>
            </w:rPr>
            <w:t>dat</w:t>
          </w:r>
          <w:r w:rsidR="00486763">
            <w:rPr>
              <w:rFonts w:eastAsia="Calibri"/>
            </w:rPr>
            <w:t xml:space="preserve"> gevolg van</w:t>
          </w:r>
          <w:r w:rsidR="0022113F">
            <w:rPr>
              <w:rFonts w:eastAsia="Calibri"/>
            </w:rPr>
            <w:t xml:space="preserve"> de gefaseerde</w:t>
          </w:r>
          <w:r w:rsidR="00DA4A2C">
            <w:rPr>
              <w:rFonts w:eastAsia="Calibri"/>
            </w:rPr>
            <w:t xml:space="preserve"> invoering van </w:t>
          </w:r>
          <w:r w:rsidR="00AF6CCF">
            <w:rPr>
              <w:rFonts w:eastAsia="Calibri"/>
            </w:rPr>
            <w:t>het</w:t>
          </w:r>
          <w:r w:rsidR="00DA4A2C">
            <w:rPr>
              <w:rFonts w:eastAsia="Calibri"/>
            </w:rPr>
            <w:t xml:space="preserve"> verkoopverbod </w:t>
          </w:r>
          <w:r w:rsidR="009D7914">
            <w:rPr>
              <w:rFonts w:eastAsia="Calibri"/>
            </w:rPr>
            <w:t>voor de huidige groep gebruikers gaat de toelichting nog onvoldoende in.</w:t>
          </w:r>
        </w:p>
        <w:p w:rsidR="00035B05" w:rsidP="00035B05" w:rsidRDefault="00035B05" w14:paraId="643BAED4" w14:textId="77777777">
          <w:pPr>
            <w:rPr>
              <w:rFonts w:eastAsia="Calibri"/>
            </w:rPr>
          </w:pPr>
        </w:p>
        <w:p w:rsidR="00035B05" w:rsidP="00FC093E" w:rsidRDefault="00035B05" w14:paraId="60AEF3B9" w14:textId="4B57A0A5">
          <w:pPr>
            <w:rPr>
              <w:rFonts w:eastAsia="Calibri"/>
            </w:rPr>
          </w:pPr>
          <w:r>
            <w:rPr>
              <w:rFonts w:eastAsia="Calibri"/>
            </w:rPr>
            <w:t xml:space="preserve">De Afdeling adviseert om in de toelichting aandacht te besteden aan </w:t>
          </w:r>
          <w:r w:rsidR="00FA7E32">
            <w:rPr>
              <w:rFonts w:eastAsia="Calibri"/>
            </w:rPr>
            <w:t xml:space="preserve">wat </w:t>
          </w:r>
          <w:r w:rsidR="002F59C1">
            <w:rPr>
              <w:rFonts w:eastAsia="Calibri"/>
            </w:rPr>
            <w:t xml:space="preserve">de gevolgen </w:t>
          </w:r>
          <w:r w:rsidR="00507D11">
            <w:rPr>
              <w:rFonts w:eastAsia="Calibri"/>
            </w:rPr>
            <w:t xml:space="preserve">van het verkoopverbod </w:t>
          </w:r>
          <w:r w:rsidR="00FA7E32">
            <w:rPr>
              <w:rFonts w:eastAsia="Calibri"/>
            </w:rPr>
            <w:t xml:space="preserve">zijn </w:t>
          </w:r>
          <w:r w:rsidR="00507D11">
            <w:rPr>
              <w:rFonts w:eastAsia="Calibri"/>
            </w:rPr>
            <w:t>voor de huidige groep gebruikers van dampwaar</w:t>
          </w:r>
          <w:r w:rsidR="00FC093E">
            <w:rPr>
              <w:rFonts w:eastAsia="Calibri"/>
            </w:rPr>
            <w:t xml:space="preserve"> aangezien </w:t>
          </w:r>
          <w:r w:rsidRPr="00FC093E" w:rsidR="00FC093E">
            <w:rPr>
              <w:rFonts w:eastAsia="Calibri"/>
            </w:rPr>
            <w:t xml:space="preserve">een afnemende beschikbaarheid van dampwaar het voor </w:t>
          </w:r>
          <w:r w:rsidR="00FC093E">
            <w:rPr>
              <w:rFonts w:eastAsia="Calibri"/>
            </w:rPr>
            <w:t xml:space="preserve">hen </w:t>
          </w:r>
          <w:r w:rsidRPr="00FC093E" w:rsidR="00FC093E">
            <w:rPr>
              <w:rFonts w:eastAsia="Calibri"/>
            </w:rPr>
            <w:t xml:space="preserve">aantrekkelijk </w:t>
          </w:r>
          <w:r w:rsidR="00FC093E">
            <w:rPr>
              <w:rFonts w:eastAsia="Calibri"/>
            </w:rPr>
            <w:t>kan maken</w:t>
          </w:r>
          <w:r w:rsidRPr="00FC093E" w:rsidR="00FC093E">
            <w:rPr>
              <w:rFonts w:eastAsia="Calibri"/>
            </w:rPr>
            <w:t xml:space="preserve"> over te stappen op tabaksproducten.</w:t>
          </w:r>
          <w:r>
            <w:rPr>
              <w:rFonts w:eastAsia="Calibri"/>
            </w:rPr>
            <w:t xml:space="preserve"> </w:t>
          </w:r>
        </w:p>
        <w:p w:rsidR="00035B05" w:rsidP="00035B05" w:rsidRDefault="00035B05" w14:paraId="32C8F1F3" w14:textId="77777777">
          <w:pPr>
            <w:rPr>
              <w:rFonts w:eastAsia="Calibri"/>
            </w:rPr>
          </w:pPr>
        </w:p>
        <w:p w:rsidR="00035B05" w:rsidP="0049414E" w:rsidRDefault="00035B05" w14:paraId="59040144" w14:textId="429799B1">
          <w:pPr>
            <w:pStyle w:val="Kop1"/>
            <w:rPr>
              <w:rFonts w:eastAsia="Calibri"/>
            </w:rPr>
          </w:pPr>
          <w:r>
            <w:rPr>
              <w:rFonts w:eastAsia="Calibri"/>
            </w:rPr>
            <w:t xml:space="preserve">Handhaving </w:t>
          </w:r>
          <w:r w:rsidR="005023EA">
            <w:rPr>
              <w:rFonts w:eastAsia="Calibri"/>
            </w:rPr>
            <w:t xml:space="preserve">verbod verkoop via </w:t>
          </w:r>
          <w:r>
            <w:rPr>
              <w:rFonts w:eastAsia="Calibri"/>
            </w:rPr>
            <w:t>niet-reguliere kanalen</w:t>
          </w:r>
        </w:p>
        <w:p w:rsidR="00035B05" w:rsidP="00035B05" w:rsidRDefault="00035B05" w14:paraId="09B184B1" w14:textId="77777777">
          <w:pPr>
            <w:rPr>
              <w:rFonts w:eastAsia="Calibri"/>
            </w:rPr>
          </w:pPr>
        </w:p>
        <w:p w:rsidR="00035B05" w:rsidP="00035B05" w:rsidRDefault="00035B05" w14:paraId="7A3C3EDB" w14:textId="7FDA0ED6">
          <w:pPr>
            <w:rPr>
              <w:rFonts w:eastAsia="Calibri"/>
            </w:rPr>
          </w:pPr>
          <w:r>
            <w:rPr>
              <w:rFonts w:eastAsia="Calibri"/>
            </w:rPr>
            <w:t xml:space="preserve">Een deel van de gebruikers koopt tabak en aanverwante producten niet in fysieke winkels, maar in het buitenland of ‘op afstand’ via </w:t>
          </w:r>
          <w:r w:rsidRPr="003F3B3E">
            <w:rPr>
              <w:rFonts w:eastAsia="Calibri"/>
            </w:rPr>
            <w:t>niet-reguliere verkoopkanalen</w:t>
          </w:r>
          <w:r>
            <w:rPr>
              <w:rFonts w:eastAsia="Calibri"/>
            </w:rPr>
            <w:t xml:space="preserve"> </w:t>
          </w:r>
          <w:r>
            <w:rPr>
              <w:rFonts w:eastAsia="Calibri"/>
            </w:rPr>
            <w:lastRenderedPageBreak/>
            <w:t xml:space="preserve">zoals via webwinkels, social media of via een berichtenservice. </w:t>
          </w:r>
          <w:r w:rsidR="00C84F07">
            <w:rPr>
              <w:rFonts w:eastAsia="Calibri"/>
            </w:rPr>
            <w:t xml:space="preserve">Uitbreiding van de verboden voor verkoop van tabak en aanverwante producten in winkels kan maken dat gebruikers zich vaker zullen richten op alternatieve verkoopmethodes zoals </w:t>
          </w:r>
          <w:r w:rsidR="0002228A">
            <w:rPr>
              <w:rFonts w:eastAsia="Calibri"/>
            </w:rPr>
            <w:t>grens</w:t>
          </w:r>
          <w:r w:rsidR="00976EBB">
            <w:rPr>
              <w:rFonts w:eastAsia="Calibri"/>
            </w:rPr>
            <w:t xml:space="preserve">overschrijdende </w:t>
          </w:r>
          <w:r w:rsidR="00737C26">
            <w:rPr>
              <w:rFonts w:eastAsia="Calibri"/>
            </w:rPr>
            <w:t>verkoop</w:t>
          </w:r>
          <w:r w:rsidR="00976EBB">
            <w:rPr>
              <w:rFonts w:eastAsia="Calibri"/>
            </w:rPr>
            <w:t xml:space="preserve"> of illegale </w:t>
          </w:r>
          <w:r w:rsidR="00C84F07">
            <w:rPr>
              <w:rFonts w:eastAsia="Calibri"/>
            </w:rPr>
            <w:t>verkoop op afstand.</w:t>
          </w:r>
          <w:r w:rsidR="00C84F07">
            <w:rPr>
              <w:rStyle w:val="Voetnootmarkering"/>
              <w:rFonts w:eastAsia="Calibri"/>
            </w:rPr>
            <w:footnoteReference w:id="24"/>
          </w:r>
          <w:r w:rsidR="00C84F07">
            <w:rPr>
              <w:rFonts w:eastAsia="Calibri"/>
            </w:rPr>
            <w:t xml:space="preserve"> </w:t>
          </w:r>
          <w:r>
            <w:rPr>
              <w:rFonts w:eastAsia="Calibri"/>
            </w:rPr>
            <w:t xml:space="preserve">Verkoop op afstand is </w:t>
          </w:r>
          <w:r w:rsidRPr="009A5E07">
            <w:rPr>
              <w:rFonts w:eastAsia="Calibri"/>
            </w:rPr>
            <w:t xml:space="preserve">per 1 juli 2023 </w:t>
          </w:r>
          <w:r>
            <w:rPr>
              <w:rFonts w:eastAsia="Calibri"/>
            </w:rPr>
            <w:t xml:space="preserve">verboden </w:t>
          </w:r>
          <w:r w:rsidRPr="009A5E07">
            <w:rPr>
              <w:rFonts w:eastAsia="Calibri"/>
            </w:rPr>
            <w:t xml:space="preserve">(voor een aantal aanverwante producten </w:t>
          </w:r>
          <w:r>
            <w:rPr>
              <w:rFonts w:eastAsia="Calibri"/>
            </w:rPr>
            <w:t>per</w:t>
          </w:r>
          <w:r w:rsidRPr="009A5E07">
            <w:rPr>
              <w:rFonts w:eastAsia="Calibri"/>
            </w:rPr>
            <w:t xml:space="preserve"> 1</w:t>
          </w:r>
          <w:r w:rsidR="005927DC">
            <w:rPr>
              <w:rFonts w:eastAsia="Calibri"/>
            </w:rPr>
            <w:t> </w:t>
          </w:r>
          <w:r w:rsidRPr="009A5E07">
            <w:rPr>
              <w:rFonts w:eastAsia="Calibri"/>
            </w:rPr>
            <w:t>januari 2024)</w:t>
          </w:r>
          <w:r w:rsidR="004B3DB1">
            <w:rPr>
              <w:rFonts w:eastAsia="Calibri"/>
            </w:rPr>
            <w:t>.</w:t>
          </w:r>
          <w:r w:rsidRPr="009A5E07">
            <w:rPr>
              <w:rFonts w:eastAsia="Calibri"/>
              <w:vertAlign w:val="superscript"/>
            </w:rPr>
            <w:footnoteReference w:id="25"/>
          </w:r>
          <w:r>
            <w:rPr>
              <w:rFonts w:eastAsia="Calibri"/>
            </w:rPr>
            <w:t xml:space="preserve"> Het wetsvoorstel regelt dat dit verkoopverbod op afstand voortaan wordt geregeld op wetsniveau in plaats van in het </w:t>
          </w:r>
          <w:r w:rsidRPr="00F35893">
            <w:rPr>
              <w:rFonts w:eastAsia="Calibri"/>
            </w:rPr>
            <w:t>Tabaks- en rookwarenbesluit</w:t>
          </w:r>
          <w:r>
            <w:rPr>
              <w:rFonts w:eastAsia="Calibri"/>
            </w:rPr>
            <w:t>.</w:t>
          </w:r>
          <w:r>
            <w:rPr>
              <w:rStyle w:val="Voetnootmarkering"/>
              <w:rFonts w:eastAsia="Calibri"/>
            </w:rPr>
            <w:footnoteReference w:id="26"/>
          </w:r>
          <w:r w:rsidRPr="00F35893">
            <w:rPr>
              <w:rFonts w:eastAsia="Calibri"/>
            </w:rPr>
            <w:t xml:space="preserve"> </w:t>
          </w:r>
        </w:p>
        <w:p w:rsidR="00035B05" w:rsidP="00035B05" w:rsidRDefault="00035B05" w14:paraId="74445F7A" w14:textId="77777777">
          <w:pPr>
            <w:rPr>
              <w:rFonts w:eastAsia="Calibri"/>
            </w:rPr>
          </w:pPr>
        </w:p>
        <w:p w:rsidR="00035B05" w:rsidP="00035B05" w:rsidRDefault="00035B05" w14:paraId="2A104306" w14:textId="44423DE5">
          <w:pPr>
            <w:rPr>
              <w:rFonts w:eastAsia="Calibri"/>
            </w:rPr>
          </w:pPr>
          <w:r w:rsidRPr="00A97AFA">
            <w:t xml:space="preserve">De </w:t>
          </w:r>
          <w:r>
            <w:t>NVWA concludeert dat de</w:t>
          </w:r>
          <w:r w:rsidRPr="00A97AFA">
            <w:t xml:space="preserve"> illegale handel lastig </w:t>
          </w:r>
          <w:r>
            <w:t xml:space="preserve">is </w:t>
          </w:r>
          <w:r w:rsidRPr="00A97AFA">
            <w:t>aan te pakken</w:t>
          </w:r>
          <w:r>
            <w:t xml:space="preserve"> en dat het wetsvoorstel daar geen </w:t>
          </w:r>
          <w:r w:rsidRPr="00A97AFA">
            <w:t>verbetering in</w:t>
          </w:r>
          <w:r>
            <w:t xml:space="preserve"> brengt</w:t>
          </w:r>
          <w:r w:rsidRPr="00A97AFA">
            <w:t>.</w:t>
          </w:r>
          <w:r>
            <w:rPr>
              <w:rStyle w:val="Voetnootmarkering"/>
            </w:rPr>
            <w:footnoteReference w:id="27"/>
          </w:r>
          <w:r>
            <w:t xml:space="preserve"> Volgens de NVWA zal de verkoop via niet-reguliere verkoopkanalen kunnen toenemen, zoals de verkoop van onder de toonbank, onderlinge verkoop door jongeren, verkoop via social media en berichtenservices en verkoop via dealers.</w:t>
          </w:r>
          <w:r w:rsidR="00DC5E33">
            <w:rPr>
              <w:rStyle w:val="Voetnootmarkering"/>
            </w:rPr>
            <w:footnoteReference w:id="28"/>
          </w:r>
          <w:r>
            <w:t xml:space="preserve"> Afhankelijk van de omvang en vorm van deze niet-reguliere verkoopkanalen kan de handhaving door de NVWA dit niet (volledig) uitbannen. De NVWA zal daarom de impact in kaart brengen die de verschuiving van het aanbod van rookwaren naar niet-reguliere verkooppunten heeft. Op basis van deze verkenning zal de NVWA een nadere duiding geven op de handhaafbaarheid van de verkoopverboden uit de Tabaks- en rookwarenwet</w:t>
          </w:r>
          <w:r>
            <w:rPr>
              <w:rFonts w:eastAsia="Calibri"/>
            </w:rPr>
            <w:t>.</w:t>
          </w:r>
          <w:r>
            <w:rPr>
              <w:rStyle w:val="Voetnootmarkering"/>
              <w:rFonts w:eastAsia="Calibri"/>
            </w:rPr>
            <w:footnoteReference w:id="29"/>
          </w:r>
          <w:r>
            <w:rPr>
              <w:rFonts w:eastAsia="Calibri"/>
            </w:rPr>
            <w:t xml:space="preserve"> </w:t>
          </w:r>
          <w:r w:rsidR="00CB4B8C">
            <w:rPr>
              <w:rFonts w:eastAsia="Calibri"/>
            </w:rPr>
            <w:t xml:space="preserve">Dit betekent </w:t>
          </w:r>
          <w:r>
            <w:t xml:space="preserve">dat </w:t>
          </w:r>
          <w:r w:rsidR="003E3C55">
            <w:t xml:space="preserve">de toelichting nog geen inzicht geeft </w:t>
          </w:r>
          <w:r w:rsidR="00C551EA">
            <w:t>in de mate waarin de verkoopverboden zijn te handhaven.</w:t>
          </w:r>
          <w:r>
            <w:rPr>
              <w:rStyle w:val="Voetnootmarkering"/>
            </w:rPr>
            <w:footnoteReference w:id="30"/>
          </w:r>
        </w:p>
        <w:p w:rsidR="00035B05" w:rsidP="00035B05" w:rsidRDefault="00035B05" w14:paraId="4CE7FB12" w14:textId="77777777">
          <w:pPr>
            <w:rPr>
              <w:rFonts w:eastAsia="Calibri"/>
            </w:rPr>
          </w:pPr>
        </w:p>
        <w:p w:rsidR="00035B05" w:rsidP="00035B05" w:rsidRDefault="00035B05" w14:paraId="7A97BCB9" w14:textId="205B4A11">
          <w:r>
            <w:t xml:space="preserve">Daarnaast </w:t>
          </w:r>
          <w:r w:rsidR="005D201E">
            <w:t>o</w:t>
          </w:r>
          <w:r w:rsidR="00E46B53">
            <w:t xml:space="preserve">ntbreekt </w:t>
          </w:r>
          <w:r w:rsidR="00883F0B">
            <w:t>in de toelichting</w:t>
          </w:r>
          <w:r>
            <w:t xml:space="preserve"> </w:t>
          </w:r>
          <w:r w:rsidR="00A60272">
            <w:t xml:space="preserve">op het wetsvoorstel een beschouwing hoe handhavingsmogelijkheden </w:t>
          </w:r>
          <w:r w:rsidR="007566D9">
            <w:t>van andere toezichthouders</w:t>
          </w:r>
          <w:r w:rsidR="00A60272">
            <w:t xml:space="preserve"> in samenhang </w:t>
          </w:r>
          <w:r w:rsidR="007566D9">
            <w:t xml:space="preserve">ervoor </w:t>
          </w:r>
          <w:r w:rsidR="00A60272">
            <w:t xml:space="preserve">moeten zorgen dat het </w:t>
          </w:r>
          <w:r w:rsidRPr="00CD1463" w:rsidR="00A60272">
            <w:t xml:space="preserve">verbod </w:t>
          </w:r>
          <w:r w:rsidR="00A60272">
            <w:t xml:space="preserve">tot </w:t>
          </w:r>
          <w:r w:rsidRPr="00CD1463" w:rsidR="00A60272">
            <w:t>verkoop via niet-reguliere kanalen</w:t>
          </w:r>
          <w:r w:rsidR="00A60272">
            <w:t xml:space="preserve"> wordt nageleefd. </w:t>
          </w:r>
          <w:r>
            <w:t xml:space="preserve">In dat verband kan worden gewezen op </w:t>
          </w:r>
          <w:r w:rsidR="007566D9">
            <w:t>de</w:t>
          </w:r>
          <w:r>
            <w:t xml:space="preserve"> inzet van de </w:t>
          </w:r>
          <w:r w:rsidRPr="00B112F7">
            <w:t>Douane en</w:t>
          </w:r>
          <w:r>
            <w:t xml:space="preserve"> de</w:t>
          </w:r>
          <w:r w:rsidRPr="00B112F7">
            <w:t xml:space="preserve"> Belastingdienst</w:t>
          </w:r>
          <w:r>
            <w:t>.</w:t>
          </w:r>
          <w:r>
            <w:rPr>
              <w:rStyle w:val="Voetnootmarkering"/>
            </w:rPr>
            <w:footnoteReference w:id="31"/>
          </w:r>
          <w:r>
            <w:t xml:space="preserve"> </w:t>
          </w:r>
        </w:p>
        <w:p w:rsidR="00035B05" w:rsidP="00035B05" w:rsidRDefault="00035B05" w14:paraId="2A300795" w14:textId="77777777"/>
        <w:p w:rsidR="00B86EB6" w:rsidP="00035B05" w:rsidRDefault="00035B05" w14:paraId="5C7F8D7E" w14:textId="640A184F">
          <w:r>
            <w:t xml:space="preserve">De Afdeling adviseert om </w:t>
          </w:r>
          <w:r w:rsidR="004E2E49">
            <w:t xml:space="preserve">in </w:t>
          </w:r>
          <w:r>
            <w:t xml:space="preserve">de toelichting </w:t>
          </w:r>
          <w:r w:rsidR="004E2E49">
            <w:t>verder in te gaan op</w:t>
          </w:r>
          <w:r w:rsidR="00721969">
            <w:t xml:space="preserve"> </w:t>
          </w:r>
          <w:r w:rsidR="00B85E9F">
            <w:t xml:space="preserve">de </w:t>
          </w:r>
          <w:r w:rsidR="00ED66A5">
            <w:t xml:space="preserve">inzet van </w:t>
          </w:r>
          <w:r w:rsidR="00B85E9F">
            <w:t>handhaving</w:t>
          </w:r>
          <w:r w:rsidDel="00ED66A5" w:rsidR="00DD24D6">
            <w:t>smogelijkheden</w:t>
          </w:r>
          <w:r w:rsidR="00AD7A5F">
            <w:t xml:space="preserve"> </w:t>
          </w:r>
          <w:r w:rsidR="00B85E9F">
            <w:t xml:space="preserve">van </w:t>
          </w:r>
          <w:r w:rsidR="003D32CF">
            <w:t xml:space="preserve">het </w:t>
          </w:r>
          <w:r w:rsidRPr="00721969" w:rsidR="00241B4C">
            <w:t>verkoop</w:t>
          </w:r>
          <w:r w:rsidR="003D32CF">
            <w:t>verbod</w:t>
          </w:r>
          <w:r w:rsidRPr="00721969" w:rsidR="00721969">
            <w:t xml:space="preserve"> van tabak en aanverwante producten</w:t>
          </w:r>
          <w:r w:rsidR="00D61677">
            <w:t xml:space="preserve"> </w:t>
          </w:r>
          <w:r w:rsidRPr="00721969" w:rsidR="00D61677">
            <w:t>via niet-reguliere kanalen</w:t>
          </w:r>
          <w:r w:rsidDel="002E0F39" w:rsidR="004E2E49">
            <w:t>,</w:t>
          </w:r>
          <w:r w:rsidDel="002E0F39" w:rsidR="00F54879">
            <w:t xml:space="preserve"> en de </w:t>
          </w:r>
          <w:r w:rsidDel="002E0F39" w:rsidR="00E723C6">
            <w:t xml:space="preserve">samenhang </w:t>
          </w:r>
          <w:r w:rsidDel="002E0F39" w:rsidR="00663B21">
            <w:t>daartussen</w:t>
          </w:r>
          <w:r w:rsidR="00D61677">
            <w:t>.</w:t>
          </w:r>
        </w:p>
        <w:p w:rsidR="00035B05" w:rsidP="00035B05" w:rsidRDefault="00035B05" w14:paraId="7DD85024" w14:textId="77777777"/>
        <w:p w:rsidR="00035B05" w:rsidP="0049414E" w:rsidRDefault="00035B05" w14:paraId="6E877487" w14:textId="77777777">
          <w:pPr>
            <w:pStyle w:val="Kop1"/>
          </w:pPr>
          <w:r>
            <w:t>Toepasselijkheid Caribisch Nederland</w:t>
          </w:r>
        </w:p>
        <w:p w:rsidR="00035B05" w:rsidP="00035B05" w:rsidRDefault="00035B05" w14:paraId="5D8E5E32" w14:textId="77777777"/>
        <w:p w:rsidR="00DB727B" w:rsidP="00DB727B" w:rsidRDefault="00035B05" w14:paraId="55A028A7" w14:textId="1A71364F">
          <w:r>
            <w:t>De voorgestelde verkoopverboden gelden niet voor Bonaire, Sint Eustatius en Saba. Daarvoor</w:t>
          </w:r>
          <w:r w:rsidDel="00CB4111">
            <w:t xml:space="preserve"> </w:t>
          </w:r>
          <w:r w:rsidR="00CB4111">
            <w:t xml:space="preserve">kunnen </w:t>
          </w:r>
          <w:r>
            <w:t xml:space="preserve">goede redenen </w:t>
          </w:r>
          <w:r w:rsidR="00E723C6">
            <w:t>bestaan</w:t>
          </w:r>
          <w:r>
            <w:t xml:space="preserve">, voortkomend uit de specifieke </w:t>
          </w:r>
          <w:r w:rsidRPr="004D7551">
            <w:rPr>
              <w:rFonts w:eastAsia="Calibri"/>
            </w:rPr>
            <w:t>Caribische context</w:t>
          </w:r>
          <w:r>
            <w:rPr>
              <w:rFonts w:eastAsia="Calibri"/>
            </w:rPr>
            <w:t>.</w:t>
          </w:r>
          <w:r>
            <w:rPr>
              <w:rStyle w:val="Voetnootmarkering"/>
              <w:rFonts w:eastAsia="Calibri"/>
            </w:rPr>
            <w:footnoteReference w:id="32"/>
          </w:r>
          <w:r>
            <w:t xml:space="preserve"> In de toelichting op het wetsvoorstel merkt de regering op dat </w:t>
          </w:r>
          <w:r w:rsidR="005927DC">
            <w:t>“</w:t>
          </w:r>
          <w:r>
            <w:t xml:space="preserve">niet realistisch is dat op </w:t>
          </w:r>
          <w:r w:rsidRPr="00ED0537">
            <w:t xml:space="preserve">Sint Eustatius en Saba </w:t>
          </w:r>
          <w:r>
            <w:t>een tabaksspeciaalzaak economisch rendabel is</w:t>
          </w:r>
          <w:r w:rsidR="005927DC">
            <w:t>”</w:t>
          </w:r>
          <w:r w:rsidR="000E65FD">
            <w:t xml:space="preserve"> en</w:t>
          </w:r>
          <w:r>
            <w:t xml:space="preserve"> dat ook op Bonaire </w:t>
          </w:r>
          <w:r w:rsidRPr="00ED0537">
            <w:t xml:space="preserve">invoering van dit wetsvoorstel </w:t>
          </w:r>
          <w:r w:rsidR="005927DC">
            <w:t>“</w:t>
          </w:r>
          <w:r w:rsidRPr="00ED0537">
            <w:t xml:space="preserve">te vergaand </w:t>
          </w:r>
          <w:r>
            <w:t>wordt</w:t>
          </w:r>
          <w:r w:rsidRPr="00ED0537">
            <w:t xml:space="preserve"> geacht</w:t>
          </w:r>
          <w:r w:rsidR="005927DC">
            <w:t>”</w:t>
          </w:r>
          <w:r>
            <w:t>.</w:t>
          </w:r>
          <w:r w:rsidR="000E65FD">
            <w:rPr>
              <w:rStyle w:val="Voetnootmarkering"/>
            </w:rPr>
            <w:footnoteReference w:id="33"/>
          </w:r>
          <w:r w:rsidR="0063691E">
            <w:t xml:space="preserve"> </w:t>
          </w:r>
          <w:r w:rsidR="00A0457D">
            <w:t xml:space="preserve">Het is in dat verband ook van belang te onderkennen dat </w:t>
          </w:r>
          <w:r w:rsidR="00A0457D">
            <w:rPr>
              <w:rFonts w:eastAsia="Calibri" w:cs="Arial"/>
              <w:szCs w:val="18"/>
              <w:shd w:val="clear" w:color="auto" w:fill="FFFFFF"/>
            </w:rPr>
            <w:t xml:space="preserve">vanwege het insulaire karakter van Caribisch Nederland de gebruikers daar, anders dan in Europees Nederland, niet binnen een realistische reisafstand een </w:t>
          </w:r>
          <w:r w:rsidR="00A0457D">
            <w:t>tabaksspeciaalzaak kunnen bezoeken.</w:t>
          </w:r>
          <w:r w:rsidR="0014702E">
            <w:t xml:space="preserve"> De toelichting kan op dat punt worden aangevuld om te verduidelijken waarom </w:t>
          </w:r>
          <w:r w:rsidR="00DB727B">
            <w:t xml:space="preserve">de situatie in Caribisch Nederland anders is dan </w:t>
          </w:r>
          <w:r w:rsidR="00E679EE">
            <w:t xml:space="preserve">die </w:t>
          </w:r>
          <w:r w:rsidR="00DB727B">
            <w:t>in Europees Nederland.</w:t>
          </w:r>
        </w:p>
        <w:p w:rsidR="00DB727B" w:rsidP="00DB727B" w:rsidRDefault="00DB727B" w14:paraId="0113FBDB" w14:textId="77777777"/>
        <w:p w:rsidR="0063691E" w:rsidP="0063691E" w:rsidRDefault="000765D6" w14:paraId="5C6353D3" w14:textId="5A1933CB">
          <w:pPr>
            <w:rPr>
              <w:rFonts w:eastAsia="Calibri"/>
            </w:rPr>
          </w:pPr>
          <w:r>
            <w:rPr>
              <w:rFonts w:eastAsia="Calibri"/>
            </w:rPr>
            <w:t xml:space="preserve">Bovendien </w:t>
          </w:r>
          <w:r w:rsidR="00BE2A2A">
            <w:rPr>
              <w:rFonts w:eastAsia="Calibri"/>
            </w:rPr>
            <w:t xml:space="preserve">gaat de toelichting niet in op het feit dat de Tabaks- en rookwarenwet (vooralsnog) in zijn geheel niet van toepassing is op Caribisch Nederland. </w:t>
          </w:r>
          <w:r w:rsidR="0063691E">
            <w:rPr>
              <w:rFonts w:eastAsia="Calibri"/>
            </w:rPr>
            <w:t>De toepasselijke regelgeving is zeer beperkt van omvang.</w:t>
          </w:r>
          <w:r w:rsidR="0063691E">
            <w:rPr>
              <w:rStyle w:val="Voetnootmarkering"/>
              <w:rFonts w:eastAsia="Calibri"/>
            </w:rPr>
            <w:footnoteReference w:id="34"/>
          </w:r>
          <w:r w:rsidR="0063691E">
            <w:rPr>
              <w:rFonts w:eastAsia="Calibri"/>
            </w:rPr>
            <w:t xml:space="preserve"> </w:t>
          </w:r>
          <w:r w:rsidR="0073700E">
            <w:rPr>
              <w:rFonts w:eastAsia="Calibri"/>
            </w:rPr>
            <w:t>Invoering</w:t>
          </w:r>
          <w:r w:rsidR="00BF41CA">
            <w:rPr>
              <w:rFonts w:eastAsia="Calibri"/>
            </w:rPr>
            <w:t xml:space="preserve"> van maatregelen uit de </w:t>
          </w:r>
          <w:r w:rsidR="009F5F8C">
            <w:rPr>
              <w:rFonts w:eastAsia="Calibri"/>
            </w:rPr>
            <w:t xml:space="preserve">Tabaks- en rookwarenwet </w:t>
          </w:r>
          <w:r w:rsidR="00753F76">
            <w:rPr>
              <w:rFonts w:eastAsia="Calibri"/>
            </w:rPr>
            <w:t>is echter voor de regering niet als prioritair verklaard</w:t>
          </w:r>
          <w:r w:rsidR="00D47AEF">
            <w:rPr>
              <w:rFonts w:eastAsia="Calibri"/>
            </w:rPr>
            <w:t xml:space="preserve"> </w:t>
          </w:r>
          <w:r w:rsidR="009F5F8C">
            <w:rPr>
              <w:rFonts w:eastAsia="Calibri"/>
            </w:rPr>
            <w:t>in het voornemen om een inhaalslag te maken ten aanzien van het toepassen van wetgeving in Caribisch Nederland.</w:t>
          </w:r>
          <w:r w:rsidR="00A5729E">
            <w:rPr>
              <w:rStyle w:val="Voetnootmarkering"/>
              <w:rFonts w:eastAsia="Calibri"/>
            </w:rPr>
            <w:footnoteReference w:id="35"/>
          </w:r>
          <w:r w:rsidR="009F5F8C">
            <w:rPr>
              <w:rFonts w:eastAsia="Calibri"/>
            </w:rPr>
            <w:t xml:space="preserve"> </w:t>
          </w:r>
          <w:r w:rsidR="00335CAA">
            <w:rPr>
              <w:rFonts w:eastAsia="Calibri"/>
            </w:rPr>
            <w:t>Het is de vraag</w:t>
          </w:r>
          <w:r w:rsidR="00D66EE8">
            <w:rPr>
              <w:rFonts w:eastAsia="Calibri"/>
            </w:rPr>
            <w:t xml:space="preserve"> </w:t>
          </w:r>
          <w:r w:rsidR="0063691E">
            <w:rPr>
              <w:rFonts w:eastAsia="Calibri"/>
            </w:rPr>
            <w:t xml:space="preserve">of </w:t>
          </w:r>
          <w:r w:rsidR="004B4E86">
            <w:rPr>
              <w:rFonts w:eastAsia="Calibri"/>
            </w:rPr>
            <w:t xml:space="preserve">het invoeren van wettelijke </w:t>
          </w:r>
          <w:r w:rsidR="00982F26">
            <w:rPr>
              <w:rFonts w:eastAsia="Calibri"/>
            </w:rPr>
            <w:t xml:space="preserve">regels </w:t>
          </w:r>
          <w:r w:rsidR="007D52BA">
            <w:rPr>
              <w:rFonts w:eastAsia="Calibri"/>
            </w:rPr>
            <w:t>over</w:t>
          </w:r>
          <w:r w:rsidR="00982F26">
            <w:rPr>
              <w:rFonts w:eastAsia="Calibri"/>
            </w:rPr>
            <w:t xml:space="preserve"> </w:t>
          </w:r>
          <w:r w:rsidR="00FE5FA0">
            <w:rPr>
              <w:rFonts w:eastAsia="Calibri"/>
            </w:rPr>
            <w:t xml:space="preserve">de verkoop en het gebruik van </w:t>
          </w:r>
          <w:r w:rsidR="00982F26">
            <w:rPr>
              <w:rFonts w:eastAsia="Calibri"/>
            </w:rPr>
            <w:t>tabaks</w:t>
          </w:r>
          <w:r w:rsidR="004505A4">
            <w:rPr>
              <w:rFonts w:eastAsia="Calibri"/>
            </w:rPr>
            <w:t>producten</w:t>
          </w:r>
          <w:r w:rsidR="00982F26">
            <w:rPr>
              <w:rFonts w:eastAsia="Calibri"/>
            </w:rPr>
            <w:t xml:space="preserve"> en aanverwante producten</w:t>
          </w:r>
          <w:r w:rsidR="00A710D8">
            <w:rPr>
              <w:rFonts w:eastAsia="Calibri"/>
            </w:rPr>
            <w:t>, passend binnen de lokale omstandigheden,</w:t>
          </w:r>
          <w:r w:rsidR="004505A4">
            <w:rPr>
              <w:rFonts w:eastAsia="Calibri"/>
            </w:rPr>
            <w:t xml:space="preserve"> </w:t>
          </w:r>
          <w:r w:rsidR="005D26EE">
            <w:rPr>
              <w:rFonts w:eastAsia="Calibri"/>
            </w:rPr>
            <w:t xml:space="preserve">niet meer </w:t>
          </w:r>
          <w:r w:rsidR="00C434A5">
            <w:rPr>
              <w:rFonts w:eastAsia="Calibri"/>
            </w:rPr>
            <w:t>urgentie heeft</w:t>
          </w:r>
          <w:r w:rsidR="005D26EE">
            <w:rPr>
              <w:rFonts w:eastAsia="Calibri"/>
            </w:rPr>
            <w:t>.</w:t>
          </w:r>
          <w:r w:rsidR="00F86B8D">
            <w:rPr>
              <w:rFonts w:eastAsia="Calibri"/>
            </w:rPr>
            <w:t xml:space="preserve"> </w:t>
          </w:r>
          <w:r w:rsidR="005D26EE">
            <w:rPr>
              <w:rFonts w:eastAsia="Calibri"/>
            </w:rPr>
            <w:t xml:space="preserve">Zo </w:t>
          </w:r>
          <w:r w:rsidR="00016D4B">
            <w:rPr>
              <w:rFonts w:eastAsia="Calibri"/>
            </w:rPr>
            <w:t>wijst d</w:t>
          </w:r>
          <w:r w:rsidR="00CC4356">
            <w:rPr>
              <w:rFonts w:eastAsia="Calibri"/>
            </w:rPr>
            <w:t xml:space="preserve">e Afdeling er op dat </w:t>
          </w:r>
          <w:r w:rsidRPr="005D7CB0" w:rsidR="0077797A">
            <w:rPr>
              <w:rFonts w:eastAsia="Calibri"/>
            </w:rPr>
            <w:t>het bestuurscollege van Bonaire</w:t>
          </w:r>
          <w:r w:rsidR="0077797A">
            <w:rPr>
              <w:rFonts w:eastAsia="Calibri"/>
            </w:rPr>
            <w:t xml:space="preserve"> </w:t>
          </w:r>
          <w:r w:rsidR="00CC4356">
            <w:rPr>
              <w:rFonts w:eastAsia="Calibri"/>
            </w:rPr>
            <w:t xml:space="preserve">onlangs </w:t>
          </w:r>
          <w:r w:rsidR="0077797A">
            <w:rPr>
              <w:rFonts w:eastAsia="Calibri"/>
            </w:rPr>
            <w:t xml:space="preserve">het voornemen </w:t>
          </w:r>
          <w:r w:rsidR="00CC4356">
            <w:rPr>
              <w:rFonts w:eastAsia="Calibri"/>
            </w:rPr>
            <w:t>heeft</w:t>
          </w:r>
          <w:r w:rsidR="00C31BA4">
            <w:rPr>
              <w:rFonts w:eastAsia="Calibri"/>
            </w:rPr>
            <w:t xml:space="preserve"> </w:t>
          </w:r>
          <w:r w:rsidR="0077797A">
            <w:rPr>
              <w:rFonts w:eastAsia="Calibri"/>
            </w:rPr>
            <w:t xml:space="preserve">geuit om, bij gebreke van een wettelijke voorziening, </w:t>
          </w:r>
          <w:r w:rsidR="005B7D48">
            <w:rPr>
              <w:rFonts w:eastAsia="Calibri"/>
            </w:rPr>
            <w:t xml:space="preserve">zelf </w:t>
          </w:r>
          <w:r w:rsidR="0077797A">
            <w:rPr>
              <w:rFonts w:eastAsia="Calibri"/>
            </w:rPr>
            <w:t xml:space="preserve">in regels te gaan voorzien om </w:t>
          </w:r>
          <w:r w:rsidR="005927DC">
            <w:rPr>
              <w:rFonts w:eastAsia="Calibri"/>
            </w:rPr>
            <w:t xml:space="preserve">vooral </w:t>
          </w:r>
          <w:r w:rsidR="0077797A">
            <w:rPr>
              <w:rFonts w:eastAsia="Calibri"/>
            </w:rPr>
            <w:t>jongeren te beschermen.</w:t>
          </w:r>
          <w:r w:rsidR="0077797A">
            <w:rPr>
              <w:rStyle w:val="Voetnootmarkering"/>
              <w:rFonts w:eastAsia="Calibri"/>
            </w:rPr>
            <w:footnoteReference w:id="36"/>
          </w:r>
          <w:r w:rsidR="0077797A">
            <w:rPr>
              <w:rFonts w:eastAsia="Calibri"/>
            </w:rPr>
            <w:t xml:space="preserve"> </w:t>
          </w:r>
          <w:r w:rsidR="0063691E">
            <w:rPr>
              <w:rFonts w:eastAsia="Calibri"/>
            </w:rPr>
            <w:t xml:space="preserve">In de toelichting merkt de regering op dat het meer opportuun wordt geacht om </w:t>
          </w:r>
          <w:r w:rsidRPr="00454F41" w:rsidR="0063691E">
            <w:rPr>
              <w:rFonts w:eastAsia="Calibri"/>
            </w:rPr>
            <w:t>andere regels uit de Tabaks- en rookwarenwet</w:t>
          </w:r>
          <w:r w:rsidR="0063691E">
            <w:rPr>
              <w:rFonts w:eastAsia="Calibri"/>
            </w:rPr>
            <w:t xml:space="preserve"> in te voeren </w:t>
          </w:r>
          <w:r w:rsidR="0063691E">
            <w:rPr>
              <w:rFonts w:eastAsia="Calibri"/>
            </w:rPr>
            <w:lastRenderedPageBreak/>
            <w:t>alvorens over te gaan tot een beperking van verkooppunten.</w:t>
          </w:r>
          <w:r w:rsidR="0063691E">
            <w:rPr>
              <w:rStyle w:val="Voetnootmarkering"/>
              <w:rFonts w:eastAsia="Calibri"/>
            </w:rPr>
            <w:footnoteReference w:id="37"/>
          </w:r>
          <w:r w:rsidR="0063691E">
            <w:rPr>
              <w:rFonts w:eastAsia="Calibri"/>
            </w:rPr>
            <w:t xml:space="preserve"> Onduidelijk is om welke regels het dan gaat en wat de concrete voornemens hiertoe zijn. </w:t>
          </w:r>
        </w:p>
        <w:p w:rsidR="0063691E" w:rsidP="00035B05" w:rsidRDefault="0063691E" w14:paraId="6E6370A2" w14:textId="77777777"/>
        <w:p w:rsidRPr="0049414E" w:rsidR="00A43FD6" w:rsidRDefault="00035B05" w14:paraId="31FE43EF" w14:textId="515FEA0B">
          <w:pPr>
            <w:rPr>
              <w:rFonts w:eastAsia="Calibri"/>
            </w:rPr>
          </w:pPr>
          <w:r w:rsidRPr="004D7551">
            <w:rPr>
              <w:rFonts w:eastAsia="Calibri"/>
            </w:rPr>
            <w:t xml:space="preserve">De Afdeling adviseert </w:t>
          </w:r>
          <w:r>
            <w:rPr>
              <w:rFonts w:eastAsia="Calibri"/>
            </w:rPr>
            <w:t xml:space="preserve">om </w:t>
          </w:r>
          <w:r w:rsidR="00287D71">
            <w:rPr>
              <w:rFonts w:eastAsia="Calibri"/>
            </w:rPr>
            <w:t xml:space="preserve">in </w:t>
          </w:r>
          <w:r w:rsidRPr="004D7551">
            <w:rPr>
              <w:rFonts w:eastAsia="Calibri"/>
            </w:rPr>
            <w:t>de toelichting</w:t>
          </w:r>
          <w:r>
            <w:rPr>
              <w:rFonts w:eastAsia="Calibri"/>
            </w:rPr>
            <w:t xml:space="preserve"> </w:t>
          </w:r>
          <w:r w:rsidR="007E6FD3">
            <w:rPr>
              <w:rFonts w:eastAsia="Calibri"/>
            </w:rPr>
            <w:t xml:space="preserve">te </w:t>
          </w:r>
          <w:r w:rsidR="00EB76DA">
            <w:rPr>
              <w:rFonts w:eastAsia="Calibri"/>
            </w:rPr>
            <w:t>verduidelijken</w:t>
          </w:r>
          <w:r w:rsidR="00287D71">
            <w:rPr>
              <w:rFonts w:eastAsia="Calibri"/>
            </w:rPr>
            <w:t xml:space="preserve"> </w:t>
          </w:r>
          <w:r w:rsidR="00A14768">
            <w:rPr>
              <w:rFonts w:eastAsia="Calibri"/>
            </w:rPr>
            <w:t xml:space="preserve">waarom het wetsvoorstel niet van toepassing is op </w:t>
          </w:r>
          <w:r>
            <w:rPr>
              <w:rFonts w:eastAsia="Calibri"/>
            </w:rPr>
            <w:t>Caribisch Nederland</w:t>
          </w:r>
          <w:r w:rsidR="007C6B49">
            <w:rPr>
              <w:rFonts w:eastAsia="Calibri"/>
            </w:rPr>
            <w:t xml:space="preserve"> en daarbij </w:t>
          </w:r>
          <w:r w:rsidR="006136A1">
            <w:rPr>
              <w:rFonts w:eastAsia="Calibri"/>
            </w:rPr>
            <w:t xml:space="preserve">verder in te gaan op </w:t>
          </w:r>
          <w:r w:rsidR="009328B0">
            <w:rPr>
              <w:rFonts w:eastAsia="Calibri"/>
            </w:rPr>
            <w:t xml:space="preserve">een mogelijk tijdpad voor </w:t>
          </w:r>
          <w:r w:rsidR="006136A1">
            <w:rPr>
              <w:rFonts w:eastAsia="Calibri"/>
            </w:rPr>
            <w:t>de toepassing van verschillende maatregelen uit de Tabaks- en rookwarenwet in Caribisch Nederland.</w:t>
          </w:r>
          <w:r w:rsidR="007C6B49">
            <w:rPr>
              <w:rFonts w:eastAsia="Calibri"/>
            </w:rPr>
            <w:t xml:space="preserve"> </w:t>
          </w:r>
        </w:p>
      </w:sdtContent>
    </w:sdt>
    <w:p w:rsidR="001978DD" w:rsidRDefault="001978DD" w14:paraId="565742DA" w14:textId="77777777"/>
    <w:p w:rsidR="005927DC" w:rsidRDefault="005927DC" w14:paraId="7A4D7D73" w14:textId="77777777"/>
    <w:sdt>
      <w:sdtPr>
        <w:tag w:val="bmDictum"/>
        <w:id w:val="-1361501483"/>
        <w:lock w:val="sdtLocked"/>
        <w:placeholder>
          <w:docPart w:val="DefaultPlaceholder_-1854013440"/>
        </w:placeholder>
      </w:sdtPr>
      <w:sdtEndPr/>
      <w:sdtContent>
        <w:p w:rsidR="001978DD" w:rsidP="00017C54" w:rsidRDefault="00BE197E" w14:paraId="565742DB" w14:textId="73C33384">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ectPr w:rsidR="001978DD" w:rsidSect="00904E91">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514B1" w14:textId="77777777" w:rsidR="004F3B9C" w:rsidRDefault="004F3B9C">
      <w:r>
        <w:separator/>
      </w:r>
    </w:p>
  </w:endnote>
  <w:endnote w:type="continuationSeparator" w:id="0">
    <w:p w14:paraId="35956013" w14:textId="77777777" w:rsidR="004F3B9C" w:rsidRDefault="004F3B9C">
      <w:r>
        <w:continuationSeparator/>
      </w:r>
    </w:p>
  </w:endnote>
  <w:endnote w:type="continuationNotice" w:id="1">
    <w:p w14:paraId="3BCAF337" w14:textId="77777777" w:rsidR="004F3B9C" w:rsidRDefault="004F3B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742DE"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CF46F9" w14:paraId="565742E1" w14:textId="77777777" w:rsidTr="00D90098">
      <w:tc>
        <w:tcPr>
          <w:tcW w:w="4815" w:type="dxa"/>
        </w:tcPr>
        <w:p w14:paraId="565742DF" w14:textId="77777777" w:rsidR="00D90098" w:rsidRDefault="00D90098" w:rsidP="00D90098">
          <w:pPr>
            <w:pStyle w:val="Voettekst"/>
          </w:pPr>
        </w:p>
      </w:tc>
      <w:tc>
        <w:tcPr>
          <w:tcW w:w="4247" w:type="dxa"/>
        </w:tcPr>
        <w:p w14:paraId="565742E0" w14:textId="77777777" w:rsidR="00D90098" w:rsidRDefault="00D90098" w:rsidP="00D90098">
          <w:pPr>
            <w:pStyle w:val="Voettekst"/>
            <w:jc w:val="right"/>
          </w:pPr>
        </w:p>
      </w:tc>
    </w:tr>
  </w:tbl>
  <w:p w14:paraId="565742E2"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C3D3" w14:textId="60C92227" w:rsidR="00904E91" w:rsidRPr="00904E91" w:rsidRDefault="00904E91">
    <w:pPr>
      <w:pStyle w:val="Voettekst"/>
      <w:rPr>
        <w:rFonts w:ascii="Bembo" w:hAnsi="Bembo"/>
        <w:sz w:val="32"/>
      </w:rPr>
    </w:pPr>
    <w:r w:rsidRPr="00904E91">
      <w:rPr>
        <w:rFonts w:ascii="Bembo" w:hAnsi="Bembo"/>
        <w:sz w:val="32"/>
      </w:rPr>
      <w:t>AAN DE KONING</w:t>
    </w:r>
  </w:p>
  <w:p w14:paraId="42471373" w14:textId="77777777" w:rsidR="00904E91" w:rsidRDefault="00904E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F92B8" w14:textId="77777777" w:rsidR="004F3B9C" w:rsidRDefault="004F3B9C">
      <w:r>
        <w:separator/>
      </w:r>
    </w:p>
  </w:footnote>
  <w:footnote w:type="continuationSeparator" w:id="0">
    <w:p w14:paraId="12B2FEDD" w14:textId="77777777" w:rsidR="004F3B9C" w:rsidRDefault="004F3B9C">
      <w:r>
        <w:continuationSeparator/>
      </w:r>
    </w:p>
  </w:footnote>
  <w:footnote w:type="continuationNotice" w:id="1">
    <w:p w14:paraId="1E79DECA" w14:textId="77777777" w:rsidR="004F3B9C" w:rsidRDefault="004F3B9C"/>
  </w:footnote>
  <w:footnote w:id="2">
    <w:p w14:paraId="157CF595" w14:textId="77777777" w:rsidR="00035B05" w:rsidRPr="008F7868" w:rsidRDefault="00035B05" w:rsidP="00035B05">
      <w:pPr>
        <w:pStyle w:val="Voetnoottekst"/>
      </w:pPr>
      <w:r w:rsidRPr="008F7868">
        <w:rPr>
          <w:rStyle w:val="Voetnootmarkering"/>
        </w:rPr>
        <w:footnoteRef/>
      </w:r>
      <w:r w:rsidRPr="008F7868">
        <w:t xml:space="preserve"> </w:t>
      </w:r>
      <w:r w:rsidRPr="001E4917">
        <w:t>Artikel 5.3 van het Tabaks- en rookwarenbesluit. Zie Stb. 2019, 308.</w:t>
      </w:r>
    </w:p>
  </w:footnote>
  <w:footnote w:id="3">
    <w:p w14:paraId="75E61710" w14:textId="77777777" w:rsidR="00035B05" w:rsidRDefault="00035B05" w:rsidP="00035B05">
      <w:pPr>
        <w:pStyle w:val="Voetnoottekst"/>
      </w:pPr>
      <w:r>
        <w:rPr>
          <w:rStyle w:val="Voetnootmarkering"/>
        </w:rPr>
        <w:footnoteRef/>
      </w:r>
      <w:r>
        <w:t xml:space="preserve"> </w:t>
      </w:r>
      <w:r w:rsidRPr="001E4917">
        <w:t>Artikel 5.</w:t>
      </w:r>
      <w:r>
        <w:t>5</w:t>
      </w:r>
      <w:r w:rsidRPr="001E4917">
        <w:t xml:space="preserve"> van het Tabaks- en rookwarenbesluit. Zie </w:t>
      </w:r>
      <w:hyperlink r:id="rId1" w:history="1">
        <w:r w:rsidRPr="000738B5">
          <w:rPr>
            <w:rStyle w:val="Hyperlink"/>
            <w:color w:val="auto"/>
            <w:u w:val="none"/>
          </w:rPr>
          <w:t>Stb. 2023, 141</w:t>
        </w:r>
      </w:hyperlink>
      <w:r w:rsidRPr="001E4917">
        <w:t>.</w:t>
      </w:r>
    </w:p>
  </w:footnote>
  <w:footnote w:id="4">
    <w:p w14:paraId="170FBB06" w14:textId="77777777" w:rsidR="00035B05" w:rsidRDefault="00035B05" w:rsidP="00035B05">
      <w:pPr>
        <w:pStyle w:val="Voetnoottekst"/>
      </w:pPr>
      <w:r>
        <w:rPr>
          <w:rStyle w:val="Voetnootmarkering"/>
        </w:rPr>
        <w:footnoteRef/>
      </w:r>
      <w:r>
        <w:t xml:space="preserve"> </w:t>
      </w:r>
      <w:r w:rsidRPr="001E4917">
        <w:t>Artikel 5.</w:t>
      </w:r>
      <w:r>
        <w:t>2, tweede lid,</w:t>
      </w:r>
      <w:r w:rsidRPr="001E4917">
        <w:t xml:space="preserve"> van het Tabaks- en rookwarenbesluit. </w:t>
      </w:r>
      <w:r>
        <w:t xml:space="preserve">Zie </w:t>
      </w:r>
      <w:hyperlink r:id="rId2" w:history="1">
        <w:r w:rsidRPr="000738B5">
          <w:rPr>
            <w:rStyle w:val="Hyperlink"/>
            <w:color w:val="auto"/>
            <w:u w:val="none"/>
          </w:rPr>
          <w:t>Stb. 2024, 89</w:t>
        </w:r>
      </w:hyperlink>
      <w:r>
        <w:t>.</w:t>
      </w:r>
    </w:p>
  </w:footnote>
  <w:footnote w:id="5">
    <w:p w14:paraId="22E5E4D7" w14:textId="77777777" w:rsidR="00DF76F4" w:rsidRDefault="00DF76F4" w:rsidP="00DF76F4">
      <w:pPr>
        <w:pStyle w:val="Voetnoottekst"/>
      </w:pPr>
      <w:r>
        <w:rPr>
          <w:rStyle w:val="Voetnootmarkering"/>
        </w:rPr>
        <w:footnoteRef/>
      </w:r>
      <w:r>
        <w:t xml:space="preserve"> </w:t>
      </w:r>
      <w:r w:rsidRPr="001E4917">
        <w:t>Bijlage bij Kamerstukken II 2018/19, 32793, nr. 339.</w:t>
      </w:r>
    </w:p>
  </w:footnote>
  <w:footnote w:id="6">
    <w:p w14:paraId="32B0D5A2" w14:textId="77777777" w:rsidR="00035B05" w:rsidRDefault="00035B05" w:rsidP="00035B05">
      <w:pPr>
        <w:pStyle w:val="Voetnoottekst"/>
      </w:pPr>
      <w:r>
        <w:rPr>
          <w:rStyle w:val="Voetnootmarkering"/>
        </w:rPr>
        <w:footnoteRef/>
      </w:r>
      <w:r>
        <w:t xml:space="preserve"> </w:t>
      </w:r>
      <w:hyperlink r:id="rId3" w:history="1">
        <w:r w:rsidRPr="00E837FB">
          <w:rPr>
            <w:rStyle w:val="Hyperlink"/>
            <w:color w:val="auto"/>
            <w:u w:val="none"/>
          </w:rPr>
          <w:t>Stb. 2025, 118</w:t>
        </w:r>
      </w:hyperlink>
      <w:r>
        <w:t>.</w:t>
      </w:r>
    </w:p>
  </w:footnote>
  <w:footnote w:id="7">
    <w:p w14:paraId="45007A59" w14:textId="77777777" w:rsidR="00035B05" w:rsidRDefault="00035B05" w:rsidP="00035B05">
      <w:pPr>
        <w:pStyle w:val="Voetnoottekst"/>
      </w:pPr>
      <w:r>
        <w:rPr>
          <w:rStyle w:val="Voetnootmarkering"/>
        </w:rPr>
        <w:footnoteRef/>
      </w:r>
      <w:r>
        <w:t xml:space="preserve"> Voorgesteld artikel 7, vierde lid, aanhef en onder a, en artikel 7a van het wetsvoorstel.</w:t>
      </w:r>
    </w:p>
  </w:footnote>
  <w:footnote w:id="8">
    <w:p w14:paraId="3E6281A6" w14:textId="77777777" w:rsidR="00035B05" w:rsidRDefault="00035B05" w:rsidP="00035B05">
      <w:pPr>
        <w:pStyle w:val="Voetnoottekst"/>
      </w:pPr>
      <w:r>
        <w:rPr>
          <w:rStyle w:val="Voetnootmarkering"/>
        </w:rPr>
        <w:footnoteRef/>
      </w:r>
      <w:r>
        <w:t xml:space="preserve"> Voorgesteld artikel 7, vierde lid, aanhef en onder b, en artikel 7a van het wetsvoorstel.</w:t>
      </w:r>
    </w:p>
  </w:footnote>
  <w:footnote w:id="9">
    <w:p w14:paraId="6414848F" w14:textId="77777777" w:rsidR="00035B05" w:rsidRPr="00337C2D" w:rsidRDefault="00035B05" w:rsidP="00035B05">
      <w:pPr>
        <w:pStyle w:val="Voetnoottekst"/>
      </w:pPr>
      <w:r>
        <w:rPr>
          <w:rStyle w:val="Voetnootmarkering"/>
        </w:rPr>
        <w:footnoteRef/>
      </w:r>
      <w:r>
        <w:t xml:space="preserve"> Voorgesteld artikel 7</w:t>
      </w:r>
      <w:r w:rsidRPr="00337C2D">
        <w:t>, eerste lid, van het wetsvoorstel.</w:t>
      </w:r>
    </w:p>
  </w:footnote>
  <w:footnote w:id="10">
    <w:p w14:paraId="795541F0" w14:textId="5F4703DC" w:rsidR="009405B5" w:rsidRPr="00337C2D" w:rsidRDefault="009405B5" w:rsidP="009405B5">
      <w:pPr>
        <w:rPr>
          <w:sz w:val="20"/>
          <w:szCs w:val="20"/>
          <w:u w:val="single"/>
        </w:rPr>
      </w:pPr>
      <w:r w:rsidRPr="00337C2D">
        <w:rPr>
          <w:rStyle w:val="Voetnootmarkering"/>
          <w:sz w:val="20"/>
          <w:szCs w:val="20"/>
        </w:rPr>
        <w:footnoteRef/>
      </w:r>
      <w:r w:rsidRPr="00337C2D">
        <w:rPr>
          <w:sz w:val="20"/>
          <w:szCs w:val="20"/>
        </w:rPr>
        <w:t xml:space="preserve"> Dit geldt ook voor </w:t>
      </w:r>
      <w:r w:rsidRPr="00337C2D">
        <w:rPr>
          <w:rFonts w:eastAsia="Calibri"/>
          <w:sz w:val="20"/>
          <w:szCs w:val="20"/>
        </w:rPr>
        <w:t xml:space="preserve">de verkoop op verplaatsbare fysieke locaties, zoals huis-aan-huis of op festivals. </w:t>
      </w:r>
    </w:p>
    <w:p w14:paraId="262B995A" w14:textId="56CF8A0C" w:rsidR="009405B5" w:rsidRDefault="009405B5">
      <w:pPr>
        <w:pStyle w:val="Voetnoottekst"/>
      </w:pPr>
    </w:p>
  </w:footnote>
  <w:footnote w:id="11">
    <w:p w14:paraId="2472B8C5" w14:textId="77777777" w:rsidR="00156FA9" w:rsidRPr="0086763F" w:rsidRDefault="00156FA9" w:rsidP="00156FA9">
      <w:pPr>
        <w:pStyle w:val="Voetnoottekst"/>
      </w:pPr>
      <w:r w:rsidRPr="0086763F">
        <w:rPr>
          <w:rStyle w:val="Voetnootmarkering"/>
          <w:rFonts w:eastAsiaTheme="majorEastAsia"/>
        </w:rPr>
        <w:footnoteRef/>
      </w:r>
      <w:r w:rsidRPr="0086763F">
        <w:t xml:space="preserve"> </w:t>
      </w:r>
      <w:r w:rsidRPr="0086763F">
        <w:rPr>
          <w:rFonts w:eastAsia="Univers" w:cs="Univers"/>
        </w:rPr>
        <w:t xml:space="preserve">Artikel 1, eerste lid, van het wetsvoorstel </w:t>
      </w:r>
    </w:p>
  </w:footnote>
  <w:footnote w:id="12">
    <w:p w14:paraId="3B3B1879" w14:textId="1C617D5D" w:rsidR="00C51D68" w:rsidRPr="00633CAE" w:rsidRDefault="00C51D68" w:rsidP="00C51D68">
      <w:pPr>
        <w:pStyle w:val="Voetnoottekst"/>
        <w:rPr>
          <w:rFonts w:eastAsia="Univers" w:cs="Univers"/>
          <w:sz w:val="17"/>
          <w:szCs w:val="17"/>
        </w:rPr>
      </w:pPr>
      <w:r w:rsidRPr="0086763F">
        <w:rPr>
          <w:rStyle w:val="Voetnootmarkering"/>
          <w:rFonts w:eastAsia="Univers" w:cs="Univers"/>
        </w:rPr>
        <w:footnoteRef/>
      </w:r>
      <w:r w:rsidRPr="0086763F">
        <w:rPr>
          <w:rFonts w:eastAsia="Univers" w:cs="Univers"/>
        </w:rPr>
        <w:t xml:space="preserve"> </w:t>
      </w:r>
      <w:r w:rsidR="00D86235">
        <w:rPr>
          <w:rFonts w:eastAsia="Univers" w:cs="Univers"/>
        </w:rPr>
        <w:t>Artikel 1 van de Dienstenwet.</w:t>
      </w:r>
      <w:r w:rsidRPr="0086763F">
        <w:rPr>
          <w:rFonts w:eastAsia="Univers" w:cs="Univers"/>
        </w:rPr>
        <w:t xml:space="preserve"> </w:t>
      </w:r>
      <w:r w:rsidR="00E447CC">
        <w:rPr>
          <w:rFonts w:eastAsia="Univers" w:cs="Univers"/>
        </w:rPr>
        <w:t xml:space="preserve">Zie ook: </w:t>
      </w:r>
      <w:r w:rsidR="00BE2EC4" w:rsidRPr="0086763F">
        <w:rPr>
          <w:rFonts w:eastAsia="Univers" w:cs="Univers"/>
        </w:rPr>
        <w:t xml:space="preserve">HvJ EU </w:t>
      </w:r>
      <w:r w:rsidR="00EF1250" w:rsidRPr="0086763F">
        <w:rPr>
          <w:rFonts w:eastAsia="Univers" w:cs="Univers"/>
        </w:rPr>
        <w:t>30 januari 2018</w:t>
      </w:r>
      <w:r w:rsidR="00EA48E9" w:rsidRPr="0086763F">
        <w:rPr>
          <w:rFonts w:eastAsia="Univers" w:cs="Univers"/>
        </w:rPr>
        <w:t>,</w:t>
      </w:r>
      <w:r w:rsidR="00EF1250" w:rsidRPr="0086763F">
        <w:rPr>
          <w:rFonts w:eastAsia="Univers" w:cs="Univers"/>
        </w:rPr>
        <w:t xml:space="preserve"> </w:t>
      </w:r>
      <w:hyperlink r:id="rId4" w:history="1">
        <w:r w:rsidRPr="0086763F">
          <w:rPr>
            <w:rStyle w:val="Hyperlink"/>
            <w:rFonts w:eastAsia="Univers" w:cs="Univers"/>
            <w:color w:val="auto"/>
            <w:u w:val="none"/>
          </w:rPr>
          <w:t>C</w:t>
        </w:r>
        <w:r w:rsidRPr="0086763F">
          <w:rPr>
            <w:rStyle w:val="Hyperlink"/>
            <w:rFonts w:eastAsia="Univers" w:cs="Cambria Math"/>
            <w:color w:val="auto"/>
            <w:u w:val="none"/>
          </w:rPr>
          <w:noBreakHyphen/>
        </w:r>
        <w:r w:rsidRPr="0086763F">
          <w:rPr>
            <w:rStyle w:val="Hyperlink"/>
            <w:rFonts w:eastAsia="Univers" w:cs="Univers"/>
            <w:color w:val="auto"/>
            <w:u w:val="none"/>
          </w:rPr>
          <w:t>360/15 en C</w:t>
        </w:r>
        <w:r w:rsidRPr="0086763F">
          <w:rPr>
            <w:rStyle w:val="Hyperlink"/>
            <w:rFonts w:eastAsia="Univers" w:cs="Cambria Math"/>
            <w:color w:val="auto"/>
            <w:u w:val="none"/>
          </w:rPr>
          <w:noBreakHyphen/>
        </w:r>
        <w:r w:rsidRPr="0086763F">
          <w:rPr>
            <w:rStyle w:val="Hyperlink"/>
            <w:rFonts w:eastAsia="Univers" w:cs="Univers"/>
            <w:color w:val="auto"/>
            <w:u w:val="none"/>
          </w:rPr>
          <w:t>31/16</w:t>
        </w:r>
        <w:r w:rsidR="00EA48E9" w:rsidRPr="0086763F">
          <w:rPr>
            <w:rStyle w:val="Hyperlink"/>
            <w:rFonts w:eastAsia="Univers" w:cs="Univers"/>
            <w:color w:val="auto"/>
            <w:u w:val="none"/>
          </w:rPr>
          <w:t>, ECLI:EU:C:2018:44 (</w:t>
        </w:r>
        <w:r w:rsidRPr="0086763F">
          <w:rPr>
            <w:rStyle w:val="Hyperlink"/>
            <w:rFonts w:eastAsia="Univers" w:cs="Univers"/>
            <w:color w:val="auto"/>
            <w:u w:val="none"/>
          </w:rPr>
          <w:t>Visser Vastgoed</w:t>
        </w:r>
        <w:r w:rsidR="00EA48E9" w:rsidRPr="0086763F">
          <w:rPr>
            <w:rStyle w:val="Hyperlink"/>
            <w:rFonts w:eastAsia="Univers" w:cs="Univers"/>
            <w:color w:val="auto"/>
            <w:u w:val="none"/>
          </w:rPr>
          <w:t>)</w:t>
        </w:r>
      </w:hyperlink>
      <w:r w:rsidR="0086763F" w:rsidRPr="0086763F">
        <w:rPr>
          <w:rStyle w:val="Hyperlink"/>
          <w:rFonts w:eastAsia="Univers" w:cs="Univers"/>
          <w:color w:val="auto"/>
          <w:u w:val="none"/>
        </w:rPr>
        <w:t>.</w:t>
      </w:r>
      <w:r w:rsidRPr="0086763F">
        <w:rPr>
          <w:rFonts w:eastAsia="Univers" w:cs="Univers"/>
        </w:rPr>
        <w:t xml:space="preserve"> </w:t>
      </w:r>
    </w:p>
  </w:footnote>
  <w:footnote w:id="13">
    <w:p w14:paraId="0F572A27" w14:textId="32CA69A6" w:rsidR="00312D70" w:rsidRDefault="00312D70">
      <w:pPr>
        <w:pStyle w:val="Voetnoottekst"/>
      </w:pPr>
      <w:r>
        <w:rPr>
          <w:rStyle w:val="Voetnootmarkering"/>
        </w:rPr>
        <w:footnoteRef/>
      </w:r>
      <w:r>
        <w:t xml:space="preserve"> Toelichting op het wetsvoorstel, algemeen deel, paragraaf 3.3.2. (</w:t>
      </w:r>
      <w:r w:rsidR="00D65C65">
        <w:t>g</w:t>
      </w:r>
      <w:r>
        <w:t>emakszaken en speciaalzaken).</w:t>
      </w:r>
    </w:p>
  </w:footnote>
  <w:footnote w:id="14">
    <w:p w14:paraId="00173968" w14:textId="36F73595" w:rsidR="00441073" w:rsidRDefault="00441073" w:rsidP="00441073">
      <w:pPr>
        <w:pStyle w:val="Voetnoottekst"/>
      </w:pPr>
      <w:r>
        <w:rPr>
          <w:rStyle w:val="Voetnootmarkering"/>
        </w:rPr>
        <w:footnoteRef/>
      </w:r>
      <w:r>
        <w:t xml:space="preserve"> Toelichting op het wetsvoorstel, algemeen deel, paragraaf 4.3.2. (</w:t>
      </w:r>
      <w:r w:rsidR="00D65C65">
        <w:t>h</w:t>
      </w:r>
      <w:r>
        <w:t>et vrij verkeer van diensten).</w:t>
      </w:r>
    </w:p>
  </w:footnote>
  <w:footnote w:id="15">
    <w:p w14:paraId="56E6927F" w14:textId="77777777" w:rsidR="00441073" w:rsidRDefault="00441073" w:rsidP="00441073">
      <w:pPr>
        <w:pStyle w:val="Voetnoottekst"/>
      </w:pPr>
      <w:r>
        <w:rPr>
          <w:rStyle w:val="Voetnootmarkering"/>
        </w:rPr>
        <w:footnoteRef/>
      </w:r>
      <w:r>
        <w:t xml:space="preserve"> Artikel 16 van de Dienstenrichtlijn.</w:t>
      </w:r>
    </w:p>
  </w:footnote>
  <w:footnote w:id="16">
    <w:p w14:paraId="3ACDC358" w14:textId="77777777" w:rsidR="00AA3BF5" w:rsidRPr="00197B21" w:rsidRDefault="00AA3BF5" w:rsidP="00AA3BF5">
      <w:pPr>
        <w:pStyle w:val="Voetnoottekst"/>
      </w:pPr>
      <w:r>
        <w:rPr>
          <w:rStyle w:val="Voetnootmarkering"/>
        </w:rPr>
        <w:footnoteRef/>
      </w:r>
      <w:r>
        <w:t xml:space="preserve"> Artikelen 49 en 54 </w:t>
      </w:r>
      <w:r w:rsidRPr="00197B21">
        <w:t>van het Verdrag betreffende de werking van de Europese Unie.</w:t>
      </w:r>
    </w:p>
  </w:footnote>
  <w:footnote w:id="17">
    <w:p w14:paraId="530E7120" w14:textId="77777777" w:rsidR="00AE288F" w:rsidRPr="005B3B5E" w:rsidRDefault="00AE288F" w:rsidP="00AE288F">
      <w:pPr>
        <w:pStyle w:val="Voetnoottekst"/>
      </w:pPr>
      <w:r w:rsidRPr="00197B21">
        <w:rPr>
          <w:rStyle w:val="Voetnootmarkering"/>
        </w:rPr>
        <w:footnoteRef/>
      </w:r>
      <w:r w:rsidRPr="00197B21">
        <w:t xml:space="preserve"> Artikel 15, tweede lid, </w:t>
      </w:r>
      <w:r w:rsidRPr="005B3B5E">
        <w:t>onderdelen a en d, Dienstenrichtlijn.</w:t>
      </w:r>
    </w:p>
  </w:footnote>
  <w:footnote w:id="18">
    <w:p w14:paraId="6F1F3179" w14:textId="4F01A3CD" w:rsidR="005B3B5E" w:rsidRPr="005B3B5E" w:rsidRDefault="005B3B5E">
      <w:pPr>
        <w:pStyle w:val="Voetnoottekst"/>
      </w:pPr>
      <w:r w:rsidRPr="005B3B5E">
        <w:rPr>
          <w:rStyle w:val="Voetnootmarkering"/>
        </w:rPr>
        <w:footnoteRef/>
      </w:r>
      <w:r w:rsidRPr="005B3B5E">
        <w:t xml:space="preserve"> A</w:t>
      </w:r>
      <w:r w:rsidRPr="009913E7">
        <w:t>rtikel 15, derde lid, van de Dienstenrichtlijn.</w:t>
      </w:r>
      <w:r w:rsidR="00000C03">
        <w:t xml:space="preserve"> </w:t>
      </w:r>
      <w:r w:rsidR="00000C03" w:rsidRPr="00000C03">
        <w:t>Artikel 15 is</w:t>
      </w:r>
      <w:r w:rsidR="0053168D">
        <w:t xml:space="preserve"> overigens</w:t>
      </w:r>
      <w:r w:rsidR="00000C03" w:rsidRPr="00000C03">
        <w:t xml:space="preserve"> ook van toepassing op situaties zonder een grensoverschrijdend element, zie: HvJ EU 30 januari 2018, C 360/15 en C 31/16, ECLI:EU:C:2018:44 (Visser Vastgoed), punt 110.</w:t>
      </w:r>
    </w:p>
  </w:footnote>
  <w:footnote w:id="19">
    <w:p w14:paraId="022E5831" w14:textId="77777777" w:rsidR="00035B05" w:rsidRPr="005B3B5E" w:rsidRDefault="00035B05" w:rsidP="00035B05">
      <w:pPr>
        <w:pStyle w:val="Voetnoottekst"/>
      </w:pPr>
      <w:r w:rsidRPr="005B3B5E">
        <w:rPr>
          <w:rStyle w:val="Voetnootmarkering"/>
        </w:rPr>
        <w:footnoteRef/>
      </w:r>
      <w:r w:rsidRPr="005B3B5E">
        <w:t xml:space="preserve"> Toelichting op het wetsvoorstel, algemeen deel, paragraaf 3.2 (verkoop elektronische dampwaar voorbehouden aan tabaksspeciaalzaken).</w:t>
      </w:r>
    </w:p>
  </w:footnote>
  <w:footnote w:id="20">
    <w:p w14:paraId="44074326" w14:textId="77777777" w:rsidR="00422569" w:rsidRPr="002A3222" w:rsidRDefault="00422569" w:rsidP="00422569">
      <w:pPr>
        <w:pStyle w:val="Voetnoottekst"/>
      </w:pPr>
      <w:r w:rsidRPr="002A3222">
        <w:rPr>
          <w:rStyle w:val="Voetnootmarkering"/>
        </w:rPr>
        <w:footnoteRef/>
      </w:r>
      <w:r w:rsidRPr="002A3222">
        <w:t xml:space="preserve"> Toelichting op het wetsvoorstel, algemeen deel, paragraaf 3.2 (verkoop elektronische dampwaar voorbehouden aan tabaksspeciaalzaken).</w:t>
      </w:r>
    </w:p>
  </w:footnote>
  <w:footnote w:id="21">
    <w:p w14:paraId="7E3A6509" w14:textId="3AB05A43" w:rsidR="00035B05" w:rsidRPr="005B3B5E" w:rsidRDefault="00035B05" w:rsidP="00035B05">
      <w:pPr>
        <w:pStyle w:val="Voetnoottekst"/>
      </w:pPr>
      <w:r w:rsidRPr="005B3B5E">
        <w:rPr>
          <w:rStyle w:val="Voetnootmarkering"/>
        </w:rPr>
        <w:footnoteRef/>
      </w:r>
      <w:r w:rsidRPr="005B3B5E">
        <w:t xml:space="preserve"> Volgens de toelichting gaat het om 1300-1600 verkooppunten en is nog onzeker hoe (snel) de markt zich zal ontwikkelen naar een groter aanbod van tabaksspeciaalzaken.</w:t>
      </w:r>
    </w:p>
  </w:footnote>
  <w:footnote w:id="22">
    <w:p w14:paraId="21430A66" w14:textId="1A839B47" w:rsidR="00035B05" w:rsidRPr="005B3B5E" w:rsidRDefault="00035B05" w:rsidP="00035B05">
      <w:pPr>
        <w:pStyle w:val="Voetnoottekst"/>
      </w:pPr>
      <w:r w:rsidRPr="005B3B5E">
        <w:rPr>
          <w:rStyle w:val="Voetnootmarkering"/>
        </w:rPr>
        <w:footnoteRef/>
      </w:r>
      <w:r w:rsidRPr="005B3B5E">
        <w:t xml:space="preserve"> Volgens de toelichting gaat het om zo’n 4400 verkooppunten</w:t>
      </w:r>
      <w:r w:rsidR="00851C46" w:rsidRPr="005B3B5E">
        <w:t xml:space="preserve"> extra</w:t>
      </w:r>
      <w:r w:rsidRPr="005B3B5E">
        <w:t>.</w:t>
      </w:r>
    </w:p>
  </w:footnote>
  <w:footnote w:id="23">
    <w:p w14:paraId="23F2B5E9" w14:textId="45E8AB97" w:rsidR="00035B05" w:rsidRPr="002A3222" w:rsidRDefault="00035B05" w:rsidP="00035B05">
      <w:pPr>
        <w:pStyle w:val="Voetnoottekst"/>
      </w:pPr>
      <w:r w:rsidRPr="005B3B5E">
        <w:rPr>
          <w:rStyle w:val="Voetnootmarkering"/>
        </w:rPr>
        <w:footnoteRef/>
      </w:r>
      <w:r w:rsidRPr="005B3B5E">
        <w:t xml:space="preserve"> Volgens de toelichting gaat het dan</w:t>
      </w:r>
      <w:r w:rsidRPr="002A3222">
        <w:t xml:space="preserve"> om </w:t>
      </w:r>
      <w:r w:rsidRPr="002A3222">
        <w:rPr>
          <w:rFonts w:eastAsia="Calibri"/>
        </w:rPr>
        <w:t>nog zo’n 2400 verkooppunten.</w:t>
      </w:r>
    </w:p>
  </w:footnote>
  <w:footnote w:id="24">
    <w:p w14:paraId="6E0E612E" w14:textId="78426849" w:rsidR="00C84F07" w:rsidRDefault="00C84F07" w:rsidP="00C84F07">
      <w:pPr>
        <w:pStyle w:val="Voetnoottekst"/>
      </w:pPr>
      <w:r w:rsidRPr="002A3222">
        <w:rPr>
          <w:rStyle w:val="Voetnootmarkering"/>
        </w:rPr>
        <w:footnoteRef/>
      </w:r>
      <w:r w:rsidRPr="002A3222">
        <w:t xml:space="preserve"> Toelichting op het wetsvoorstel, algemeen deel, paragraaf </w:t>
      </w:r>
      <w:r w:rsidR="00F0501B">
        <w:t>7.5 (i</w:t>
      </w:r>
      <w:r w:rsidR="00F0501B" w:rsidRPr="00F0501B">
        <w:t>llegale handel, grensoverschrijdende aankoop, effectiviteit en handhaving</w:t>
      </w:r>
      <w:r w:rsidR="00F0501B">
        <w:t>).</w:t>
      </w:r>
    </w:p>
  </w:footnote>
  <w:footnote w:id="25">
    <w:p w14:paraId="03A67B8C" w14:textId="77777777" w:rsidR="00035B05" w:rsidRPr="0049414E" w:rsidRDefault="00035B05" w:rsidP="00035B05">
      <w:pPr>
        <w:pStyle w:val="Geenafstand"/>
        <w:rPr>
          <w:rFonts w:ascii="Univers" w:hAnsi="Univers" w:cs="Arial"/>
          <w:sz w:val="20"/>
          <w:szCs w:val="20"/>
          <w:lang w:val="nl-NL"/>
        </w:rPr>
      </w:pPr>
      <w:r w:rsidRPr="0049414E">
        <w:rPr>
          <w:rStyle w:val="Voetnootmarkering"/>
          <w:rFonts w:ascii="Univers" w:hAnsi="Univers"/>
          <w:sz w:val="20"/>
          <w:szCs w:val="20"/>
        </w:rPr>
        <w:footnoteRef/>
      </w:r>
      <w:r w:rsidRPr="0049414E">
        <w:rPr>
          <w:rFonts w:ascii="Univers" w:hAnsi="Univers"/>
          <w:sz w:val="20"/>
          <w:szCs w:val="20"/>
          <w:lang w:val="nl-NL"/>
        </w:rPr>
        <w:t xml:space="preserve"> Besluit van 20 april 2023, houdende de wijziging van het Tabaks- en rookwarenbesluit in verband met het verbieden van de verkoop van tabaksproducten en aanverwante producten op afstand, Stb. 2023, 141 en </w:t>
      </w:r>
      <w:r w:rsidRPr="0049414E">
        <w:rPr>
          <w:rFonts w:ascii="Univers" w:hAnsi="Univers" w:cs="Arial"/>
          <w:sz w:val="20"/>
          <w:szCs w:val="20"/>
          <w:lang w:val="nl-NL"/>
        </w:rPr>
        <w:t xml:space="preserve">Besluit van 14 november 2023, houdende wijziging van het Tabaks- en rookwarenbesluit in verband met het verbieden van de grensoverschrijdende verkoop op afstand van aanverwante producten anders dan elektronische sigaretten en navulverpakkingen, </w:t>
      </w:r>
      <w:r w:rsidRPr="0049414E">
        <w:rPr>
          <w:rFonts w:ascii="Univers" w:hAnsi="Univers"/>
          <w:sz w:val="20"/>
          <w:szCs w:val="20"/>
          <w:lang w:val="nl-NL"/>
        </w:rPr>
        <w:t xml:space="preserve">Stb. 2023, 416. </w:t>
      </w:r>
    </w:p>
  </w:footnote>
  <w:footnote w:id="26">
    <w:p w14:paraId="0036EEDC" w14:textId="77777777" w:rsidR="00035B05" w:rsidRPr="002A3222" w:rsidRDefault="00035B05" w:rsidP="00035B05">
      <w:pPr>
        <w:pStyle w:val="Voetnoottekst"/>
      </w:pPr>
      <w:r w:rsidRPr="002A3222">
        <w:rPr>
          <w:rStyle w:val="Voetnootmarkering"/>
        </w:rPr>
        <w:footnoteRef/>
      </w:r>
      <w:r w:rsidRPr="002A3222">
        <w:t xml:space="preserve"> Artikel 9a van het wetsvoorstel.</w:t>
      </w:r>
    </w:p>
  </w:footnote>
  <w:footnote w:id="27">
    <w:p w14:paraId="0D4533B9" w14:textId="77777777" w:rsidR="00035B05" w:rsidRDefault="00035B05" w:rsidP="00035B05">
      <w:pPr>
        <w:pStyle w:val="Voetnoottekst"/>
      </w:pPr>
      <w:r>
        <w:rPr>
          <w:rStyle w:val="Voetnootmarkering"/>
        </w:rPr>
        <w:footnoteRef/>
      </w:r>
      <w:r>
        <w:t xml:space="preserve"> NVWA, </w:t>
      </w:r>
      <w:r w:rsidRPr="00084B82">
        <w:t>HUF-toets Wijziging van de Tabaks- en rookwarenwet in verband met een verkoopverbod voor tabaksproducten en aanverwante producten in andere verkooppunten dan speciaalzaken</w:t>
      </w:r>
      <w:r>
        <w:t>, 14 juni 2024.</w:t>
      </w:r>
    </w:p>
  </w:footnote>
  <w:footnote w:id="28">
    <w:p w14:paraId="432F523E" w14:textId="247B72C2" w:rsidR="00DC5E33" w:rsidRDefault="00DC5E33">
      <w:pPr>
        <w:pStyle w:val="Voetnoottekst"/>
      </w:pPr>
      <w:r>
        <w:rPr>
          <w:rStyle w:val="Voetnootmarkering"/>
        </w:rPr>
        <w:footnoteRef/>
      </w:r>
      <w:r>
        <w:t xml:space="preserve"> </w:t>
      </w:r>
      <w:r w:rsidRPr="002A3222">
        <w:t>NVWA, HUF-toets Wijziging van de Tabaks- en rookwarenwet in verband met een verkoopverbod voor tabaksproducten en aanverwante producten in andere verkooppunten dan speciaalzaken, 14 juni 2024</w:t>
      </w:r>
      <w:r w:rsidR="00486FEC">
        <w:t>, p. 4</w:t>
      </w:r>
      <w:r w:rsidRPr="002A3222">
        <w:t>.</w:t>
      </w:r>
    </w:p>
  </w:footnote>
  <w:footnote w:id="29">
    <w:p w14:paraId="32DDF4F5" w14:textId="77777777" w:rsidR="00035B05" w:rsidRDefault="00035B05" w:rsidP="00035B05">
      <w:pPr>
        <w:pStyle w:val="Voetnoottekst"/>
      </w:pPr>
      <w:r>
        <w:rPr>
          <w:rStyle w:val="Voetnootmarkering"/>
        </w:rPr>
        <w:footnoteRef/>
      </w:r>
      <w:r>
        <w:t xml:space="preserve"> Toelichting op het wetsvoorstel, algemeen deel, paragraaf 5.2 (toezicht en handhaving).</w:t>
      </w:r>
    </w:p>
  </w:footnote>
  <w:footnote w:id="30">
    <w:p w14:paraId="080B300D" w14:textId="77777777" w:rsidR="00035B05" w:rsidRDefault="00035B05" w:rsidP="00035B05">
      <w:pPr>
        <w:pStyle w:val="Voetnoottekst"/>
      </w:pPr>
      <w:r>
        <w:rPr>
          <w:rStyle w:val="Voetnootmarkering"/>
        </w:rPr>
        <w:footnoteRef/>
      </w:r>
      <w:r>
        <w:t xml:space="preserve"> Aanwijzing 2.7 </w:t>
      </w:r>
      <w:r w:rsidRPr="00B54B5B">
        <w:t>van de Aanwijzingen voor de regelgeving</w:t>
      </w:r>
      <w:r>
        <w:t>.</w:t>
      </w:r>
    </w:p>
  </w:footnote>
  <w:footnote w:id="31">
    <w:p w14:paraId="303F1C6B" w14:textId="025EBAD5" w:rsidR="00035B05" w:rsidRDefault="00035B05" w:rsidP="003F2243">
      <w:pPr>
        <w:pStyle w:val="Voetnoottekst"/>
      </w:pPr>
      <w:r>
        <w:rPr>
          <w:rStyle w:val="Voetnootmarkering"/>
        </w:rPr>
        <w:footnoteRef/>
      </w:r>
      <w:r>
        <w:t xml:space="preserve"> </w:t>
      </w:r>
      <w:r w:rsidRPr="00B112F7">
        <w:t>Zie</w:t>
      </w:r>
      <w:r>
        <w:t xml:space="preserve"> </w:t>
      </w:r>
      <w:r w:rsidRPr="00B112F7">
        <w:t xml:space="preserve">artikelen 1 en 2, eerste lid, letter d, van de Wet op de accijns </w:t>
      </w:r>
      <w:r>
        <w:t>en</w:t>
      </w:r>
      <w:r w:rsidRPr="00B112F7">
        <w:t xml:space="preserve"> artikel 1:1, vijfde lid, van de Algemene douanewet, en de bijlage bij die wet.</w:t>
      </w:r>
      <w:r w:rsidR="00995155">
        <w:t xml:space="preserve"> </w:t>
      </w:r>
      <w:r w:rsidR="00995155" w:rsidRPr="00995155">
        <w:t>Zie ook het advies van de</w:t>
      </w:r>
      <w:r w:rsidR="003E5965">
        <w:t xml:space="preserve"> Raad van State van</w:t>
      </w:r>
      <w:r w:rsidR="007A4D69">
        <w:t xml:space="preserve"> 5 april 2023</w:t>
      </w:r>
      <w:r w:rsidR="00995155" w:rsidRPr="00995155">
        <w:t xml:space="preserve"> over de </w:t>
      </w:r>
      <w:r w:rsidR="007A4D69">
        <w:t>w</w:t>
      </w:r>
      <w:r w:rsidR="00693F28" w:rsidRPr="00693F28">
        <w:t>ijziging van het Tabaks- en rookwarenbesluit in verband met het verbieden van de verkoop van tabaksproducten en aanverwante producten op afstand</w:t>
      </w:r>
      <w:r w:rsidR="007A4D69">
        <w:t xml:space="preserve"> (</w:t>
      </w:r>
      <w:r w:rsidR="00693F28" w:rsidRPr="00693F28">
        <w:t>W13.23.00019/III</w:t>
      </w:r>
      <w:r w:rsidR="007A4D69">
        <w:t>)</w:t>
      </w:r>
      <w:r w:rsidR="00995155" w:rsidRPr="00995155">
        <w:t xml:space="preserve">, </w:t>
      </w:r>
      <w:r w:rsidR="003F2243">
        <w:t>Staatscourant 2023, nr. 12704</w:t>
      </w:r>
      <w:r w:rsidR="00995155" w:rsidRPr="00995155">
        <w:t>.</w:t>
      </w:r>
    </w:p>
  </w:footnote>
  <w:footnote w:id="32">
    <w:p w14:paraId="1AA1F6D8" w14:textId="77777777" w:rsidR="00035B05" w:rsidRDefault="00035B05" w:rsidP="00035B05">
      <w:pPr>
        <w:pStyle w:val="Voetnoottekst"/>
      </w:pPr>
      <w:r>
        <w:rPr>
          <w:rStyle w:val="Voetnootmarkering"/>
        </w:rPr>
        <w:footnoteRef/>
      </w:r>
      <w:r>
        <w:t xml:space="preserve"> </w:t>
      </w:r>
      <w:r w:rsidRPr="004D7551">
        <w:t>Kamerstukken II 2019/20, 35300-IV, nr. 11, p. 3.</w:t>
      </w:r>
    </w:p>
  </w:footnote>
  <w:footnote w:id="33">
    <w:p w14:paraId="2B237888" w14:textId="5B409FDE" w:rsidR="000E65FD" w:rsidRPr="00665E57" w:rsidRDefault="000E65FD" w:rsidP="000E65FD">
      <w:pPr>
        <w:pStyle w:val="Voetnoottekst"/>
      </w:pPr>
      <w:r>
        <w:rPr>
          <w:rStyle w:val="Voetnootmarkering"/>
        </w:rPr>
        <w:footnoteRef/>
      </w:r>
      <w:r>
        <w:t xml:space="preserve"> Toelichting op het wetsvoorstel, algemeen deel, paragraaf 7.</w:t>
      </w:r>
      <w:r w:rsidRPr="00ED0537">
        <w:t>6</w:t>
      </w:r>
      <w:r>
        <w:t xml:space="preserve"> (a</w:t>
      </w:r>
      <w:r w:rsidRPr="00ED0537">
        <w:t xml:space="preserve">lternatieven en Caribisch </w:t>
      </w:r>
      <w:r w:rsidRPr="00665E57">
        <w:t>Nederland)</w:t>
      </w:r>
      <w:r w:rsidR="00454F41">
        <w:t>.</w:t>
      </w:r>
      <w:r w:rsidR="00BF1290">
        <w:t xml:space="preserve"> </w:t>
      </w:r>
      <w:r w:rsidR="00BF1290">
        <w:rPr>
          <w:rFonts w:eastAsia="Calibri"/>
        </w:rPr>
        <w:t>Voorlopige cijfers laten overigens zien dat het aantal rokers op Caribisch Nederland op de 11% ligt</w:t>
      </w:r>
      <w:r w:rsidR="00766303">
        <w:rPr>
          <w:rFonts w:eastAsia="Calibri"/>
        </w:rPr>
        <w:t xml:space="preserve"> (zie </w:t>
      </w:r>
      <w:r w:rsidR="00766303" w:rsidRPr="00665E57">
        <w:t xml:space="preserve">CBS Statline, 2021, </w:t>
      </w:r>
      <w:hyperlink r:id="rId5" w:anchor="/CBS/nl/dataset/82292NED/table?dl=C1125" w:history="1">
        <w:r w:rsidR="00766303" w:rsidRPr="0049414E">
          <w:rPr>
            <w:rStyle w:val="Hyperlink"/>
            <w:color w:val="auto"/>
            <w:u w:val="none"/>
          </w:rPr>
          <w:t>Caribisch NL: leefstijl; persoonskenmerken</w:t>
        </w:r>
      </w:hyperlink>
      <w:r w:rsidR="00766303">
        <w:rPr>
          <w:rStyle w:val="Hyperlink"/>
          <w:color w:val="auto"/>
          <w:u w:val="none"/>
        </w:rPr>
        <w:t>)</w:t>
      </w:r>
      <w:r w:rsidR="00BF1290">
        <w:rPr>
          <w:rFonts w:eastAsia="Calibri"/>
        </w:rPr>
        <w:t>, terwijl prevalentie in Europees Nederland ligt rond de</w:t>
      </w:r>
      <w:r w:rsidR="00BF1290" w:rsidRPr="004E5421">
        <w:rPr>
          <w:rFonts w:eastAsia="Calibri"/>
        </w:rPr>
        <w:t xml:space="preserve"> 19%</w:t>
      </w:r>
      <w:r w:rsidR="00766303" w:rsidRPr="00665E57">
        <w:t>.</w:t>
      </w:r>
    </w:p>
  </w:footnote>
  <w:footnote w:id="34">
    <w:p w14:paraId="5F9C9378" w14:textId="77777777" w:rsidR="0063691E" w:rsidRPr="002A3222" w:rsidRDefault="0063691E" w:rsidP="0063691E">
      <w:pPr>
        <w:pStyle w:val="Voetnoottekst"/>
      </w:pPr>
      <w:r w:rsidRPr="00665E57">
        <w:rPr>
          <w:rStyle w:val="Voetnootmarkering"/>
        </w:rPr>
        <w:footnoteRef/>
      </w:r>
      <w:r w:rsidRPr="00665E57">
        <w:t xml:space="preserve"> De Wet beperking tabaksgebruik</w:t>
      </w:r>
      <w:r w:rsidRPr="002A3222">
        <w:t xml:space="preserve"> BES beperkt weliswaar het roken in publieke binnenruimten, maar bevat geen bepalingen over leeftijdsbeperkingen</w:t>
      </w:r>
      <w:r>
        <w:t>, reclamebeperkingen</w:t>
      </w:r>
      <w:r w:rsidRPr="002A3222">
        <w:t xml:space="preserve"> of het gebruik van e-sigaretten (vapes).</w:t>
      </w:r>
    </w:p>
  </w:footnote>
  <w:footnote w:id="35">
    <w:p w14:paraId="13E4DD4C" w14:textId="369F6C59" w:rsidR="00A5729E" w:rsidRDefault="00AD0C38">
      <w:pPr>
        <w:pStyle w:val="Voetnoottekst"/>
      </w:pPr>
      <w:r>
        <w:rPr>
          <w:rStyle w:val="Voetnootmarkering"/>
        </w:rPr>
        <w:footnoteRef/>
      </w:r>
      <w:r>
        <w:t xml:space="preserve"> </w:t>
      </w:r>
      <w:r w:rsidRPr="00AD0C38">
        <w:t>Kamerstukken II 2024/25, 36600-IV, nr. 41.</w:t>
      </w:r>
    </w:p>
  </w:footnote>
  <w:footnote w:id="36">
    <w:p w14:paraId="2AFB771A" w14:textId="77777777" w:rsidR="0077797A" w:rsidRPr="002A3222" w:rsidRDefault="0077797A" w:rsidP="0077797A">
      <w:pPr>
        <w:pStyle w:val="Voetnoottekst"/>
      </w:pPr>
      <w:r w:rsidRPr="002A3222">
        <w:rPr>
          <w:rStyle w:val="Voetnootmarkering"/>
        </w:rPr>
        <w:footnoteRef/>
      </w:r>
      <w:r w:rsidRPr="002A3222">
        <w:t xml:space="preserve"> Zie in dit verband ook het </w:t>
      </w:r>
      <w:r>
        <w:t xml:space="preserve">unaniem door de eilandsraad van Bonaire aangenomen </w:t>
      </w:r>
      <w:r w:rsidRPr="002A3222">
        <w:t xml:space="preserve">voorstel van het bestuurscollege om met een aangescherpte eilandsverordening het noodzakelijke regelgevende kader op te stellen en </w:t>
      </w:r>
      <w:r w:rsidRPr="00FE64EC">
        <w:t>aan te vullen. Zie startnotitie en raadsbesluit op ris.konsehoinsular.org (</w:t>
      </w:r>
      <w:hyperlink r:id="rId6" w:history="1">
        <w:r w:rsidRPr="00FE64EC">
          <w:rPr>
            <w:rStyle w:val="Hyperlink"/>
            <w:color w:val="auto"/>
            <w:u w:val="none"/>
          </w:rPr>
          <w:t>kenmerk startnotitie: 2/24/019968</w:t>
        </w:r>
      </w:hyperlink>
      <w:r w:rsidRPr="00FE64EC">
        <w:rPr>
          <w:rStyle w:val="Hyperlink"/>
          <w:color w:val="auto"/>
          <w:u w:val="none"/>
        </w:rPr>
        <w:t>).</w:t>
      </w:r>
      <w:r w:rsidRPr="00FE64EC">
        <w:t xml:space="preserve"> </w:t>
      </w:r>
    </w:p>
  </w:footnote>
  <w:footnote w:id="37">
    <w:p w14:paraId="635EFDB9" w14:textId="77777777" w:rsidR="0063691E" w:rsidRDefault="0063691E" w:rsidP="0063691E">
      <w:pPr>
        <w:pStyle w:val="Voetnoottekst"/>
      </w:pPr>
      <w:r>
        <w:rPr>
          <w:rStyle w:val="Voetnootmarkering"/>
        </w:rPr>
        <w:footnoteRef/>
      </w:r>
      <w:r>
        <w:t xml:space="preserve"> Toelichting op het wetsvoorstel, algemeen deel, paragraaf 7.</w:t>
      </w:r>
      <w:r w:rsidRPr="00ED0537">
        <w:t>6</w:t>
      </w:r>
      <w:r>
        <w:t xml:space="preserve"> (a</w:t>
      </w:r>
      <w:r w:rsidRPr="00ED0537">
        <w:t xml:space="preserve">lternatieven en Caribisch </w:t>
      </w:r>
      <w:r w:rsidRPr="00665E57">
        <w:t>Nederland)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742DC"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742DD" w14:textId="77777777" w:rsidR="00FA7BCD" w:rsidRDefault="00066357"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742E3" w14:textId="77777777" w:rsidR="00DA0CDA" w:rsidRDefault="00066357"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565742E4" w14:textId="77777777" w:rsidR="00993C75" w:rsidRDefault="00066357">
    <w:pPr>
      <w:pStyle w:val="Koptekst"/>
    </w:pPr>
    <w:r>
      <w:rPr>
        <w:noProof/>
      </w:rPr>
      <w:drawing>
        <wp:anchor distT="0" distB="0" distL="114300" distR="114300" simplePos="0" relativeHeight="251658240" behindDoc="1" locked="0" layoutInCell="1" allowOverlap="1" wp14:anchorId="565742EF" wp14:editId="565742F0">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B047C"/>
    <w:multiLevelType w:val="hybridMultilevel"/>
    <w:tmpl w:val="7B42F91A"/>
    <w:lvl w:ilvl="0" w:tplc="F9EA0C9C">
      <w:start w:val="1"/>
      <w:numFmt w:val="decimal"/>
      <w:pStyle w:val="Kop1"/>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E004F35"/>
    <w:multiLevelType w:val="hybridMultilevel"/>
    <w:tmpl w:val="AE9ADEC2"/>
    <w:lvl w:ilvl="0" w:tplc="4DE0DB8A">
      <w:start w:val="1"/>
      <w:numFmt w:val="lowerLetter"/>
      <w:pStyle w:val="Kop2"/>
      <w:lvlText w:val="%1."/>
      <w:lvlJc w:val="left"/>
      <w:pPr>
        <w:ind w:left="36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83872593">
    <w:abstractNumId w:val="0"/>
  </w:num>
  <w:num w:numId="2" w16cid:durableId="1905993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F9"/>
    <w:rsid w:val="00000C03"/>
    <w:rsid w:val="00001894"/>
    <w:rsid w:val="00005DF4"/>
    <w:rsid w:val="00010EA1"/>
    <w:rsid w:val="00012A60"/>
    <w:rsid w:val="000142B5"/>
    <w:rsid w:val="00014A40"/>
    <w:rsid w:val="00015862"/>
    <w:rsid w:val="000158CE"/>
    <w:rsid w:val="000164FA"/>
    <w:rsid w:val="00016D4B"/>
    <w:rsid w:val="00017C54"/>
    <w:rsid w:val="00021BFE"/>
    <w:rsid w:val="0002228A"/>
    <w:rsid w:val="0002665E"/>
    <w:rsid w:val="0002751E"/>
    <w:rsid w:val="0003291C"/>
    <w:rsid w:val="00035B05"/>
    <w:rsid w:val="00036378"/>
    <w:rsid w:val="00041C53"/>
    <w:rsid w:val="00044D6C"/>
    <w:rsid w:val="00050E7D"/>
    <w:rsid w:val="00056235"/>
    <w:rsid w:val="00057AB1"/>
    <w:rsid w:val="00062116"/>
    <w:rsid w:val="0006595C"/>
    <w:rsid w:val="00066357"/>
    <w:rsid w:val="00066E03"/>
    <w:rsid w:val="00070C8A"/>
    <w:rsid w:val="0007325D"/>
    <w:rsid w:val="000738B5"/>
    <w:rsid w:val="000765D6"/>
    <w:rsid w:val="0008149A"/>
    <w:rsid w:val="00083450"/>
    <w:rsid w:val="0008414B"/>
    <w:rsid w:val="00084459"/>
    <w:rsid w:val="00084A3F"/>
    <w:rsid w:val="00090A2A"/>
    <w:rsid w:val="000916C4"/>
    <w:rsid w:val="00092654"/>
    <w:rsid w:val="00093C18"/>
    <w:rsid w:val="00094CA9"/>
    <w:rsid w:val="00094EA2"/>
    <w:rsid w:val="000A7560"/>
    <w:rsid w:val="000B4311"/>
    <w:rsid w:val="000B4313"/>
    <w:rsid w:val="000B6700"/>
    <w:rsid w:val="000B69F7"/>
    <w:rsid w:val="000C0666"/>
    <w:rsid w:val="000C1C69"/>
    <w:rsid w:val="000C5952"/>
    <w:rsid w:val="000C7C86"/>
    <w:rsid w:val="000C7E93"/>
    <w:rsid w:val="000D0FE0"/>
    <w:rsid w:val="000D6724"/>
    <w:rsid w:val="000E1308"/>
    <w:rsid w:val="000E65FD"/>
    <w:rsid w:val="000E6ED3"/>
    <w:rsid w:val="000F0463"/>
    <w:rsid w:val="000F18F2"/>
    <w:rsid w:val="000F286B"/>
    <w:rsid w:val="000F4BC1"/>
    <w:rsid w:val="0010050B"/>
    <w:rsid w:val="00100A85"/>
    <w:rsid w:val="001139CC"/>
    <w:rsid w:val="00115D36"/>
    <w:rsid w:val="00117BEC"/>
    <w:rsid w:val="00117FD1"/>
    <w:rsid w:val="0012385C"/>
    <w:rsid w:val="0013086D"/>
    <w:rsid w:val="00130F7B"/>
    <w:rsid w:val="0013186D"/>
    <w:rsid w:val="00132DB4"/>
    <w:rsid w:val="0014351D"/>
    <w:rsid w:val="001449B3"/>
    <w:rsid w:val="00146409"/>
    <w:rsid w:val="0014702E"/>
    <w:rsid w:val="00153016"/>
    <w:rsid w:val="00155280"/>
    <w:rsid w:val="00156875"/>
    <w:rsid w:val="00156FA9"/>
    <w:rsid w:val="00157002"/>
    <w:rsid w:val="00165117"/>
    <w:rsid w:val="0017003C"/>
    <w:rsid w:val="00170527"/>
    <w:rsid w:val="0017597D"/>
    <w:rsid w:val="00177441"/>
    <w:rsid w:val="0018171E"/>
    <w:rsid w:val="00183F12"/>
    <w:rsid w:val="00193B4C"/>
    <w:rsid w:val="001978DD"/>
    <w:rsid w:val="00197B21"/>
    <w:rsid w:val="001A1932"/>
    <w:rsid w:val="001B08B8"/>
    <w:rsid w:val="001B0FE0"/>
    <w:rsid w:val="001B1D9A"/>
    <w:rsid w:val="001B2AE9"/>
    <w:rsid w:val="001B44B8"/>
    <w:rsid w:val="001B64B3"/>
    <w:rsid w:val="001C2562"/>
    <w:rsid w:val="001C310B"/>
    <w:rsid w:val="001C5AA8"/>
    <w:rsid w:val="001C628D"/>
    <w:rsid w:val="001C7F16"/>
    <w:rsid w:val="001D040C"/>
    <w:rsid w:val="001D1180"/>
    <w:rsid w:val="001D12C1"/>
    <w:rsid w:val="001D4771"/>
    <w:rsid w:val="001D59D8"/>
    <w:rsid w:val="001D5C9D"/>
    <w:rsid w:val="001D64C0"/>
    <w:rsid w:val="001D6D91"/>
    <w:rsid w:val="001F2F2D"/>
    <w:rsid w:val="001F6CEE"/>
    <w:rsid w:val="00201C42"/>
    <w:rsid w:val="00203210"/>
    <w:rsid w:val="00203D22"/>
    <w:rsid w:val="002047AE"/>
    <w:rsid w:val="0020480F"/>
    <w:rsid w:val="00204AD1"/>
    <w:rsid w:val="002074FA"/>
    <w:rsid w:val="0021021F"/>
    <w:rsid w:val="00212954"/>
    <w:rsid w:val="00215C73"/>
    <w:rsid w:val="00215D48"/>
    <w:rsid w:val="0021671F"/>
    <w:rsid w:val="0022113F"/>
    <w:rsid w:val="00222670"/>
    <w:rsid w:val="002265A9"/>
    <w:rsid w:val="00227BB1"/>
    <w:rsid w:val="0023697A"/>
    <w:rsid w:val="00240EC8"/>
    <w:rsid w:val="002413C2"/>
    <w:rsid w:val="00241B4C"/>
    <w:rsid w:val="00242FC9"/>
    <w:rsid w:val="00244DE7"/>
    <w:rsid w:val="00245D35"/>
    <w:rsid w:val="00246E24"/>
    <w:rsid w:val="00247475"/>
    <w:rsid w:val="00252184"/>
    <w:rsid w:val="0025333A"/>
    <w:rsid w:val="002551C9"/>
    <w:rsid w:val="0025790B"/>
    <w:rsid w:val="00261EFF"/>
    <w:rsid w:val="002622D5"/>
    <w:rsid w:val="00263349"/>
    <w:rsid w:val="002645D3"/>
    <w:rsid w:val="002652B4"/>
    <w:rsid w:val="00266C26"/>
    <w:rsid w:val="00270E16"/>
    <w:rsid w:val="00273B78"/>
    <w:rsid w:val="00274902"/>
    <w:rsid w:val="00276EA1"/>
    <w:rsid w:val="002814EA"/>
    <w:rsid w:val="00287D71"/>
    <w:rsid w:val="00292577"/>
    <w:rsid w:val="0029705A"/>
    <w:rsid w:val="002A062F"/>
    <w:rsid w:val="002A1A08"/>
    <w:rsid w:val="002A252E"/>
    <w:rsid w:val="002A3222"/>
    <w:rsid w:val="002A4156"/>
    <w:rsid w:val="002A5A29"/>
    <w:rsid w:val="002A5C70"/>
    <w:rsid w:val="002A6AFC"/>
    <w:rsid w:val="002B0118"/>
    <w:rsid w:val="002B0B7A"/>
    <w:rsid w:val="002B0CAE"/>
    <w:rsid w:val="002B341C"/>
    <w:rsid w:val="002B3E26"/>
    <w:rsid w:val="002B57DF"/>
    <w:rsid w:val="002C37C2"/>
    <w:rsid w:val="002C64AD"/>
    <w:rsid w:val="002C6D93"/>
    <w:rsid w:val="002D1791"/>
    <w:rsid w:val="002D26D1"/>
    <w:rsid w:val="002D4DA6"/>
    <w:rsid w:val="002D53E5"/>
    <w:rsid w:val="002E0714"/>
    <w:rsid w:val="002E07E0"/>
    <w:rsid w:val="002E0F39"/>
    <w:rsid w:val="002E387F"/>
    <w:rsid w:val="002E6F62"/>
    <w:rsid w:val="002F331F"/>
    <w:rsid w:val="002F59C1"/>
    <w:rsid w:val="002F7CD9"/>
    <w:rsid w:val="00303CBA"/>
    <w:rsid w:val="00305C75"/>
    <w:rsid w:val="003116E8"/>
    <w:rsid w:val="00312D70"/>
    <w:rsid w:val="0031400A"/>
    <w:rsid w:val="003143F9"/>
    <w:rsid w:val="00314D67"/>
    <w:rsid w:val="00317143"/>
    <w:rsid w:val="0032069C"/>
    <w:rsid w:val="003212B1"/>
    <w:rsid w:val="003215EE"/>
    <w:rsid w:val="00323DB3"/>
    <w:rsid w:val="00324945"/>
    <w:rsid w:val="00333F4A"/>
    <w:rsid w:val="00334992"/>
    <w:rsid w:val="00335775"/>
    <w:rsid w:val="00335CAA"/>
    <w:rsid w:val="00335F90"/>
    <w:rsid w:val="00337C2D"/>
    <w:rsid w:val="00340730"/>
    <w:rsid w:val="003410CC"/>
    <w:rsid w:val="0034557D"/>
    <w:rsid w:val="00346C34"/>
    <w:rsid w:val="003531A8"/>
    <w:rsid w:val="00360A61"/>
    <w:rsid w:val="003642F3"/>
    <w:rsid w:val="003660A0"/>
    <w:rsid w:val="00370447"/>
    <w:rsid w:val="0037190F"/>
    <w:rsid w:val="003741DB"/>
    <w:rsid w:val="00376857"/>
    <w:rsid w:val="0037753F"/>
    <w:rsid w:val="003862CE"/>
    <w:rsid w:val="00395F15"/>
    <w:rsid w:val="00396CB5"/>
    <w:rsid w:val="0039746B"/>
    <w:rsid w:val="003A2C66"/>
    <w:rsid w:val="003A2CDC"/>
    <w:rsid w:val="003A50B2"/>
    <w:rsid w:val="003A6433"/>
    <w:rsid w:val="003A7E2D"/>
    <w:rsid w:val="003C272B"/>
    <w:rsid w:val="003C2CC2"/>
    <w:rsid w:val="003C33D0"/>
    <w:rsid w:val="003D051F"/>
    <w:rsid w:val="003D070A"/>
    <w:rsid w:val="003D086E"/>
    <w:rsid w:val="003D2CD3"/>
    <w:rsid w:val="003D32CF"/>
    <w:rsid w:val="003D5BA3"/>
    <w:rsid w:val="003D6991"/>
    <w:rsid w:val="003D717D"/>
    <w:rsid w:val="003E2DBE"/>
    <w:rsid w:val="003E36A0"/>
    <w:rsid w:val="003E3C55"/>
    <w:rsid w:val="003E46DC"/>
    <w:rsid w:val="003E5965"/>
    <w:rsid w:val="003F2243"/>
    <w:rsid w:val="003F39CF"/>
    <w:rsid w:val="003F580C"/>
    <w:rsid w:val="004002E8"/>
    <w:rsid w:val="004021F7"/>
    <w:rsid w:val="00403176"/>
    <w:rsid w:val="0040628E"/>
    <w:rsid w:val="004062B0"/>
    <w:rsid w:val="00414836"/>
    <w:rsid w:val="0041748F"/>
    <w:rsid w:val="00422569"/>
    <w:rsid w:val="00423687"/>
    <w:rsid w:val="004238F6"/>
    <w:rsid w:val="00423A70"/>
    <w:rsid w:val="00423CDD"/>
    <w:rsid w:val="00423F7A"/>
    <w:rsid w:val="00424F2F"/>
    <w:rsid w:val="00430846"/>
    <w:rsid w:val="00430AE6"/>
    <w:rsid w:val="0043291C"/>
    <w:rsid w:val="00432CC8"/>
    <w:rsid w:val="00437B22"/>
    <w:rsid w:val="00437E00"/>
    <w:rsid w:val="00441073"/>
    <w:rsid w:val="004431ED"/>
    <w:rsid w:val="00443211"/>
    <w:rsid w:val="00443684"/>
    <w:rsid w:val="004467AD"/>
    <w:rsid w:val="004468F4"/>
    <w:rsid w:val="004505A4"/>
    <w:rsid w:val="00451BD4"/>
    <w:rsid w:val="004533B4"/>
    <w:rsid w:val="00454F41"/>
    <w:rsid w:val="00464DBA"/>
    <w:rsid w:val="00466068"/>
    <w:rsid w:val="004665FC"/>
    <w:rsid w:val="00470167"/>
    <w:rsid w:val="00471A0D"/>
    <w:rsid w:val="0047719A"/>
    <w:rsid w:val="004800ED"/>
    <w:rsid w:val="00484360"/>
    <w:rsid w:val="00486763"/>
    <w:rsid w:val="00486FEC"/>
    <w:rsid w:val="004873CA"/>
    <w:rsid w:val="00491FA9"/>
    <w:rsid w:val="0049414E"/>
    <w:rsid w:val="004962FD"/>
    <w:rsid w:val="0049644C"/>
    <w:rsid w:val="00496B4D"/>
    <w:rsid w:val="00496DAD"/>
    <w:rsid w:val="004A3D83"/>
    <w:rsid w:val="004A6F20"/>
    <w:rsid w:val="004A7CA0"/>
    <w:rsid w:val="004B27E3"/>
    <w:rsid w:val="004B2808"/>
    <w:rsid w:val="004B3B70"/>
    <w:rsid w:val="004B3C8D"/>
    <w:rsid w:val="004B3DB1"/>
    <w:rsid w:val="004B4E86"/>
    <w:rsid w:val="004C0C33"/>
    <w:rsid w:val="004C186D"/>
    <w:rsid w:val="004D5BF9"/>
    <w:rsid w:val="004E00E3"/>
    <w:rsid w:val="004E1A30"/>
    <w:rsid w:val="004E1F5B"/>
    <w:rsid w:val="004E2E49"/>
    <w:rsid w:val="004E41AD"/>
    <w:rsid w:val="004E57BD"/>
    <w:rsid w:val="004E74B5"/>
    <w:rsid w:val="004F12F0"/>
    <w:rsid w:val="004F19AD"/>
    <w:rsid w:val="004F3B9C"/>
    <w:rsid w:val="004F4754"/>
    <w:rsid w:val="004F5BE4"/>
    <w:rsid w:val="004F7589"/>
    <w:rsid w:val="005023EA"/>
    <w:rsid w:val="005036CC"/>
    <w:rsid w:val="00506F5D"/>
    <w:rsid w:val="0050790E"/>
    <w:rsid w:val="00507D11"/>
    <w:rsid w:val="0051011C"/>
    <w:rsid w:val="00511677"/>
    <w:rsid w:val="00512BE7"/>
    <w:rsid w:val="00513D68"/>
    <w:rsid w:val="005145C1"/>
    <w:rsid w:val="00514852"/>
    <w:rsid w:val="005267F0"/>
    <w:rsid w:val="00527002"/>
    <w:rsid w:val="00527F06"/>
    <w:rsid w:val="0053168D"/>
    <w:rsid w:val="005338F4"/>
    <w:rsid w:val="00534EBE"/>
    <w:rsid w:val="00553BC3"/>
    <w:rsid w:val="00564DB0"/>
    <w:rsid w:val="00565D9B"/>
    <w:rsid w:val="00567AD2"/>
    <w:rsid w:val="005724CA"/>
    <w:rsid w:val="005732A9"/>
    <w:rsid w:val="005745C8"/>
    <w:rsid w:val="0058337B"/>
    <w:rsid w:val="00590C03"/>
    <w:rsid w:val="005927DC"/>
    <w:rsid w:val="00592EA5"/>
    <w:rsid w:val="00594D5A"/>
    <w:rsid w:val="005960E2"/>
    <w:rsid w:val="005974DA"/>
    <w:rsid w:val="005A1BB1"/>
    <w:rsid w:val="005A5229"/>
    <w:rsid w:val="005B15C9"/>
    <w:rsid w:val="005B2027"/>
    <w:rsid w:val="005B3B5E"/>
    <w:rsid w:val="005B400E"/>
    <w:rsid w:val="005B6401"/>
    <w:rsid w:val="005B7D48"/>
    <w:rsid w:val="005C02F3"/>
    <w:rsid w:val="005C5CB4"/>
    <w:rsid w:val="005C6A63"/>
    <w:rsid w:val="005C7A27"/>
    <w:rsid w:val="005D201E"/>
    <w:rsid w:val="005D26EE"/>
    <w:rsid w:val="005D458A"/>
    <w:rsid w:val="005D557E"/>
    <w:rsid w:val="005D6FD7"/>
    <w:rsid w:val="005D7CB0"/>
    <w:rsid w:val="005F10E8"/>
    <w:rsid w:val="005F1B52"/>
    <w:rsid w:val="005F3F9D"/>
    <w:rsid w:val="005F4774"/>
    <w:rsid w:val="005F73A7"/>
    <w:rsid w:val="006040E5"/>
    <w:rsid w:val="00607E85"/>
    <w:rsid w:val="006136A1"/>
    <w:rsid w:val="00616062"/>
    <w:rsid w:val="00622E23"/>
    <w:rsid w:val="00623A4C"/>
    <w:rsid w:val="00631ADE"/>
    <w:rsid w:val="0063448B"/>
    <w:rsid w:val="0063691E"/>
    <w:rsid w:val="00637C13"/>
    <w:rsid w:val="00641975"/>
    <w:rsid w:val="00642049"/>
    <w:rsid w:val="00643F38"/>
    <w:rsid w:val="00644C56"/>
    <w:rsid w:val="006517F2"/>
    <w:rsid w:val="00651D2F"/>
    <w:rsid w:val="0065563E"/>
    <w:rsid w:val="006606F0"/>
    <w:rsid w:val="0066071E"/>
    <w:rsid w:val="0066254C"/>
    <w:rsid w:val="00663AFD"/>
    <w:rsid w:val="00663B21"/>
    <w:rsid w:val="00665E57"/>
    <w:rsid w:val="0066772E"/>
    <w:rsid w:val="00670FCA"/>
    <w:rsid w:val="00671C55"/>
    <w:rsid w:val="00672433"/>
    <w:rsid w:val="00676E95"/>
    <w:rsid w:val="0068082F"/>
    <w:rsid w:val="00681719"/>
    <w:rsid w:val="006819B8"/>
    <w:rsid w:val="00683022"/>
    <w:rsid w:val="00685766"/>
    <w:rsid w:val="00693F28"/>
    <w:rsid w:val="0069595D"/>
    <w:rsid w:val="00696E9A"/>
    <w:rsid w:val="006973E5"/>
    <w:rsid w:val="006979D5"/>
    <w:rsid w:val="006A0803"/>
    <w:rsid w:val="006A3096"/>
    <w:rsid w:val="006B43E4"/>
    <w:rsid w:val="006B4E0C"/>
    <w:rsid w:val="006C0957"/>
    <w:rsid w:val="006C2DEC"/>
    <w:rsid w:val="006C3A9D"/>
    <w:rsid w:val="006C3AD1"/>
    <w:rsid w:val="006C7CA0"/>
    <w:rsid w:val="006C7CFF"/>
    <w:rsid w:val="006D021D"/>
    <w:rsid w:val="006D1F11"/>
    <w:rsid w:val="006D2D1F"/>
    <w:rsid w:val="006D74D3"/>
    <w:rsid w:val="006D7CB7"/>
    <w:rsid w:val="006E0225"/>
    <w:rsid w:val="006E0EE2"/>
    <w:rsid w:val="006E6EAC"/>
    <w:rsid w:val="006F00F7"/>
    <w:rsid w:val="006F2697"/>
    <w:rsid w:val="006F7AC3"/>
    <w:rsid w:val="00707C63"/>
    <w:rsid w:val="00707FB9"/>
    <w:rsid w:val="00710AC3"/>
    <w:rsid w:val="00713B97"/>
    <w:rsid w:val="007146F2"/>
    <w:rsid w:val="00721969"/>
    <w:rsid w:val="00721BB8"/>
    <w:rsid w:val="0072233D"/>
    <w:rsid w:val="00723BC2"/>
    <w:rsid w:val="00724192"/>
    <w:rsid w:val="0072527A"/>
    <w:rsid w:val="00735961"/>
    <w:rsid w:val="0073700E"/>
    <w:rsid w:val="00737C26"/>
    <w:rsid w:val="007419A5"/>
    <w:rsid w:val="007438EC"/>
    <w:rsid w:val="00743A85"/>
    <w:rsid w:val="007449C4"/>
    <w:rsid w:val="00745959"/>
    <w:rsid w:val="007464F0"/>
    <w:rsid w:val="00753676"/>
    <w:rsid w:val="00753F76"/>
    <w:rsid w:val="007566D9"/>
    <w:rsid w:val="00756F91"/>
    <w:rsid w:val="00766303"/>
    <w:rsid w:val="0077023E"/>
    <w:rsid w:val="00775368"/>
    <w:rsid w:val="0077718C"/>
    <w:rsid w:val="0077797A"/>
    <w:rsid w:val="0078148C"/>
    <w:rsid w:val="00781C54"/>
    <w:rsid w:val="007858F4"/>
    <w:rsid w:val="00792C8B"/>
    <w:rsid w:val="00795DBB"/>
    <w:rsid w:val="00796235"/>
    <w:rsid w:val="007A333C"/>
    <w:rsid w:val="007A4D69"/>
    <w:rsid w:val="007A5705"/>
    <w:rsid w:val="007A68A8"/>
    <w:rsid w:val="007A7330"/>
    <w:rsid w:val="007B06FE"/>
    <w:rsid w:val="007B34CC"/>
    <w:rsid w:val="007B52F6"/>
    <w:rsid w:val="007B61E2"/>
    <w:rsid w:val="007C14AE"/>
    <w:rsid w:val="007C2226"/>
    <w:rsid w:val="007C5A9E"/>
    <w:rsid w:val="007C6B49"/>
    <w:rsid w:val="007C7950"/>
    <w:rsid w:val="007D1309"/>
    <w:rsid w:val="007D1FC3"/>
    <w:rsid w:val="007D52BA"/>
    <w:rsid w:val="007D5AC8"/>
    <w:rsid w:val="007E09E8"/>
    <w:rsid w:val="007E1FA2"/>
    <w:rsid w:val="007E348C"/>
    <w:rsid w:val="007E63B4"/>
    <w:rsid w:val="007E6511"/>
    <w:rsid w:val="007E6FD3"/>
    <w:rsid w:val="007F0ED0"/>
    <w:rsid w:val="007F4B3D"/>
    <w:rsid w:val="007F6362"/>
    <w:rsid w:val="00800CD5"/>
    <w:rsid w:val="008029EB"/>
    <w:rsid w:val="008039FF"/>
    <w:rsid w:val="0080463F"/>
    <w:rsid w:val="00804BC1"/>
    <w:rsid w:val="00812C5A"/>
    <w:rsid w:val="00813D50"/>
    <w:rsid w:val="00820455"/>
    <w:rsid w:val="00823160"/>
    <w:rsid w:val="00827126"/>
    <w:rsid w:val="00827BEE"/>
    <w:rsid w:val="00827DBB"/>
    <w:rsid w:val="00831555"/>
    <w:rsid w:val="008341DD"/>
    <w:rsid w:val="00842226"/>
    <w:rsid w:val="00843211"/>
    <w:rsid w:val="00843C12"/>
    <w:rsid w:val="00843E6E"/>
    <w:rsid w:val="00845D1A"/>
    <w:rsid w:val="008510B2"/>
    <w:rsid w:val="00851C46"/>
    <w:rsid w:val="00854393"/>
    <w:rsid w:val="00857580"/>
    <w:rsid w:val="008613E5"/>
    <w:rsid w:val="00863BD2"/>
    <w:rsid w:val="008646C4"/>
    <w:rsid w:val="0086763F"/>
    <w:rsid w:val="00867B62"/>
    <w:rsid w:val="00870190"/>
    <w:rsid w:val="00870462"/>
    <w:rsid w:val="00872859"/>
    <w:rsid w:val="008734DC"/>
    <w:rsid w:val="00880318"/>
    <w:rsid w:val="00883F0B"/>
    <w:rsid w:val="0088502C"/>
    <w:rsid w:val="00885DEC"/>
    <w:rsid w:val="00886FE4"/>
    <w:rsid w:val="008906BB"/>
    <w:rsid w:val="00891F6E"/>
    <w:rsid w:val="00894B88"/>
    <w:rsid w:val="00895344"/>
    <w:rsid w:val="0089542B"/>
    <w:rsid w:val="008A0532"/>
    <w:rsid w:val="008A12CC"/>
    <w:rsid w:val="008A198F"/>
    <w:rsid w:val="008A3D32"/>
    <w:rsid w:val="008A5950"/>
    <w:rsid w:val="008A6676"/>
    <w:rsid w:val="008A71D8"/>
    <w:rsid w:val="008B3C79"/>
    <w:rsid w:val="008B5316"/>
    <w:rsid w:val="008B57A1"/>
    <w:rsid w:val="008B5C45"/>
    <w:rsid w:val="008B7126"/>
    <w:rsid w:val="008C07AB"/>
    <w:rsid w:val="008C4617"/>
    <w:rsid w:val="008C6BE2"/>
    <w:rsid w:val="008C6E23"/>
    <w:rsid w:val="008C7838"/>
    <w:rsid w:val="008D1193"/>
    <w:rsid w:val="008D1B62"/>
    <w:rsid w:val="008D3664"/>
    <w:rsid w:val="008D464D"/>
    <w:rsid w:val="008D7971"/>
    <w:rsid w:val="008E77DE"/>
    <w:rsid w:val="008F07F4"/>
    <w:rsid w:val="008F1085"/>
    <w:rsid w:val="008F1D12"/>
    <w:rsid w:val="008F4755"/>
    <w:rsid w:val="008F4DD2"/>
    <w:rsid w:val="008F6950"/>
    <w:rsid w:val="008F6C98"/>
    <w:rsid w:val="008F6D09"/>
    <w:rsid w:val="00900FC3"/>
    <w:rsid w:val="0090186F"/>
    <w:rsid w:val="00901E33"/>
    <w:rsid w:val="00902D94"/>
    <w:rsid w:val="00904E91"/>
    <w:rsid w:val="009075CB"/>
    <w:rsid w:val="00907D76"/>
    <w:rsid w:val="009146F7"/>
    <w:rsid w:val="00915DD6"/>
    <w:rsid w:val="00921E37"/>
    <w:rsid w:val="00923F35"/>
    <w:rsid w:val="009321B1"/>
    <w:rsid w:val="009328B0"/>
    <w:rsid w:val="009329C5"/>
    <w:rsid w:val="00932AE7"/>
    <w:rsid w:val="00934246"/>
    <w:rsid w:val="00935751"/>
    <w:rsid w:val="009405B5"/>
    <w:rsid w:val="0094095C"/>
    <w:rsid w:val="0094574B"/>
    <w:rsid w:val="00955A97"/>
    <w:rsid w:val="00956523"/>
    <w:rsid w:val="009576DA"/>
    <w:rsid w:val="00960A2D"/>
    <w:rsid w:val="00960CA2"/>
    <w:rsid w:val="00965DB7"/>
    <w:rsid w:val="0097290F"/>
    <w:rsid w:val="00973EF0"/>
    <w:rsid w:val="009746BB"/>
    <w:rsid w:val="00976EBB"/>
    <w:rsid w:val="00982F26"/>
    <w:rsid w:val="00983AEB"/>
    <w:rsid w:val="009847D2"/>
    <w:rsid w:val="009913E7"/>
    <w:rsid w:val="00991768"/>
    <w:rsid w:val="00993C75"/>
    <w:rsid w:val="00995155"/>
    <w:rsid w:val="009966D4"/>
    <w:rsid w:val="009A489E"/>
    <w:rsid w:val="009A4904"/>
    <w:rsid w:val="009A5612"/>
    <w:rsid w:val="009A5DB9"/>
    <w:rsid w:val="009B00BB"/>
    <w:rsid w:val="009B739C"/>
    <w:rsid w:val="009C08FA"/>
    <w:rsid w:val="009C1429"/>
    <w:rsid w:val="009C26E8"/>
    <w:rsid w:val="009C387C"/>
    <w:rsid w:val="009C4920"/>
    <w:rsid w:val="009C4E65"/>
    <w:rsid w:val="009C6235"/>
    <w:rsid w:val="009C78E4"/>
    <w:rsid w:val="009D4432"/>
    <w:rsid w:val="009D5736"/>
    <w:rsid w:val="009D7914"/>
    <w:rsid w:val="009E0946"/>
    <w:rsid w:val="009E1CBB"/>
    <w:rsid w:val="009E278E"/>
    <w:rsid w:val="009E5F59"/>
    <w:rsid w:val="009F00F0"/>
    <w:rsid w:val="009F1610"/>
    <w:rsid w:val="009F20D5"/>
    <w:rsid w:val="009F4047"/>
    <w:rsid w:val="009F488F"/>
    <w:rsid w:val="009F589B"/>
    <w:rsid w:val="009F5F8C"/>
    <w:rsid w:val="009F794F"/>
    <w:rsid w:val="00A003F8"/>
    <w:rsid w:val="00A01677"/>
    <w:rsid w:val="00A0402F"/>
    <w:rsid w:val="00A044A6"/>
    <w:rsid w:val="00A0457D"/>
    <w:rsid w:val="00A05000"/>
    <w:rsid w:val="00A1097F"/>
    <w:rsid w:val="00A12BB0"/>
    <w:rsid w:val="00A132DA"/>
    <w:rsid w:val="00A14768"/>
    <w:rsid w:val="00A1651D"/>
    <w:rsid w:val="00A2098F"/>
    <w:rsid w:val="00A22EA1"/>
    <w:rsid w:val="00A242F0"/>
    <w:rsid w:val="00A317D3"/>
    <w:rsid w:val="00A321E0"/>
    <w:rsid w:val="00A32EB4"/>
    <w:rsid w:val="00A35408"/>
    <w:rsid w:val="00A35FEE"/>
    <w:rsid w:val="00A42046"/>
    <w:rsid w:val="00A43FD6"/>
    <w:rsid w:val="00A45A32"/>
    <w:rsid w:val="00A52705"/>
    <w:rsid w:val="00A53816"/>
    <w:rsid w:val="00A5729E"/>
    <w:rsid w:val="00A60272"/>
    <w:rsid w:val="00A63E93"/>
    <w:rsid w:val="00A710D8"/>
    <w:rsid w:val="00A7165D"/>
    <w:rsid w:val="00A7221C"/>
    <w:rsid w:val="00A7520B"/>
    <w:rsid w:val="00A7559B"/>
    <w:rsid w:val="00A76056"/>
    <w:rsid w:val="00A760DC"/>
    <w:rsid w:val="00A76685"/>
    <w:rsid w:val="00A76A88"/>
    <w:rsid w:val="00A775D0"/>
    <w:rsid w:val="00A81A3C"/>
    <w:rsid w:val="00A82720"/>
    <w:rsid w:val="00A87719"/>
    <w:rsid w:val="00A87765"/>
    <w:rsid w:val="00A91814"/>
    <w:rsid w:val="00A940F8"/>
    <w:rsid w:val="00A9695D"/>
    <w:rsid w:val="00AA1719"/>
    <w:rsid w:val="00AA3BF5"/>
    <w:rsid w:val="00AA42C2"/>
    <w:rsid w:val="00AA4732"/>
    <w:rsid w:val="00AA5440"/>
    <w:rsid w:val="00AB4C79"/>
    <w:rsid w:val="00AB4FF2"/>
    <w:rsid w:val="00AC0FBC"/>
    <w:rsid w:val="00AC3E68"/>
    <w:rsid w:val="00AC6DB3"/>
    <w:rsid w:val="00AD0C38"/>
    <w:rsid w:val="00AD2414"/>
    <w:rsid w:val="00AD34EE"/>
    <w:rsid w:val="00AD3E7E"/>
    <w:rsid w:val="00AD4D4C"/>
    <w:rsid w:val="00AD686C"/>
    <w:rsid w:val="00AD71AF"/>
    <w:rsid w:val="00AD7A5F"/>
    <w:rsid w:val="00AE288F"/>
    <w:rsid w:val="00AE5D77"/>
    <w:rsid w:val="00AE6CB8"/>
    <w:rsid w:val="00AF250E"/>
    <w:rsid w:val="00AF3CC3"/>
    <w:rsid w:val="00AF6CCF"/>
    <w:rsid w:val="00B0278A"/>
    <w:rsid w:val="00B14E68"/>
    <w:rsid w:val="00B16DD8"/>
    <w:rsid w:val="00B17875"/>
    <w:rsid w:val="00B214A6"/>
    <w:rsid w:val="00B222AC"/>
    <w:rsid w:val="00B258B6"/>
    <w:rsid w:val="00B2748D"/>
    <w:rsid w:val="00B30680"/>
    <w:rsid w:val="00B308F0"/>
    <w:rsid w:val="00B40985"/>
    <w:rsid w:val="00B428F7"/>
    <w:rsid w:val="00B42C44"/>
    <w:rsid w:val="00B4643A"/>
    <w:rsid w:val="00B47D42"/>
    <w:rsid w:val="00B6117F"/>
    <w:rsid w:val="00B6545D"/>
    <w:rsid w:val="00B67981"/>
    <w:rsid w:val="00B7103C"/>
    <w:rsid w:val="00B71711"/>
    <w:rsid w:val="00B74AB7"/>
    <w:rsid w:val="00B74FD6"/>
    <w:rsid w:val="00B75A1B"/>
    <w:rsid w:val="00B81F7C"/>
    <w:rsid w:val="00B83ADD"/>
    <w:rsid w:val="00B851A5"/>
    <w:rsid w:val="00B85E9F"/>
    <w:rsid w:val="00B86EB6"/>
    <w:rsid w:val="00B872CB"/>
    <w:rsid w:val="00BA288E"/>
    <w:rsid w:val="00BB4ABF"/>
    <w:rsid w:val="00BB5899"/>
    <w:rsid w:val="00BB62DB"/>
    <w:rsid w:val="00BB7A81"/>
    <w:rsid w:val="00BC06DE"/>
    <w:rsid w:val="00BC25C0"/>
    <w:rsid w:val="00BC4D80"/>
    <w:rsid w:val="00BD18F0"/>
    <w:rsid w:val="00BD2996"/>
    <w:rsid w:val="00BD7B98"/>
    <w:rsid w:val="00BE1545"/>
    <w:rsid w:val="00BE197E"/>
    <w:rsid w:val="00BE2A2A"/>
    <w:rsid w:val="00BE2EC4"/>
    <w:rsid w:val="00BE5380"/>
    <w:rsid w:val="00BE5899"/>
    <w:rsid w:val="00BE617F"/>
    <w:rsid w:val="00BE7A99"/>
    <w:rsid w:val="00BF085A"/>
    <w:rsid w:val="00BF1290"/>
    <w:rsid w:val="00BF1C77"/>
    <w:rsid w:val="00BF41CA"/>
    <w:rsid w:val="00BF690B"/>
    <w:rsid w:val="00C0121C"/>
    <w:rsid w:val="00C10D5C"/>
    <w:rsid w:val="00C110F0"/>
    <w:rsid w:val="00C13131"/>
    <w:rsid w:val="00C14452"/>
    <w:rsid w:val="00C15406"/>
    <w:rsid w:val="00C15AA7"/>
    <w:rsid w:val="00C167EA"/>
    <w:rsid w:val="00C21865"/>
    <w:rsid w:val="00C26468"/>
    <w:rsid w:val="00C27D0D"/>
    <w:rsid w:val="00C30A7E"/>
    <w:rsid w:val="00C31BA4"/>
    <w:rsid w:val="00C328A3"/>
    <w:rsid w:val="00C434A5"/>
    <w:rsid w:val="00C4543E"/>
    <w:rsid w:val="00C46A06"/>
    <w:rsid w:val="00C51D68"/>
    <w:rsid w:val="00C53DBF"/>
    <w:rsid w:val="00C549F7"/>
    <w:rsid w:val="00C551EA"/>
    <w:rsid w:val="00C556B3"/>
    <w:rsid w:val="00C55EEB"/>
    <w:rsid w:val="00C62795"/>
    <w:rsid w:val="00C65FEE"/>
    <w:rsid w:val="00C669CE"/>
    <w:rsid w:val="00C6708E"/>
    <w:rsid w:val="00C717D8"/>
    <w:rsid w:val="00C77A1A"/>
    <w:rsid w:val="00C8272F"/>
    <w:rsid w:val="00C82C4B"/>
    <w:rsid w:val="00C83843"/>
    <w:rsid w:val="00C84F07"/>
    <w:rsid w:val="00C85241"/>
    <w:rsid w:val="00C8632A"/>
    <w:rsid w:val="00C94BE5"/>
    <w:rsid w:val="00C95318"/>
    <w:rsid w:val="00C953AF"/>
    <w:rsid w:val="00C97E68"/>
    <w:rsid w:val="00CA2B73"/>
    <w:rsid w:val="00CA33E7"/>
    <w:rsid w:val="00CA3503"/>
    <w:rsid w:val="00CA4220"/>
    <w:rsid w:val="00CB06AA"/>
    <w:rsid w:val="00CB2EAF"/>
    <w:rsid w:val="00CB4111"/>
    <w:rsid w:val="00CB4B8C"/>
    <w:rsid w:val="00CB6EC7"/>
    <w:rsid w:val="00CC4356"/>
    <w:rsid w:val="00CC5ED0"/>
    <w:rsid w:val="00CC607D"/>
    <w:rsid w:val="00CD0A5A"/>
    <w:rsid w:val="00CD1463"/>
    <w:rsid w:val="00CD1CB4"/>
    <w:rsid w:val="00CD2D47"/>
    <w:rsid w:val="00CD3FF3"/>
    <w:rsid w:val="00CD4234"/>
    <w:rsid w:val="00CD5B0D"/>
    <w:rsid w:val="00CD5D4A"/>
    <w:rsid w:val="00CD610F"/>
    <w:rsid w:val="00CE1720"/>
    <w:rsid w:val="00CE4472"/>
    <w:rsid w:val="00CE4F2D"/>
    <w:rsid w:val="00CE5B0B"/>
    <w:rsid w:val="00CF0C93"/>
    <w:rsid w:val="00CF3C46"/>
    <w:rsid w:val="00CF46F9"/>
    <w:rsid w:val="00CF4DD2"/>
    <w:rsid w:val="00CF5FB1"/>
    <w:rsid w:val="00D00F0F"/>
    <w:rsid w:val="00D03932"/>
    <w:rsid w:val="00D043EF"/>
    <w:rsid w:val="00D044F1"/>
    <w:rsid w:val="00D112B1"/>
    <w:rsid w:val="00D1185D"/>
    <w:rsid w:val="00D16A27"/>
    <w:rsid w:val="00D24150"/>
    <w:rsid w:val="00D31C4A"/>
    <w:rsid w:val="00D31E12"/>
    <w:rsid w:val="00D31F75"/>
    <w:rsid w:val="00D37129"/>
    <w:rsid w:val="00D37E3E"/>
    <w:rsid w:val="00D401B3"/>
    <w:rsid w:val="00D40A10"/>
    <w:rsid w:val="00D40C81"/>
    <w:rsid w:val="00D44FAA"/>
    <w:rsid w:val="00D45F62"/>
    <w:rsid w:val="00D47AEF"/>
    <w:rsid w:val="00D52446"/>
    <w:rsid w:val="00D52DF4"/>
    <w:rsid w:val="00D55624"/>
    <w:rsid w:val="00D55ABC"/>
    <w:rsid w:val="00D60FF1"/>
    <w:rsid w:val="00D6144E"/>
    <w:rsid w:val="00D61677"/>
    <w:rsid w:val="00D65C65"/>
    <w:rsid w:val="00D66EE8"/>
    <w:rsid w:val="00D67768"/>
    <w:rsid w:val="00D679FD"/>
    <w:rsid w:val="00D71288"/>
    <w:rsid w:val="00D72FEC"/>
    <w:rsid w:val="00D74118"/>
    <w:rsid w:val="00D77C88"/>
    <w:rsid w:val="00D80775"/>
    <w:rsid w:val="00D82B4E"/>
    <w:rsid w:val="00D83E17"/>
    <w:rsid w:val="00D8508B"/>
    <w:rsid w:val="00D86235"/>
    <w:rsid w:val="00D90098"/>
    <w:rsid w:val="00D946F6"/>
    <w:rsid w:val="00DA0CDA"/>
    <w:rsid w:val="00DA1216"/>
    <w:rsid w:val="00DA1BB1"/>
    <w:rsid w:val="00DA2882"/>
    <w:rsid w:val="00DA4A2C"/>
    <w:rsid w:val="00DA55D4"/>
    <w:rsid w:val="00DA7234"/>
    <w:rsid w:val="00DA7381"/>
    <w:rsid w:val="00DB0D5B"/>
    <w:rsid w:val="00DB6A22"/>
    <w:rsid w:val="00DB727B"/>
    <w:rsid w:val="00DC5E33"/>
    <w:rsid w:val="00DC7AB3"/>
    <w:rsid w:val="00DD02CF"/>
    <w:rsid w:val="00DD24D6"/>
    <w:rsid w:val="00DD2E5B"/>
    <w:rsid w:val="00DE317C"/>
    <w:rsid w:val="00DE3ED5"/>
    <w:rsid w:val="00DE4A09"/>
    <w:rsid w:val="00DE4EF2"/>
    <w:rsid w:val="00DE7C92"/>
    <w:rsid w:val="00DF4BE0"/>
    <w:rsid w:val="00DF730F"/>
    <w:rsid w:val="00DF76F4"/>
    <w:rsid w:val="00E04043"/>
    <w:rsid w:val="00E047E2"/>
    <w:rsid w:val="00E05543"/>
    <w:rsid w:val="00E13B3B"/>
    <w:rsid w:val="00E141A6"/>
    <w:rsid w:val="00E26839"/>
    <w:rsid w:val="00E27B2E"/>
    <w:rsid w:val="00E32E01"/>
    <w:rsid w:val="00E33257"/>
    <w:rsid w:val="00E34A50"/>
    <w:rsid w:val="00E43722"/>
    <w:rsid w:val="00E447CC"/>
    <w:rsid w:val="00E45E6A"/>
    <w:rsid w:val="00E4619C"/>
    <w:rsid w:val="00E46B53"/>
    <w:rsid w:val="00E51886"/>
    <w:rsid w:val="00E51991"/>
    <w:rsid w:val="00E51B09"/>
    <w:rsid w:val="00E51CBC"/>
    <w:rsid w:val="00E561C9"/>
    <w:rsid w:val="00E57F36"/>
    <w:rsid w:val="00E6242E"/>
    <w:rsid w:val="00E679EE"/>
    <w:rsid w:val="00E701BB"/>
    <w:rsid w:val="00E71620"/>
    <w:rsid w:val="00E723C6"/>
    <w:rsid w:val="00E7456F"/>
    <w:rsid w:val="00E75536"/>
    <w:rsid w:val="00E7572E"/>
    <w:rsid w:val="00E76778"/>
    <w:rsid w:val="00E77AC3"/>
    <w:rsid w:val="00E837FB"/>
    <w:rsid w:val="00E84D82"/>
    <w:rsid w:val="00E856BD"/>
    <w:rsid w:val="00E85772"/>
    <w:rsid w:val="00E8673D"/>
    <w:rsid w:val="00E87D68"/>
    <w:rsid w:val="00E927EC"/>
    <w:rsid w:val="00E96920"/>
    <w:rsid w:val="00E97EEF"/>
    <w:rsid w:val="00EA2B4A"/>
    <w:rsid w:val="00EA3283"/>
    <w:rsid w:val="00EA38BA"/>
    <w:rsid w:val="00EA448D"/>
    <w:rsid w:val="00EA48E9"/>
    <w:rsid w:val="00EA53C5"/>
    <w:rsid w:val="00EA54A2"/>
    <w:rsid w:val="00EA5EAC"/>
    <w:rsid w:val="00EA7E73"/>
    <w:rsid w:val="00EB4078"/>
    <w:rsid w:val="00EB4593"/>
    <w:rsid w:val="00EB5377"/>
    <w:rsid w:val="00EB6B24"/>
    <w:rsid w:val="00EB6EE0"/>
    <w:rsid w:val="00EB76DA"/>
    <w:rsid w:val="00EB7B34"/>
    <w:rsid w:val="00EC291E"/>
    <w:rsid w:val="00EC3CBA"/>
    <w:rsid w:val="00EC584F"/>
    <w:rsid w:val="00ED3F96"/>
    <w:rsid w:val="00ED5107"/>
    <w:rsid w:val="00ED57E7"/>
    <w:rsid w:val="00ED5C08"/>
    <w:rsid w:val="00ED66A5"/>
    <w:rsid w:val="00EE0FCE"/>
    <w:rsid w:val="00EE2A54"/>
    <w:rsid w:val="00EE4247"/>
    <w:rsid w:val="00EE50CC"/>
    <w:rsid w:val="00EE65F9"/>
    <w:rsid w:val="00EF1250"/>
    <w:rsid w:val="00EF4E00"/>
    <w:rsid w:val="00EF5458"/>
    <w:rsid w:val="00F0501B"/>
    <w:rsid w:val="00F11FD7"/>
    <w:rsid w:val="00F13621"/>
    <w:rsid w:val="00F20587"/>
    <w:rsid w:val="00F25947"/>
    <w:rsid w:val="00F33972"/>
    <w:rsid w:val="00F379F2"/>
    <w:rsid w:val="00F409C1"/>
    <w:rsid w:val="00F41361"/>
    <w:rsid w:val="00F41928"/>
    <w:rsid w:val="00F41E0C"/>
    <w:rsid w:val="00F455C7"/>
    <w:rsid w:val="00F460A2"/>
    <w:rsid w:val="00F4624E"/>
    <w:rsid w:val="00F47850"/>
    <w:rsid w:val="00F5134E"/>
    <w:rsid w:val="00F5164A"/>
    <w:rsid w:val="00F53D8D"/>
    <w:rsid w:val="00F54879"/>
    <w:rsid w:val="00F5560B"/>
    <w:rsid w:val="00F55C6A"/>
    <w:rsid w:val="00F55FBB"/>
    <w:rsid w:val="00F57976"/>
    <w:rsid w:val="00F60B70"/>
    <w:rsid w:val="00F620C7"/>
    <w:rsid w:val="00F664B8"/>
    <w:rsid w:val="00F75209"/>
    <w:rsid w:val="00F76163"/>
    <w:rsid w:val="00F81754"/>
    <w:rsid w:val="00F81ADD"/>
    <w:rsid w:val="00F8562F"/>
    <w:rsid w:val="00F86B8D"/>
    <w:rsid w:val="00F90FA9"/>
    <w:rsid w:val="00F959C0"/>
    <w:rsid w:val="00F970FA"/>
    <w:rsid w:val="00FA3BBC"/>
    <w:rsid w:val="00FA4E01"/>
    <w:rsid w:val="00FA7648"/>
    <w:rsid w:val="00FA7BCD"/>
    <w:rsid w:val="00FA7E32"/>
    <w:rsid w:val="00FB0087"/>
    <w:rsid w:val="00FB587C"/>
    <w:rsid w:val="00FB67BA"/>
    <w:rsid w:val="00FB680B"/>
    <w:rsid w:val="00FB717C"/>
    <w:rsid w:val="00FC06CC"/>
    <w:rsid w:val="00FC093E"/>
    <w:rsid w:val="00FC1189"/>
    <w:rsid w:val="00FC1E34"/>
    <w:rsid w:val="00FC255E"/>
    <w:rsid w:val="00FC3707"/>
    <w:rsid w:val="00FC48C9"/>
    <w:rsid w:val="00FC4C67"/>
    <w:rsid w:val="00FC6CDB"/>
    <w:rsid w:val="00FD6136"/>
    <w:rsid w:val="00FE060F"/>
    <w:rsid w:val="00FE0B67"/>
    <w:rsid w:val="00FE0E21"/>
    <w:rsid w:val="00FE123F"/>
    <w:rsid w:val="00FE28A5"/>
    <w:rsid w:val="00FE52D9"/>
    <w:rsid w:val="00FE5D14"/>
    <w:rsid w:val="00FE5FA0"/>
    <w:rsid w:val="00FE64EC"/>
    <w:rsid w:val="00FF0496"/>
    <w:rsid w:val="00FF06B2"/>
    <w:rsid w:val="00FF217C"/>
    <w:rsid w:val="00FF66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742CF"/>
  <w15:docId w15:val="{303BBFF7-21EE-4A03-B535-A63D8D4BA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Lijstalinea"/>
    <w:next w:val="Standaard"/>
    <w:link w:val="Kop1Char"/>
    <w:uiPriority w:val="9"/>
    <w:qFormat/>
    <w:rsid w:val="00035B05"/>
    <w:pPr>
      <w:numPr>
        <w:numId w:val="1"/>
      </w:numPr>
      <w:ind w:left="567" w:hanging="567"/>
      <w:outlineLvl w:val="0"/>
    </w:pPr>
    <w:rPr>
      <w:u w:val="single"/>
    </w:rPr>
  </w:style>
  <w:style w:type="paragraph" w:styleId="Kop2">
    <w:name w:val="heading 2"/>
    <w:basedOn w:val="Lijstalinea"/>
    <w:next w:val="Standaard"/>
    <w:link w:val="Kop2Char"/>
    <w:uiPriority w:val="9"/>
    <w:unhideWhenUsed/>
    <w:qFormat/>
    <w:rsid w:val="00A12BB0"/>
    <w:pPr>
      <w:numPr>
        <w:numId w:val="2"/>
      </w:numPr>
      <w:ind w:left="720"/>
      <w:outlineLvl w:val="1"/>
    </w:pPr>
    <w:rPr>
      <w:rFonts w:eastAsia="Calibri"/>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2E0714"/>
    <w:rPr>
      <w:color w:val="666666"/>
    </w:rPr>
  </w:style>
  <w:style w:type="paragraph" w:styleId="Revisie">
    <w:name w:val="Revision"/>
    <w:hidden/>
    <w:uiPriority w:val="99"/>
    <w:semiHidden/>
    <w:rsid w:val="00891F6E"/>
    <w:rPr>
      <w:rFonts w:ascii="Univers" w:hAnsi="Univers"/>
      <w:sz w:val="22"/>
      <w:szCs w:val="24"/>
    </w:rPr>
  </w:style>
  <w:style w:type="paragraph" w:styleId="Voetnoottekst">
    <w:name w:val="footnote text"/>
    <w:basedOn w:val="Standaard"/>
    <w:link w:val="VoetnoottekstChar"/>
    <w:uiPriority w:val="99"/>
    <w:unhideWhenUsed/>
    <w:rsid w:val="00035B05"/>
    <w:rPr>
      <w:kern w:val="2"/>
      <w:sz w:val="20"/>
      <w:szCs w:val="20"/>
      <w14:ligatures w14:val="standardContextual"/>
    </w:rPr>
  </w:style>
  <w:style w:type="character" w:customStyle="1" w:styleId="VoetnoottekstChar">
    <w:name w:val="Voetnoottekst Char"/>
    <w:basedOn w:val="Standaardalinea-lettertype"/>
    <w:link w:val="Voetnoottekst"/>
    <w:uiPriority w:val="99"/>
    <w:rsid w:val="00035B05"/>
    <w:rPr>
      <w:rFonts w:ascii="Univers" w:hAnsi="Univers"/>
      <w:kern w:val="2"/>
      <w14:ligatures w14:val="standardContextual"/>
    </w:rPr>
  </w:style>
  <w:style w:type="character" w:styleId="Voetnootmarkering">
    <w:name w:val="footnote reference"/>
    <w:basedOn w:val="Standaardalinea-lettertype"/>
    <w:uiPriority w:val="99"/>
    <w:unhideWhenUsed/>
    <w:rsid w:val="00035B05"/>
    <w:rPr>
      <w:vertAlign w:val="superscript"/>
    </w:rPr>
  </w:style>
  <w:style w:type="character" w:styleId="Hyperlink">
    <w:name w:val="Hyperlink"/>
    <w:basedOn w:val="Standaardalinea-lettertype"/>
    <w:uiPriority w:val="99"/>
    <w:unhideWhenUsed/>
    <w:rsid w:val="00035B05"/>
    <w:rPr>
      <w:color w:val="0000FF" w:themeColor="hyperlink"/>
      <w:u w:val="single"/>
    </w:rPr>
  </w:style>
  <w:style w:type="paragraph" w:styleId="Geenafstand">
    <w:name w:val="No Spacing"/>
    <w:uiPriority w:val="1"/>
    <w:qFormat/>
    <w:rsid w:val="00035B05"/>
    <w:rPr>
      <w:rFonts w:ascii="Verdana" w:eastAsiaTheme="minorHAnsi" w:hAnsi="Verdana" w:cstheme="minorBidi"/>
      <w:sz w:val="18"/>
      <w:szCs w:val="22"/>
      <w:lang w:val="en-US" w:eastAsia="en-US"/>
    </w:rPr>
  </w:style>
  <w:style w:type="paragraph" w:styleId="Lijstalinea">
    <w:name w:val="List Paragraph"/>
    <w:basedOn w:val="Standaard"/>
    <w:uiPriority w:val="34"/>
    <w:qFormat/>
    <w:rsid w:val="00035B05"/>
    <w:pPr>
      <w:ind w:left="720"/>
      <w:contextualSpacing/>
    </w:pPr>
  </w:style>
  <w:style w:type="character" w:customStyle="1" w:styleId="Kop1Char">
    <w:name w:val="Kop 1 Char"/>
    <w:basedOn w:val="Standaardalinea-lettertype"/>
    <w:link w:val="Kop1"/>
    <w:uiPriority w:val="9"/>
    <w:rsid w:val="00035B05"/>
    <w:rPr>
      <w:rFonts w:ascii="Univers" w:hAnsi="Univers"/>
      <w:sz w:val="22"/>
      <w:szCs w:val="24"/>
      <w:u w:val="single"/>
    </w:rPr>
  </w:style>
  <w:style w:type="character" w:styleId="GevolgdeHyperlink">
    <w:name w:val="FollowedHyperlink"/>
    <w:basedOn w:val="Standaardalinea-lettertype"/>
    <w:uiPriority w:val="99"/>
    <w:semiHidden/>
    <w:unhideWhenUsed/>
    <w:rsid w:val="00EB5377"/>
    <w:rPr>
      <w:color w:val="800080" w:themeColor="followedHyperlink"/>
      <w:u w:val="single"/>
    </w:rPr>
  </w:style>
  <w:style w:type="character" w:styleId="Onopgelostemelding">
    <w:name w:val="Unresolved Mention"/>
    <w:basedOn w:val="Standaardalinea-lettertype"/>
    <w:uiPriority w:val="99"/>
    <w:rsid w:val="0037190F"/>
    <w:rPr>
      <w:color w:val="605E5C"/>
      <w:shd w:val="clear" w:color="auto" w:fill="E1DFDD"/>
    </w:rPr>
  </w:style>
  <w:style w:type="character" w:customStyle="1" w:styleId="Kop2Char">
    <w:name w:val="Kop 2 Char"/>
    <w:basedOn w:val="Standaardalinea-lettertype"/>
    <w:link w:val="Kop2"/>
    <w:uiPriority w:val="9"/>
    <w:rsid w:val="00A12BB0"/>
    <w:rPr>
      <w:rFonts w:ascii="Univers" w:eastAsia="Calibri" w:hAnsi="Univers"/>
      <w:i/>
      <w:iCs/>
      <w:sz w:val="22"/>
      <w:szCs w:val="24"/>
    </w:rPr>
  </w:style>
  <w:style w:type="character" w:styleId="Verwijzingopmerking">
    <w:name w:val="annotation reference"/>
    <w:basedOn w:val="Standaardalinea-lettertype"/>
    <w:uiPriority w:val="99"/>
    <w:semiHidden/>
    <w:unhideWhenUsed/>
    <w:rsid w:val="00FE52D9"/>
    <w:rPr>
      <w:sz w:val="16"/>
      <w:szCs w:val="16"/>
    </w:rPr>
  </w:style>
  <w:style w:type="paragraph" w:styleId="Tekstopmerking">
    <w:name w:val="annotation text"/>
    <w:basedOn w:val="Standaard"/>
    <w:link w:val="TekstopmerkingChar"/>
    <w:uiPriority w:val="99"/>
    <w:unhideWhenUsed/>
    <w:rsid w:val="00FE52D9"/>
    <w:rPr>
      <w:sz w:val="20"/>
      <w:szCs w:val="20"/>
    </w:rPr>
  </w:style>
  <w:style w:type="character" w:customStyle="1" w:styleId="TekstopmerkingChar">
    <w:name w:val="Tekst opmerking Char"/>
    <w:basedOn w:val="Standaardalinea-lettertype"/>
    <w:link w:val="Tekstopmerking"/>
    <w:uiPriority w:val="99"/>
    <w:rsid w:val="00FE52D9"/>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FE52D9"/>
    <w:rPr>
      <w:b/>
      <w:bCs/>
    </w:rPr>
  </w:style>
  <w:style w:type="character" w:customStyle="1" w:styleId="OnderwerpvanopmerkingChar">
    <w:name w:val="Onderwerp van opmerking Char"/>
    <w:basedOn w:val="TekstopmerkingChar"/>
    <w:link w:val="Onderwerpvanopmerking"/>
    <w:uiPriority w:val="99"/>
    <w:semiHidden/>
    <w:rsid w:val="00FE52D9"/>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footer" Target="footer1.xml" Id="rId14"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stb-2025-118" TargetMode="External"/><Relationship Id="rId2" Type="http://schemas.openxmlformats.org/officeDocument/2006/relationships/hyperlink" Target="https://zoek.officielebekendmakingen.nl/stb-2024-89.html" TargetMode="External"/><Relationship Id="rId1" Type="http://schemas.openxmlformats.org/officeDocument/2006/relationships/hyperlink" Target="https://zoek.officielebekendmakingen.nl/stb-2023-141.html" TargetMode="External"/><Relationship Id="rId6" Type="http://schemas.openxmlformats.org/officeDocument/2006/relationships/hyperlink" Target="https://ris.konsehoinsular.org/Agenda/Document/5f2b7057-9e6c-4966-b5f7-f9a8d298e752?documentId=f52fdc4d-adaa-4b29-b949-fc564deb741b&amp;agendaItemId=b7bc0dff-773e-4e77-8086-9b8d613d7df7" TargetMode="External"/><Relationship Id="rId5" Type="http://schemas.openxmlformats.org/officeDocument/2006/relationships/hyperlink" Target="https://opendata.cbs.nl/" TargetMode="External"/><Relationship Id="rId4" Type="http://schemas.openxmlformats.org/officeDocument/2006/relationships/hyperlink" Target="https://curia.europa.eu/juris/document/document.jsf?docid=198844&amp;pageIndex=0&amp;doclang=N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63E7C9BE-0F3E-4547-AFFB-A20BEBE0B121}"/>
      </w:docPartPr>
      <w:docPartBody>
        <w:p w:rsidR="000215DC" w:rsidRDefault="000215DC">
          <w:r w:rsidRPr="00953FC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5DC"/>
    <w:rsid w:val="000215DC"/>
    <w:rsid w:val="0010050B"/>
    <w:rsid w:val="0018171E"/>
    <w:rsid w:val="00261EFF"/>
    <w:rsid w:val="002622D5"/>
    <w:rsid w:val="00292577"/>
    <w:rsid w:val="00443211"/>
    <w:rsid w:val="0053689B"/>
    <w:rsid w:val="00553BC3"/>
    <w:rsid w:val="0063448B"/>
    <w:rsid w:val="00796235"/>
    <w:rsid w:val="007E7593"/>
    <w:rsid w:val="009146F7"/>
    <w:rsid w:val="00A317D3"/>
    <w:rsid w:val="00B258B6"/>
    <w:rsid w:val="00C8632A"/>
    <w:rsid w:val="00CD5D4A"/>
    <w:rsid w:val="00D60FF1"/>
    <w:rsid w:val="00E75536"/>
    <w:rsid w:val="00EB4593"/>
    <w:rsid w:val="00EE0FCE"/>
    <w:rsid w:val="00EF0F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215D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ADV document" ma:contentTypeID="0x010100FA5A77795FEADA4EA51227303613444600597FBE8E7568F24D9188C583D1DBE634" ma:contentTypeVersion="15" ma:contentTypeDescription="Een nieuw document maken." ma:contentTypeScope="" ma:versionID="f562e103b5c9e756b91eb477f0a6b547">
  <xsd:schema xmlns:xsd="http://www.w3.org/2001/XMLSchema" xmlns:xs="http://www.w3.org/2001/XMLSchema" xmlns:p="http://schemas.microsoft.com/office/2006/metadata/properties" xmlns:ns2="69c08d32-af30-4a7c-b5c3-cfded335888e" xmlns:ns3="147fed04-7ac1-49bb-9d45-6292b8383aa1" xmlns:ns4="3ef60ac7-8ff9-48c4-bda5-3cfee0343bfa" xmlns:ns5="6637cc5a-cd34-4aeb-8dab-54372e68c4a1" targetNamespace="http://schemas.microsoft.com/office/2006/metadata/properties" ma:root="true" ma:fieldsID="fce5a77dc17ccc7ddd6c14f1f153eb66" ns2:_="" ns3:_="" ns4:_="" ns5:_="">
    <xsd:import namespace="69c08d32-af30-4a7c-b5c3-cfded335888e"/>
    <xsd:import namespace="147fed04-7ac1-49bb-9d45-6292b8383aa1"/>
    <xsd:import namespace="3ef60ac7-8ff9-48c4-bda5-3cfee0343bfa"/>
    <xsd:import namespace="6637cc5a-cd34-4aeb-8dab-54372e68c4a1"/>
    <xsd:element name="properties">
      <xsd:complexType>
        <xsd:sequence>
          <xsd:element name="documentManagement">
            <xsd:complexType>
              <xsd:all>
                <xsd:element ref="ns2:_dlc_DocId" minOccurs="0"/>
                <xsd:element ref="ns2:_dlc_DocIdUrl" minOccurs="0"/>
                <xsd:element ref="ns2:_dlc_DocIdPersistId" minOccurs="0"/>
                <xsd:element ref="ns2:rvsOntvangenOp" minOccurs="0"/>
                <xsd:element ref="ns2:rvsBron" minOccurs="0"/>
                <xsd:element ref="ns2:rvsDocumentStatus" minOccurs="0"/>
                <xsd:element ref="ns2:rvsLeesset" minOccurs="0"/>
                <xsd:element ref="ns3:h084f0456285449fb9d629557da68197" minOccurs="0"/>
                <xsd:element ref="ns4:TaxCatchAll" minOccurs="0"/>
                <xsd:element ref="ns4:TaxCatchAllLabel" minOccurs="0"/>
                <xsd:element ref="ns3:rvsStuknummer" minOccurs="0"/>
                <xsd:element ref="ns3:SharedWithUsers" minOccurs="0"/>
                <xsd:element ref="ns3:SharedWithDetails" minOccurs="0"/>
                <xsd:element ref="ns5:MediaServiceMetadata" minOccurs="0"/>
                <xsd:element ref="ns5:MediaServiceFastMetadata"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08d32-af30-4a7c-b5c3-cfded335888e"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vsOntvangenOp" ma:index="11" nillable="true" ma:displayName="Ontvangen op" ma:format="DateTime" ma:internalName="rvsOntvangenOp">
      <xsd:simpleType>
        <xsd:restriction base="dms:DateTime"/>
      </xsd:simpleType>
    </xsd:element>
    <xsd:element name="rvsBron" ma:index="12" nillable="true" ma:displayName="Documentbron" ma:internalName="rvsBron">
      <xsd:simpleType>
        <xsd:restriction base="dms:Text">
          <xsd:maxLength value="255"/>
        </xsd:restriction>
      </xsd:simpleType>
    </xsd:element>
    <xsd:element name="rvsDocumentStatus" ma:index="13" nillable="true" ma:displayName="Documentstatus" ma:default="Actief" ma:format="Dropdown" ma:internalName="rvsDocumentStatus">
      <xsd:simpleType>
        <xsd:restriction base="dms:Choice">
          <xsd:enumeration value="Actief"/>
          <xsd:enumeration value="Vervallen"/>
        </xsd:restriction>
      </xsd:simpleType>
    </xsd:element>
    <xsd:element name="rvsLeesset" ma:index="14" nillable="true" ma:displayName="Leesset" ma:format="Dropdown" ma:internalName="rvsLeesset">
      <xsd:simpleType>
        <xsd:restriction base="dms:Choice">
          <xsd:enumeration value="Leesset 1"/>
          <xsd:enumeration value="Leesset 2"/>
        </xsd:restriction>
      </xsd:simpleType>
    </xsd:element>
  </xsd:schema>
  <xsd:schema xmlns:xsd="http://www.w3.org/2001/XMLSchema" xmlns:xs="http://www.w3.org/2001/XMLSchema" xmlns:dms="http://schemas.microsoft.com/office/2006/documentManagement/types" xmlns:pc="http://schemas.microsoft.com/office/infopath/2007/PartnerControls" targetNamespace="147fed04-7ac1-49bb-9d45-6292b8383aa1" elementFormDefault="qualified">
    <xsd:import namespace="http://schemas.microsoft.com/office/2006/documentManagement/types"/>
    <xsd:import namespace="http://schemas.microsoft.com/office/infopath/2007/PartnerControls"/>
    <xsd:element name="h084f0456285449fb9d629557da68197" ma:index="15" nillable="true" ma:taxonomy="true" ma:internalName="h084f0456285449fb9d629557da68197" ma:taxonomyFieldName="Bestemming" ma:displayName="Bestemming" ma:default="" ma:fieldId="{1084f045-6285-449f-b9d6-29557da68197}" ma:sspId="6d04e73b-e638-4815-b44d-087a6c9d2bfd" ma:termSetId="a537bacd-38e5-400c-985e-447ada576243" ma:anchorId="00000000-0000-0000-0000-000000000000" ma:open="false" ma:isKeyword="false">
      <xsd:complexType>
        <xsd:sequence>
          <xsd:element ref="pc:Terms" minOccurs="0" maxOccurs="1"/>
        </xsd:sequence>
      </xsd:complexType>
    </xsd:element>
    <xsd:element name="rvsStuknummer" ma:index="19" nillable="true" ma:displayName="Stuknummer" ma:internalName="rvsStuknummer">
      <xsd:simpleType>
        <xsd:restriction base="dms:Text">
          <xsd:maxLength value="255"/>
        </xsd:restriction>
      </xsd:simple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f60ac7-8ff9-48c4-bda5-3cfee0343bf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26d4d7f-00ba-4bf5-b57e-e0d507185b7c}" ma:internalName="TaxCatchAll" ma:showField="CatchAllData" ma:web="3ef60ac7-8ff9-48c4-bda5-3cfee0343bf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926d4d7f-00ba-4bf5-b57e-e0d507185b7c}" ma:internalName="TaxCatchAllLabel" ma:readOnly="true" ma:showField="CatchAllDataLabel" ma:web="3ef60ac7-8ff9-48c4-bda5-3cfee0343b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37cc5a-cd34-4aeb-8dab-54372e68c4a1"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FCB10D91-FAAF-4BB6-9527-C313DEB27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08d32-af30-4a7c-b5c3-cfded335888e"/>
    <ds:schemaRef ds:uri="147fed04-7ac1-49bb-9d45-6292b8383aa1"/>
    <ds:schemaRef ds:uri="3ef60ac7-8ff9-48c4-bda5-3cfee0343bfa"/>
    <ds:schemaRef ds:uri="6637cc5a-cd34-4aeb-8dab-54372e68c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7</ap:Pages>
  <ap:Words>1994</ap:Words>
  <ap:Characters>11811</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13778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2025-06-19T12:38:00.0000000Z</lastPrinted>
  <dcterms:created xsi:type="dcterms:W3CDTF">2026-03-17T09:49:00.0000000Z</dcterms:created>
  <dcterms:modified xsi:type="dcterms:W3CDTF">2026-03-17T09:49:00.0000000Z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W13.25.00089/III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Bestemming">
    <vt:lpwstr>2;#Corsa|a7721b99-8166-4953-a37e-7c8574fb4b8b</vt:lpwstr>
  </property>
  <property fmtid="{D5CDD505-2E9C-101B-9397-08002B2CF9AE}" pid="8" name="_dlc_DocIdItemGuid">
    <vt:lpwstr>cee92baa-1547-4895-9515-fbf96d53172d</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