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2026Z05350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maart 2026)</w:t>
        <w:br/>
      </w:r>
    </w:p>
    <w:p>
      <w:r>
        <w:t xml:space="preserve">Vragen van het lid Van Leijen (D66) aan de minister van Infrastructuur en Waterstaat over het bericht ‘Rechter zet streep door verbreding A12, A27 en A28 bij Utrecht: is regionaal alternatief wél haalbaar?’.</w:t>
      </w:r>
      <w:r>
        <w:br/>
      </w:r>
    </w:p>
    <w:p>
      <w:pPr>
        <w:pStyle w:val="ListParagraph"/>
        <w:numPr>
          <w:ilvl w:val="0"/>
          <w:numId w:val="100500880"/>
        </w:numPr>
        <w:ind w:left="360"/>
      </w:pPr>
      <w:r>
        <w:t xml:space="preserve">Bent u bekend met het bericht ‘Rechter zet streep door verbreding A12, A27 en A28 bij Utrecht: is regionaal alternatief wél haalbaar?’? 1)</w:t>
      </w:r>
      <w:r>
        <w:br/>
      </w:r>
    </w:p>
    <w:p>
      <w:pPr>
        <w:pStyle w:val="ListParagraph"/>
        <w:numPr>
          <w:ilvl w:val="0"/>
          <w:numId w:val="100500880"/>
        </w:numPr>
        <w:ind w:left="360"/>
      </w:pPr>
      <w:r>
        <w:t xml:space="preserve">Op welke wijze en binnen welk tijdsbestek geeft u momenteel invulling aan de verdere operationalisering van het regionale alternatief (binnen de bestaande snelwegbak) rondom de A27?</w:t>
      </w:r>
      <w:r>
        <w:br/>
      </w:r>
    </w:p>
    <w:p>
      <w:pPr>
        <w:pStyle w:val="ListParagraph"/>
        <w:numPr>
          <w:ilvl w:val="0"/>
          <w:numId w:val="100500880"/>
        </w:numPr>
        <w:ind w:left="360"/>
      </w:pPr>
      <w:r>
        <w:t xml:space="preserve">Kunt u in de beantwoording aangeven wanneer de Kamer de eerste concrete uitkomsten van dit proces kan verwachten, inclusief de bijbehorende beslis- en toetsmomenten?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AD, 16 maart 2026, Rechter zet streep door verbreding A12, A27 en A28 bij Utrecht: is regionaal alternatief wél haalbaar? | Bunnik | AD.nl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820">
    <w:abstractNumId w:val="100500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