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106325" w14:paraId="7599BCAF" w14:textId="18411C24">
            <w:pPr>
              <w:spacing w:line="276" w:lineRule="auto"/>
              <w:rPr>
                <w:rFonts w:ascii="Times New Roman" w:hAnsi="Times New Roman" w:cs="Times New Roman"/>
                <w:b/>
                <w:sz w:val="24"/>
                <w:szCs w:val="24"/>
              </w:rPr>
            </w:pPr>
            <w:r w:rsidRPr="00106325">
              <w:rPr>
                <w:rFonts w:ascii="Times New Roman" w:hAnsi="Times New Roman" w:cs="Times New Roman"/>
                <w:b/>
                <w:sz w:val="24"/>
                <w:szCs w:val="24"/>
              </w:rPr>
              <w:t>36263</w:t>
            </w:r>
          </w:p>
        </w:tc>
        <w:tc>
          <w:tcPr>
            <w:tcW w:w="7157" w:type="dxa"/>
          </w:tcPr>
          <w:p w:rsidRPr="00376FDD" w:rsidR="0021341E" w:rsidP="0006320D" w:rsidRDefault="0006320D" w14:paraId="25E86A94" w14:textId="3036BBCC">
            <w:pPr>
              <w:spacing w:line="240" w:lineRule="auto"/>
              <w:rPr>
                <w:rFonts w:ascii="Times New Roman" w:hAnsi="Times New Roman" w:cs="Times New Roman"/>
                <w:b/>
                <w:sz w:val="24"/>
                <w:szCs w:val="24"/>
              </w:rPr>
            </w:pPr>
            <w:r w:rsidRPr="0006320D">
              <w:rPr>
                <w:rFonts w:ascii="Times New Roman" w:hAnsi="Times New Roman" w:cs="Times New Roman"/>
                <w:b/>
                <w:sz w:val="24"/>
                <w:szCs w:val="24"/>
              </w:rPr>
              <w:t>Wijziging van de Tijdelijke wet Groningen in</w:t>
            </w:r>
            <w:r>
              <w:rPr>
                <w:rFonts w:ascii="Times New Roman" w:hAnsi="Times New Roman" w:cs="Times New Roman"/>
                <w:b/>
                <w:sz w:val="24"/>
                <w:szCs w:val="24"/>
              </w:rPr>
              <w:t xml:space="preserve"> </w:t>
            </w:r>
            <w:r w:rsidRPr="0006320D">
              <w:rPr>
                <w:rFonts w:ascii="Times New Roman" w:hAnsi="Times New Roman" w:cs="Times New Roman"/>
                <w:b/>
                <w:sz w:val="24"/>
                <w:szCs w:val="24"/>
              </w:rPr>
              <w:t>verband met de versterking van gebouwen in de</w:t>
            </w:r>
            <w:r>
              <w:rPr>
                <w:rFonts w:ascii="Times New Roman" w:hAnsi="Times New Roman" w:cs="Times New Roman"/>
                <w:b/>
                <w:sz w:val="24"/>
                <w:szCs w:val="24"/>
              </w:rPr>
              <w:t xml:space="preserve"> </w:t>
            </w:r>
            <w:r w:rsidRPr="0006320D">
              <w:rPr>
                <w:rFonts w:ascii="Times New Roman" w:hAnsi="Times New Roman" w:cs="Times New Roman"/>
                <w:b/>
                <w:sz w:val="24"/>
                <w:szCs w:val="24"/>
              </w:rPr>
              <w:t>provincie Groningen</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0021341E" w:rsidP="0021341E" w:rsidRDefault="0021341E" w14:paraId="7F4B3437" w14:textId="0F76CCAC">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7A71C1" w:rsidP="0021341E" w:rsidRDefault="007A71C1" w14:paraId="3FAB3ACE" w14:textId="77777777">
      <w:pPr>
        <w:spacing w:after="0" w:line="276" w:lineRule="auto"/>
        <w:rPr>
          <w:rFonts w:ascii="Times New Roman" w:hAnsi="Times New Roman" w:eastAsia="Times New Roman" w:cs="Times New Roman"/>
          <w:sz w:val="24"/>
          <w:szCs w:val="24"/>
          <w:lang w:eastAsia="nl-NL"/>
        </w:rPr>
      </w:pPr>
    </w:p>
    <w:p w:rsidR="0021341E" w:rsidP="00523B28" w:rsidRDefault="0021341E" w14:paraId="5A3050AF" w14:textId="1A1892C8">
      <w:pPr>
        <w:spacing w:after="0" w:line="276" w:lineRule="auto"/>
        <w:ind w:left="2124"/>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Binnen de vaste commissie voor Binnenlandse Zaken he</w:t>
      </w:r>
      <w:r w:rsidR="00F83F5D">
        <w:rPr>
          <w:rFonts w:ascii="Times New Roman" w:hAnsi="Times New Roman" w:eastAsia="Times New Roman" w:cs="Times New Roman"/>
          <w:sz w:val="24"/>
          <w:szCs w:val="24"/>
          <w:lang w:eastAsia="nl-NL"/>
        </w:rPr>
        <w:t>eft</w:t>
      </w:r>
      <w:r w:rsidRPr="00376FDD">
        <w:rPr>
          <w:rFonts w:ascii="Times New Roman" w:hAnsi="Times New Roman" w:eastAsia="Times New Roman" w:cs="Times New Roman"/>
          <w:sz w:val="24"/>
          <w:szCs w:val="24"/>
          <w:lang w:eastAsia="nl-NL"/>
        </w:rPr>
        <w:t xml:space="preserve"> </w:t>
      </w:r>
      <w:r w:rsidRPr="004013EE">
        <w:rPr>
          <w:rFonts w:ascii="Times New Roman" w:hAnsi="Times New Roman" w:eastAsia="Times New Roman" w:cs="Times New Roman"/>
          <w:sz w:val="24"/>
          <w:szCs w:val="24"/>
          <w:lang w:eastAsia="nl-NL"/>
        </w:rPr>
        <w:t xml:space="preserve">onderstaande fractie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5F224D">
        <w:rPr>
          <w:rFonts w:ascii="Times New Roman" w:hAnsi="Times New Roman" w:eastAsia="Times New Roman" w:cs="Times New Roman"/>
          <w:sz w:val="24"/>
          <w:szCs w:val="24"/>
          <w:lang w:eastAsia="nl-NL"/>
        </w:rPr>
        <w:t xml:space="preserve">de brief </w:t>
      </w:r>
      <w:r w:rsidR="00BF2C14">
        <w:rPr>
          <w:rFonts w:ascii="Times New Roman" w:hAnsi="Times New Roman" w:eastAsia="Times New Roman" w:cs="Times New Roman"/>
          <w:sz w:val="24"/>
          <w:szCs w:val="24"/>
          <w:lang w:eastAsia="nl-NL"/>
        </w:rPr>
        <w:t xml:space="preserve">inzake </w:t>
      </w:r>
      <w:r w:rsidR="00047F22">
        <w:rPr>
          <w:rFonts w:ascii="Times New Roman" w:hAnsi="Times New Roman" w:eastAsia="Times New Roman" w:cs="Times New Roman"/>
          <w:sz w:val="24"/>
          <w:szCs w:val="24"/>
          <w:lang w:eastAsia="nl-NL"/>
        </w:rPr>
        <w:t>v</w:t>
      </w:r>
      <w:r w:rsidRPr="00047F22" w:rsidR="00047F22">
        <w:rPr>
          <w:rFonts w:ascii="Times New Roman" w:hAnsi="Times New Roman" w:eastAsia="Times New Roman" w:cs="Times New Roman"/>
          <w:sz w:val="24"/>
          <w:szCs w:val="24"/>
          <w:lang w:eastAsia="nl-NL"/>
        </w:rPr>
        <w:t>oorhang brief bij Ontwerp AMvB tot wijziging van het Besluit Tijdelijke wet Groningen en het Mijnbouwbesluit</w:t>
      </w:r>
      <w:r w:rsidR="00EC5686">
        <w:rPr>
          <w:rFonts w:ascii="Times New Roman" w:hAnsi="Times New Roman" w:eastAsia="Times New Roman" w:cs="Times New Roman"/>
          <w:sz w:val="24"/>
          <w:szCs w:val="24"/>
          <w:lang w:eastAsia="nl-NL"/>
        </w:rPr>
        <w:t xml:space="preserve"> (Kamerstuk 35603, nr. 90)</w:t>
      </w:r>
      <w:r w:rsidR="00663279">
        <w:rPr>
          <w:rFonts w:ascii="Times New Roman" w:hAnsi="Times New Roman" w:eastAsia="Times New Roman" w:cs="Times New Roman"/>
          <w:sz w:val="24"/>
          <w:szCs w:val="24"/>
          <w:lang w:eastAsia="nl-NL"/>
        </w:rPr>
        <w:t>.</w:t>
      </w:r>
    </w:p>
    <w:p w:rsidRPr="00376FDD" w:rsidR="002A427B" w:rsidP="002A427B" w:rsidRDefault="002A427B" w14:paraId="39479440" w14:textId="77777777">
      <w:pPr>
        <w:spacing w:after="0" w:line="276" w:lineRule="auto"/>
        <w:ind w:left="2124"/>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6D5D21" w:rsidR="009E3F6E" w:rsidP="009E3F6E" w:rsidRDefault="009E3F6E" w14:paraId="31D078AE" w14:textId="5E7ED691">
      <w:pPr>
        <w:spacing w:after="0" w:line="276" w:lineRule="auto"/>
        <w:rPr>
          <w:rFonts w:ascii="Times New Roman" w:hAnsi="Times New Roman" w:cs="Times New Roman"/>
          <w:sz w:val="24"/>
          <w:szCs w:val="24"/>
        </w:rPr>
      </w:pPr>
      <w:r w:rsidRPr="006D5D21">
        <w:rPr>
          <w:rFonts w:ascii="Times New Roman" w:hAnsi="Times New Roman" w:cs="Times New Roman"/>
          <w:sz w:val="24"/>
          <w:szCs w:val="24"/>
        </w:rPr>
        <w:t>Vragen en opmerkingen van de leden van de D66-fractie</w:t>
      </w:r>
    </w:p>
    <w:p w:rsidRPr="00E5155C" w:rsidR="00E6011E" w:rsidP="00E5155C" w:rsidRDefault="00024364" w14:paraId="303928E9" w14:textId="4C8F5584">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Vragen en opmerkingen van de leden van de VVD-fractie</w:t>
      </w:r>
      <w:r w:rsidRPr="00E5155C" w:rsidR="00F63982">
        <w:rPr>
          <w:rFonts w:ascii="Times New Roman" w:hAnsi="Times New Roman" w:cs="Times New Roman"/>
          <w:sz w:val="24"/>
          <w:szCs w:val="24"/>
        </w:rPr>
        <w:tab/>
      </w:r>
    </w:p>
    <w:p w:rsidRPr="006D5D21" w:rsidR="00015650" w:rsidP="00E5155C" w:rsidRDefault="00E6011E" w14:paraId="0E45CD3F" w14:textId="59EF7CD7">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 xml:space="preserve">Vragen en opmerkingen van de leden van de </w:t>
      </w:r>
      <w:r w:rsidRPr="006D5D21" w:rsidR="006D5D21">
        <w:rPr>
          <w:rFonts w:ascii="Times New Roman" w:hAnsi="Times New Roman" w:cs="Times New Roman"/>
          <w:sz w:val="24"/>
          <w:szCs w:val="24"/>
        </w:rPr>
        <w:t>CDA</w:t>
      </w:r>
      <w:r w:rsidRPr="00E5155C">
        <w:rPr>
          <w:rFonts w:ascii="Times New Roman" w:hAnsi="Times New Roman" w:cs="Times New Roman"/>
          <w:sz w:val="24"/>
          <w:szCs w:val="24"/>
        </w:rPr>
        <w:t>-fractie</w:t>
      </w:r>
    </w:p>
    <w:p w:rsidRPr="006D5D21" w:rsidR="006D5D21" w:rsidP="006D5D21" w:rsidRDefault="006D5D21" w14:paraId="1A9F1F1B" w14:textId="78217421">
      <w:pPr>
        <w:spacing w:after="0" w:line="276" w:lineRule="auto"/>
        <w:rPr>
          <w:rFonts w:ascii="Times New Roman" w:hAnsi="Times New Roman" w:cs="Times New Roman"/>
          <w:sz w:val="24"/>
          <w:szCs w:val="24"/>
        </w:rPr>
      </w:pPr>
      <w:r w:rsidRPr="006D5D21">
        <w:rPr>
          <w:rFonts w:ascii="Times New Roman" w:hAnsi="Times New Roman" w:cs="Times New Roman"/>
          <w:sz w:val="24"/>
          <w:szCs w:val="24"/>
        </w:rPr>
        <w:t>Vragen en opmerkingen van de leden van de JA21-fractie</w:t>
      </w:r>
    </w:p>
    <w:p w:rsidRPr="006D5D21" w:rsidR="006D5D21" w:rsidP="006D5D21" w:rsidRDefault="006D5D21" w14:paraId="29D2773B" w14:textId="77777777">
      <w:pPr>
        <w:spacing w:after="0" w:line="276" w:lineRule="auto"/>
        <w:rPr>
          <w:rFonts w:ascii="Times New Roman" w:hAnsi="Times New Roman" w:cs="Times New Roman"/>
          <w:sz w:val="24"/>
          <w:szCs w:val="24"/>
        </w:rPr>
      </w:pPr>
      <w:r w:rsidRPr="006D5D21">
        <w:rPr>
          <w:rFonts w:ascii="Times New Roman" w:hAnsi="Times New Roman" w:cs="Times New Roman"/>
          <w:sz w:val="24"/>
          <w:szCs w:val="24"/>
        </w:rPr>
        <w:t>Vragen en opmerkingen van de leden van de SP-fractie</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00281FAB" w:rsidP="00AD25BC" w:rsidRDefault="00281FAB" w14:paraId="38E0E6CC" w14:textId="77777777">
      <w:pPr>
        <w:spacing w:after="0" w:line="276" w:lineRule="auto"/>
        <w:rPr>
          <w:rFonts w:ascii="Times New Roman" w:hAnsi="Times New Roman" w:cs="Times New Roman"/>
          <w:b/>
          <w:bCs/>
          <w:sz w:val="24"/>
          <w:szCs w:val="24"/>
        </w:rPr>
      </w:pPr>
    </w:p>
    <w:p w:rsidRPr="00281FAB" w:rsidR="00770174" w:rsidP="00AD25BC" w:rsidRDefault="00281FAB" w14:paraId="462D20A5" w14:textId="02979019">
      <w:pPr>
        <w:spacing w:after="0" w:line="276" w:lineRule="auto"/>
        <w:rPr>
          <w:rFonts w:ascii="Times New Roman" w:hAnsi="Times New Roman" w:cs="Times New Roman"/>
          <w:b/>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AD25BC">
        <w:rPr>
          <w:rFonts w:ascii="Times New Roman" w:hAnsi="Times New Roman" w:cs="Times New Roman"/>
          <w:b/>
          <w:bCs/>
          <w:sz w:val="24"/>
          <w:szCs w:val="24"/>
        </w:rPr>
        <w:t>-fractie</w:t>
      </w:r>
    </w:p>
    <w:p w:rsidR="00281FAB" w:rsidP="00281FAB" w:rsidRDefault="00281FAB" w14:paraId="063AF6D6" w14:textId="77777777">
      <w:pPr>
        <w:spacing w:after="0" w:line="276" w:lineRule="auto"/>
        <w:rPr>
          <w:rFonts w:ascii="Times New Roman" w:hAnsi="Times New Roman" w:cs="Times New Roman"/>
          <w:sz w:val="24"/>
          <w:szCs w:val="24"/>
        </w:rPr>
      </w:pPr>
    </w:p>
    <w:p w:rsidRPr="00281FAB" w:rsidR="00281FAB" w:rsidP="00281FAB" w:rsidRDefault="00281FAB" w14:paraId="3639FBFB" w14:textId="41416E8D">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De leden van de D66-fractie hebben kennisgenomen van de voorhangbrief en het ontwerpbesluit tot wijziging van het Besluit Tijdelijke wet Groningen en het Mijnbouwbesluit. Deze leden vinden het van groot belang dat maatregelen rondom schadeherstel, versterking en ondersteuning van bewoners in Groningen zorgvuldig worden vormgegeven en bijdragen aan het herstel van vertrouwen bij inwoners van het aardbevingsgebied. Zij hebben naar aanleiding van de stukken nog enkele vragen.</w:t>
      </w:r>
    </w:p>
    <w:p w:rsidR="000B02B8" w:rsidP="00281FAB" w:rsidRDefault="000B02B8" w14:paraId="7FA25A47" w14:textId="77777777">
      <w:pPr>
        <w:spacing w:after="0" w:line="276" w:lineRule="auto"/>
        <w:rPr>
          <w:rFonts w:ascii="Times New Roman" w:hAnsi="Times New Roman" w:cs="Times New Roman"/>
          <w:sz w:val="24"/>
          <w:szCs w:val="24"/>
        </w:rPr>
      </w:pPr>
    </w:p>
    <w:p w:rsidRPr="000B02B8" w:rsidR="00B44D0E" w:rsidP="00281FAB" w:rsidRDefault="00281FAB" w14:paraId="06593C16" w14:textId="3367C9F4">
      <w:pPr>
        <w:spacing w:after="0" w:line="276" w:lineRule="auto"/>
        <w:rPr>
          <w:rFonts w:ascii="Times New Roman" w:hAnsi="Times New Roman" w:cs="Times New Roman"/>
          <w:i/>
          <w:iCs/>
          <w:sz w:val="24"/>
          <w:szCs w:val="24"/>
        </w:rPr>
      </w:pPr>
      <w:r w:rsidRPr="00281FAB">
        <w:rPr>
          <w:rFonts w:ascii="Times New Roman" w:hAnsi="Times New Roman" w:cs="Times New Roman"/>
          <w:i/>
          <w:iCs/>
          <w:sz w:val="24"/>
          <w:szCs w:val="24"/>
        </w:rPr>
        <w:t>Grensbedrag voor daadwerkelijk herstel</w:t>
      </w:r>
    </w:p>
    <w:p w:rsidRPr="00281FAB" w:rsidR="00281FAB" w:rsidP="00281FAB" w:rsidRDefault="00281FAB" w14:paraId="21BC7C06" w14:textId="10ADE226">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De leden van de D66-fractie lezen dat voor daadwerkelijk herstel een grensbedrag van 60.000</w:t>
      </w:r>
      <w:r w:rsidR="009C04C4">
        <w:rPr>
          <w:rFonts w:ascii="Times New Roman" w:hAnsi="Times New Roman" w:cs="Times New Roman"/>
          <w:sz w:val="24"/>
          <w:szCs w:val="24"/>
        </w:rPr>
        <w:t xml:space="preserve"> euro</w:t>
      </w:r>
      <w:r w:rsidRPr="00281FAB">
        <w:rPr>
          <w:rFonts w:ascii="Times New Roman" w:hAnsi="Times New Roman" w:cs="Times New Roman"/>
          <w:sz w:val="24"/>
          <w:szCs w:val="24"/>
        </w:rPr>
        <w:t xml:space="preserve"> wordt gehanteerd. Deze leden begrijpen dat hiermee sneller schadeherstel mogelijk moet worden gemaakt zonder uitgebreid onderzoek naar de oorzaak van de schade. Tegelijkertijd lezen </w:t>
      </w:r>
      <w:r w:rsidR="00EE2C62">
        <w:rPr>
          <w:rFonts w:ascii="Times New Roman" w:hAnsi="Times New Roman" w:cs="Times New Roman"/>
          <w:sz w:val="24"/>
          <w:szCs w:val="24"/>
        </w:rPr>
        <w:t xml:space="preserve">zij </w:t>
      </w:r>
      <w:r w:rsidRPr="00281FAB">
        <w:rPr>
          <w:rFonts w:ascii="Times New Roman" w:hAnsi="Times New Roman" w:cs="Times New Roman"/>
          <w:sz w:val="24"/>
          <w:szCs w:val="24"/>
        </w:rPr>
        <w:t>dat de regio en het Erfgoedberaad erop wijzen dat in het zwaarst getroffen kerngebied schadebedragen vaker boven dit grensbedrag kunnen uitkomen, waardoor daar alsnog vaker onderzoek naar de schadeoorzaak zal plaatsvinden en bewoners mogelijk langer moeten wachten op herstel.</w:t>
      </w:r>
    </w:p>
    <w:p w:rsidR="000B02B8" w:rsidP="00281FAB" w:rsidRDefault="000B02B8" w14:paraId="430CE63D" w14:textId="77777777">
      <w:pPr>
        <w:spacing w:after="0" w:line="276" w:lineRule="auto"/>
        <w:rPr>
          <w:rFonts w:ascii="Times New Roman" w:hAnsi="Times New Roman" w:cs="Times New Roman"/>
          <w:sz w:val="24"/>
          <w:szCs w:val="24"/>
        </w:rPr>
      </w:pPr>
    </w:p>
    <w:p w:rsidRPr="00281FAB" w:rsidR="00281FAB" w:rsidP="00281FAB" w:rsidRDefault="00BA6251" w14:paraId="56EEC546" w14:textId="6DCC1CD9">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w:t>
      </w:r>
      <w:r w:rsidRPr="00281FAB" w:rsidR="00281FAB">
        <w:rPr>
          <w:rFonts w:ascii="Times New Roman" w:hAnsi="Times New Roman" w:cs="Times New Roman"/>
          <w:sz w:val="24"/>
          <w:szCs w:val="24"/>
        </w:rPr>
        <w:t xml:space="preserve">vragen de minister daarom hoe vaak naar verwachting de herstelkosten boven het grensbedrag van 60.000 </w:t>
      </w:r>
      <w:r>
        <w:rPr>
          <w:rFonts w:ascii="Times New Roman" w:hAnsi="Times New Roman" w:cs="Times New Roman"/>
          <w:sz w:val="24"/>
          <w:szCs w:val="24"/>
        </w:rPr>
        <w:t xml:space="preserve">euro </w:t>
      </w:r>
      <w:r w:rsidRPr="00281FAB" w:rsidR="00281FAB">
        <w:rPr>
          <w:rFonts w:ascii="Times New Roman" w:hAnsi="Times New Roman" w:cs="Times New Roman"/>
          <w:sz w:val="24"/>
          <w:szCs w:val="24"/>
        </w:rPr>
        <w:t>zullen uitkomen. Kan de minister dit, indien mogelijk, uitsplitsen naar het kerngebied en de rand van het effectgebied?</w:t>
      </w:r>
    </w:p>
    <w:p w:rsidRPr="00281FAB" w:rsidR="00281FAB" w:rsidP="00281FAB" w:rsidRDefault="00281FAB" w14:paraId="2112F921" w14:textId="77777777">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Voorts vragen deze leden welk concreet vervolgtraject geldt voor bewoners van wie de herstelkosten boven het grensbedrag uitkomen. Wat betekent dit in de praktijk voor de doorlooptijd, de kans op vergoeding en de rechtspositie van deze bewoners?</w:t>
      </w:r>
    </w:p>
    <w:p w:rsidR="001D7CFD" w:rsidP="00281FAB" w:rsidRDefault="001D7CFD" w14:paraId="0D89C098" w14:textId="77777777">
      <w:pPr>
        <w:spacing w:after="0" w:line="276" w:lineRule="auto"/>
        <w:rPr>
          <w:rFonts w:ascii="Times New Roman" w:hAnsi="Times New Roman" w:cs="Times New Roman"/>
          <w:sz w:val="24"/>
          <w:szCs w:val="24"/>
        </w:rPr>
      </w:pPr>
    </w:p>
    <w:p w:rsidRPr="00281FAB" w:rsidR="00281FAB" w:rsidP="00281FAB" w:rsidRDefault="00281FAB" w14:paraId="6FEC33A3" w14:textId="28D1A3E8">
      <w:pPr>
        <w:spacing w:after="0" w:line="276" w:lineRule="auto"/>
        <w:rPr>
          <w:rFonts w:ascii="Times New Roman" w:hAnsi="Times New Roman" w:cs="Times New Roman"/>
          <w:i/>
          <w:iCs/>
          <w:sz w:val="24"/>
          <w:szCs w:val="24"/>
        </w:rPr>
      </w:pPr>
      <w:r w:rsidRPr="00281FAB">
        <w:rPr>
          <w:rFonts w:ascii="Times New Roman" w:hAnsi="Times New Roman" w:cs="Times New Roman"/>
          <w:i/>
          <w:iCs/>
          <w:sz w:val="24"/>
          <w:szCs w:val="24"/>
        </w:rPr>
        <w:t>Vergoeding voor overlast</w:t>
      </w:r>
    </w:p>
    <w:p w:rsidRPr="00281FAB" w:rsidR="00281FAB" w:rsidP="00281FAB" w:rsidRDefault="00281FAB" w14:paraId="5385ED73" w14:textId="6FCF8EDF">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lezen dat met dit besluit de maximale hoogte van vergoedingen voor overlast bij ministeriële regeling kan worden vastgesteld. Deze leden begrijpen dat de minister hiermee meer flexibiliteit wil creëren om te differentiëren naar soort overlast en om bedragen zo nodig aan te passen, bijvoorbeeld vanwege inflatie. </w:t>
      </w:r>
      <w:r w:rsidR="009F5B03">
        <w:rPr>
          <w:rFonts w:ascii="Times New Roman" w:hAnsi="Times New Roman" w:cs="Times New Roman"/>
          <w:sz w:val="24"/>
          <w:szCs w:val="24"/>
        </w:rPr>
        <w:t xml:space="preserve">Zij </w:t>
      </w:r>
      <w:r w:rsidRPr="00281FAB">
        <w:rPr>
          <w:rFonts w:ascii="Times New Roman" w:hAnsi="Times New Roman" w:cs="Times New Roman"/>
          <w:sz w:val="24"/>
          <w:szCs w:val="24"/>
        </w:rPr>
        <w:t>vragen welke uitgangspunten zullen gelden bij toekomstige aanpassingen van deze bedragen?</w:t>
      </w:r>
    </w:p>
    <w:p w:rsidR="000B02B8" w:rsidP="00281FAB" w:rsidRDefault="000B02B8" w14:paraId="6A08559C" w14:textId="77777777">
      <w:pPr>
        <w:spacing w:after="0" w:line="276" w:lineRule="auto"/>
        <w:rPr>
          <w:rFonts w:ascii="Times New Roman" w:hAnsi="Times New Roman" w:cs="Times New Roman"/>
          <w:sz w:val="24"/>
          <w:szCs w:val="24"/>
        </w:rPr>
      </w:pPr>
    </w:p>
    <w:p w:rsidRPr="00281FAB" w:rsidR="00281FAB" w:rsidP="00281FAB" w:rsidRDefault="00281FAB" w14:paraId="53F32AB8" w14:textId="6F59FB3D">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De leden van de D66-fractie vragen daarnaast hoe de rechtszekerheid en voorspelbaarheid voor bewoners worden geborgd, nu de maximale vergoedingen voor overlast niet langer in het besluit zelf worden vastgelegd. Hoe worden bewoners tijdig en duidelijk geïnformeerd over de voor hen geldende vergoedingen? Is de minister bereid de Kamer actief te informeren wanneer deze bedragen worden gewijzigd?</w:t>
      </w:r>
    </w:p>
    <w:p w:rsidRPr="00281FAB" w:rsidR="00281FAB" w:rsidP="00281FAB" w:rsidRDefault="00281FAB" w14:paraId="40C34A9D" w14:textId="77777777">
      <w:pPr>
        <w:spacing w:after="0" w:line="276" w:lineRule="auto"/>
        <w:rPr>
          <w:rFonts w:ascii="Times New Roman" w:hAnsi="Times New Roman" w:cs="Times New Roman"/>
          <w:sz w:val="24"/>
          <w:szCs w:val="24"/>
        </w:rPr>
      </w:pPr>
    </w:p>
    <w:p w:rsidRPr="00281FAB" w:rsidR="00281FAB" w:rsidP="00281FAB" w:rsidRDefault="00281FAB" w14:paraId="1F124A25" w14:textId="77777777">
      <w:pPr>
        <w:spacing w:after="0" w:line="276" w:lineRule="auto"/>
        <w:rPr>
          <w:rFonts w:ascii="Times New Roman" w:hAnsi="Times New Roman" w:cs="Times New Roman"/>
          <w:i/>
          <w:iCs/>
          <w:sz w:val="24"/>
          <w:szCs w:val="24"/>
        </w:rPr>
      </w:pPr>
      <w:r w:rsidRPr="00281FAB">
        <w:rPr>
          <w:rFonts w:ascii="Times New Roman" w:hAnsi="Times New Roman" w:cs="Times New Roman"/>
          <w:i/>
          <w:iCs/>
          <w:sz w:val="24"/>
          <w:szCs w:val="24"/>
        </w:rPr>
        <w:t>Positie van huurders en andere rechtmatige gebruikers</w:t>
      </w:r>
    </w:p>
    <w:p w:rsidRPr="00281FAB" w:rsidR="00281FAB" w:rsidP="00281FAB" w:rsidRDefault="00281FAB" w14:paraId="1BB33081" w14:textId="70665242">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lezen dat met dit besluit meerdere groepen alsnog aanspraak krijgen op vergoedingen of rechtsbijstand. Deze leden vinden het van groot belang dat </w:t>
      </w:r>
      <w:r w:rsidRPr="00281FAB">
        <w:rPr>
          <w:rFonts w:ascii="Times New Roman" w:hAnsi="Times New Roman" w:cs="Times New Roman"/>
          <w:sz w:val="24"/>
          <w:szCs w:val="24"/>
        </w:rPr>
        <w:lastRenderedPageBreak/>
        <w:t xml:space="preserve">bewoners een gelijkwaardige positie tegenover de overheid hebben in procedures over schade en versterking. In hoeverre acht de </w:t>
      </w:r>
      <w:r w:rsidR="00F33F35">
        <w:rPr>
          <w:rFonts w:ascii="Times New Roman" w:hAnsi="Times New Roman" w:cs="Times New Roman"/>
          <w:sz w:val="24"/>
          <w:szCs w:val="24"/>
        </w:rPr>
        <w:t xml:space="preserve">minister </w:t>
      </w:r>
      <w:r w:rsidRPr="00281FAB">
        <w:rPr>
          <w:rFonts w:ascii="Times New Roman" w:hAnsi="Times New Roman" w:cs="Times New Roman"/>
          <w:sz w:val="24"/>
          <w:szCs w:val="24"/>
        </w:rPr>
        <w:t>de uitbreiding van de mogelijkheid tot rechtsbijstand voor niet-eigenaren voldoende om deze gelijkwaardige positie daadwerkelijk te waarborgen, mede gelet op het feit dat deze rechtsbijstand niet ziet op geschillen tussen huurders en verhuurders?</w:t>
      </w:r>
    </w:p>
    <w:p w:rsidR="000B02B8" w:rsidP="00281FAB" w:rsidRDefault="000B02B8" w14:paraId="2B8FF27C" w14:textId="77777777">
      <w:pPr>
        <w:spacing w:after="0" w:line="276" w:lineRule="auto"/>
        <w:rPr>
          <w:rFonts w:ascii="Times New Roman" w:hAnsi="Times New Roman" w:cs="Times New Roman"/>
          <w:sz w:val="24"/>
          <w:szCs w:val="24"/>
        </w:rPr>
      </w:pPr>
    </w:p>
    <w:p w:rsidRPr="00281FAB" w:rsidR="00281FAB" w:rsidP="00281FAB" w:rsidRDefault="00281FAB" w14:paraId="44588E25" w14:textId="5CC924A7">
      <w:pPr>
        <w:spacing w:after="0" w:line="276" w:lineRule="auto"/>
        <w:rPr>
          <w:rFonts w:ascii="Times New Roman" w:hAnsi="Times New Roman" w:cs="Times New Roman"/>
          <w:i/>
          <w:iCs/>
          <w:sz w:val="24"/>
          <w:szCs w:val="24"/>
        </w:rPr>
      </w:pPr>
      <w:r w:rsidRPr="00281FAB">
        <w:rPr>
          <w:rFonts w:ascii="Times New Roman" w:hAnsi="Times New Roman" w:cs="Times New Roman"/>
          <w:i/>
          <w:iCs/>
          <w:sz w:val="24"/>
          <w:szCs w:val="24"/>
        </w:rPr>
        <w:t>Voorkomen van nieuwe omissies en afbakening van het effectgebied</w:t>
      </w:r>
    </w:p>
    <w:p w:rsidRPr="00281FAB" w:rsidR="00281FAB" w:rsidP="00281FAB" w:rsidRDefault="00281FAB" w14:paraId="1451EDA5" w14:textId="005938AC">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constateren dat met dit besluit meerdere omissies en onbedoelde uitsluitingen worden hersteld. Deze leden vragen welke waarborgen zijn getroffen om te voorkomen dat ook na inwerkingtreding van dit besluit nog bewoners, huurders of andere rechtmatige gebruikers buiten beeld blijven of tussen wal en schip vallen. Is de </w:t>
      </w:r>
      <w:r w:rsidR="00F33F35">
        <w:rPr>
          <w:rFonts w:ascii="Times New Roman" w:hAnsi="Times New Roman" w:cs="Times New Roman"/>
          <w:sz w:val="24"/>
          <w:szCs w:val="24"/>
        </w:rPr>
        <w:t>minister</w:t>
      </w:r>
      <w:r w:rsidRPr="00281FAB">
        <w:rPr>
          <w:rFonts w:ascii="Times New Roman" w:hAnsi="Times New Roman" w:cs="Times New Roman"/>
          <w:sz w:val="24"/>
          <w:szCs w:val="24"/>
        </w:rPr>
        <w:t xml:space="preserve"> voornemens om de werking van deze wijzigingen in de praktijk te monitoren en zo ja, op welke wijze en op welk moment wordt de Kamer hierover geïnformeerd?</w:t>
      </w:r>
    </w:p>
    <w:p w:rsidR="001D7CFD" w:rsidP="00281FAB" w:rsidRDefault="001D7CFD" w14:paraId="1A5E30E5" w14:textId="77777777">
      <w:pPr>
        <w:spacing w:after="0" w:line="276" w:lineRule="auto"/>
        <w:rPr>
          <w:rFonts w:ascii="Times New Roman" w:hAnsi="Times New Roman" w:cs="Times New Roman"/>
          <w:sz w:val="24"/>
          <w:szCs w:val="24"/>
        </w:rPr>
      </w:pPr>
    </w:p>
    <w:p w:rsidRPr="00281FAB" w:rsidR="00281FAB" w:rsidP="00281FAB" w:rsidRDefault="00F33F35" w14:paraId="2616A25E" w14:textId="056988E1">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w:t>
      </w:r>
      <w:r w:rsidRPr="00281FAB" w:rsidR="00281FAB">
        <w:rPr>
          <w:rFonts w:ascii="Times New Roman" w:hAnsi="Times New Roman" w:cs="Times New Roman"/>
          <w:sz w:val="24"/>
          <w:szCs w:val="24"/>
        </w:rPr>
        <w:t xml:space="preserve">vragen daarnaast hoe in de praktijk wordt voorkomen dat bewoners aan de randen van het effectgebied tussen wal en schip vallen. Op basis van welke signalen, criteria of nieuwe inzichten kan het </w:t>
      </w:r>
      <w:r w:rsidR="000C5440">
        <w:rPr>
          <w:rFonts w:ascii="Times New Roman" w:hAnsi="Times New Roman" w:cs="Times New Roman"/>
          <w:sz w:val="24"/>
          <w:szCs w:val="24"/>
        </w:rPr>
        <w:t>Instituut Mijnbouwschade Groningen (</w:t>
      </w:r>
      <w:r w:rsidRPr="00281FAB" w:rsidR="00281FAB">
        <w:rPr>
          <w:rFonts w:ascii="Times New Roman" w:hAnsi="Times New Roman" w:cs="Times New Roman"/>
          <w:sz w:val="24"/>
          <w:szCs w:val="24"/>
        </w:rPr>
        <w:t>IMG</w:t>
      </w:r>
      <w:r w:rsidR="000C5440">
        <w:rPr>
          <w:rFonts w:ascii="Times New Roman" w:hAnsi="Times New Roman" w:cs="Times New Roman"/>
          <w:sz w:val="24"/>
          <w:szCs w:val="24"/>
        </w:rPr>
        <w:t>)</w:t>
      </w:r>
      <w:r w:rsidRPr="00281FAB" w:rsidR="00281FAB">
        <w:rPr>
          <w:rFonts w:ascii="Times New Roman" w:hAnsi="Times New Roman" w:cs="Times New Roman"/>
          <w:sz w:val="24"/>
          <w:szCs w:val="24"/>
        </w:rPr>
        <w:t xml:space="preserve"> besluiten het effectgebied uit te breiden? Op welke wijze worden bewoners hierover geïnformeerd?</w:t>
      </w:r>
    </w:p>
    <w:p w:rsidR="001D7CFD" w:rsidP="00281FAB" w:rsidRDefault="001D7CFD" w14:paraId="01AEC53F" w14:textId="77777777">
      <w:pPr>
        <w:spacing w:after="0" w:line="276" w:lineRule="auto"/>
        <w:rPr>
          <w:rFonts w:ascii="Times New Roman" w:hAnsi="Times New Roman" w:cs="Times New Roman"/>
          <w:sz w:val="24"/>
          <w:szCs w:val="24"/>
        </w:rPr>
      </w:pPr>
    </w:p>
    <w:p w:rsidRPr="00281FAB" w:rsidR="00281FAB" w:rsidP="00281FAB" w:rsidRDefault="00281FAB" w14:paraId="4D5FB84E" w14:textId="436480D2">
      <w:pPr>
        <w:spacing w:after="0" w:line="276" w:lineRule="auto"/>
        <w:rPr>
          <w:rFonts w:ascii="Times New Roman" w:hAnsi="Times New Roman" w:cs="Times New Roman"/>
          <w:i/>
          <w:iCs/>
          <w:sz w:val="24"/>
          <w:szCs w:val="24"/>
        </w:rPr>
      </w:pPr>
      <w:r w:rsidRPr="00281FAB">
        <w:rPr>
          <w:rFonts w:ascii="Times New Roman" w:hAnsi="Times New Roman" w:cs="Times New Roman"/>
          <w:i/>
          <w:iCs/>
          <w:sz w:val="24"/>
          <w:szCs w:val="24"/>
        </w:rPr>
        <w:t>Herstel van vertrouwen</w:t>
      </w:r>
    </w:p>
    <w:p w:rsidRPr="00281FAB" w:rsidR="00281FAB" w:rsidP="00281FAB" w:rsidRDefault="00281FAB" w14:paraId="6C2E5F1A" w14:textId="77777777">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D66-fractie constateren dat dit besluit op verschillende momenten in werking kan treden en dat onderdelen afhankelijk zijn van onderliggende regelgeving. Deze leden benadrukken dat bewoners al lang wachten op de maatregelen uit Nij </w:t>
      </w:r>
      <w:proofErr w:type="spellStart"/>
      <w:r w:rsidRPr="00281FAB">
        <w:rPr>
          <w:rFonts w:ascii="Times New Roman" w:hAnsi="Times New Roman" w:cs="Times New Roman"/>
          <w:sz w:val="24"/>
          <w:szCs w:val="24"/>
        </w:rPr>
        <w:t>Begun</w:t>
      </w:r>
      <w:proofErr w:type="spellEnd"/>
      <w:r w:rsidRPr="00281FAB">
        <w:rPr>
          <w:rFonts w:ascii="Times New Roman" w:hAnsi="Times New Roman" w:cs="Times New Roman"/>
          <w:sz w:val="24"/>
          <w:szCs w:val="24"/>
        </w:rPr>
        <w:t xml:space="preserve"> en dat verdere vertraging onwenselijk is. Wanneer verwacht de minister dat alle onderdelen van dit besluit in werking zijn getreden? Is de minister bereid hiervoor een concrete streeftermijn te noemen en de Kamer te informeren indien deze niet wordt gehaald?</w:t>
      </w:r>
    </w:p>
    <w:p w:rsidR="001D7CFD" w:rsidP="00281FAB" w:rsidRDefault="001D7CFD" w14:paraId="05923AA3" w14:textId="77777777">
      <w:pPr>
        <w:spacing w:after="0" w:line="276" w:lineRule="auto"/>
        <w:rPr>
          <w:rFonts w:ascii="Times New Roman" w:hAnsi="Times New Roman" w:cs="Times New Roman"/>
          <w:sz w:val="24"/>
          <w:szCs w:val="24"/>
        </w:rPr>
      </w:pPr>
    </w:p>
    <w:p w:rsidRPr="00281FAB" w:rsidR="00281FAB" w:rsidP="00281FAB" w:rsidRDefault="00281FAB" w14:paraId="4A034F52" w14:textId="2A868467">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De leden van de D66-fractie vragen tot slot hoe de minister deze wijzigingen beziet in het licht van het bredere doel om het vertrouwen van inwoners van Groningen en Noord-Drenthe in de overheid te herstellen. Op welke manier dragen deze wijzigingen volgens de minister concreet bij aan een eenvoudiger, rechtvaardiger en beter uitlegbaar stelsel voor bewoners?</w:t>
      </w:r>
    </w:p>
    <w:p w:rsidR="00281FAB" w:rsidP="008D0C08" w:rsidRDefault="00281FAB" w14:paraId="6A733AC7" w14:textId="77777777">
      <w:pPr>
        <w:spacing w:after="0" w:line="276" w:lineRule="auto"/>
        <w:rPr>
          <w:rFonts w:ascii="Times New Roman" w:hAnsi="Times New Roman" w:cs="Times New Roman"/>
          <w:b/>
          <w:bCs/>
          <w:sz w:val="24"/>
          <w:szCs w:val="24"/>
        </w:rPr>
      </w:pPr>
    </w:p>
    <w:p w:rsidR="00940E36" w:rsidP="008D0C08" w:rsidRDefault="009209B6" w14:paraId="2250FE2E" w14:textId="4D87B68E">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008B7817" w:rsidP="008B7817" w:rsidRDefault="008B7817" w14:paraId="66859FE7" w14:textId="1734C1FB">
      <w:pPr>
        <w:spacing w:after="0" w:line="276" w:lineRule="auto"/>
        <w:rPr>
          <w:rFonts w:ascii="Times New Roman" w:hAnsi="Times New Roman" w:cs="Times New Roman"/>
          <w:sz w:val="24"/>
          <w:szCs w:val="24"/>
        </w:rPr>
      </w:pPr>
    </w:p>
    <w:p w:rsidRPr="00E47BE7" w:rsidR="00E47BE7" w:rsidP="00E47BE7" w:rsidRDefault="00E47BE7" w14:paraId="404DBF00" w14:textId="4565FA7B">
      <w:pPr>
        <w:spacing w:after="0" w:line="276" w:lineRule="auto"/>
        <w:rPr>
          <w:rFonts w:ascii="Times New Roman" w:hAnsi="Times New Roman" w:cs="Times New Roman"/>
          <w:sz w:val="24"/>
          <w:szCs w:val="24"/>
        </w:rPr>
      </w:pPr>
      <w:r w:rsidRPr="00E47BE7">
        <w:rPr>
          <w:rFonts w:ascii="Times New Roman" w:hAnsi="Times New Roman" w:cs="Times New Roman"/>
          <w:sz w:val="24"/>
          <w:szCs w:val="24"/>
        </w:rPr>
        <w:t xml:space="preserve">De leden van de VVD-fractie hebben met belangstelling kennisgenomen van de stukken ter voorbereiding op de wijziging van het Besluit Tijdelijke wet Groningen en het Mijnbouwbesluit. </w:t>
      </w:r>
      <w:r w:rsidR="00C3060F">
        <w:rPr>
          <w:rFonts w:ascii="Times New Roman" w:hAnsi="Times New Roman" w:cs="Times New Roman"/>
          <w:sz w:val="24"/>
          <w:szCs w:val="24"/>
        </w:rPr>
        <w:t>Deze leden</w:t>
      </w:r>
      <w:r w:rsidRPr="00E47BE7">
        <w:rPr>
          <w:rFonts w:ascii="Times New Roman" w:hAnsi="Times New Roman" w:cs="Times New Roman"/>
          <w:sz w:val="24"/>
          <w:szCs w:val="24"/>
        </w:rPr>
        <w:t xml:space="preserve"> wensen in dit kader enkele specifieke aandachtspunten te benadrukken en vragen hierover nadere toelichting van </w:t>
      </w:r>
      <w:r w:rsidR="00C3060F">
        <w:rPr>
          <w:rFonts w:ascii="Times New Roman" w:hAnsi="Times New Roman" w:cs="Times New Roman"/>
          <w:sz w:val="24"/>
          <w:szCs w:val="24"/>
        </w:rPr>
        <w:t>de minister</w:t>
      </w:r>
      <w:r w:rsidRPr="00E47BE7">
        <w:rPr>
          <w:rFonts w:ascii="Times New Roman" w:hAnsi="Times New Roman" w:cs="Times New Roman"/>
          <w:sz w:val="24"/>
          <w:szCs w:val="24"/>
        </w:rPr>
        <w:t>.</w:t>
      </w:r>
    </w:p>
    <w:p w:rsidR="00C3060F" w:rsidP="00E47BE7" w:rsidRDefault="00C3060F" w14:paraId="29F42DB7" w14:textId="77777777">
      <w:pPr>
        <w:spacing w:after="0" w:line="276" w:lineRule="auto"/>
        <w:rPr>
          <w:rFonts w:ascii="Times New Roman" w:hAnsi="Times New Roman" w:cs="Times New Roman"/>
          <w:sz w:val="24"/>
          <w:szCs w:val="24"/>
        </w:rPr>
      </w:pPr>
    </w:p>
    <w:p w:rsidR="00E47BE7" w:rsidP="008B7817" w:rsidRDefault="00C3060F" w14:paraId="0CECDCC7" w14:textId="0A40D954">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VVD</w:t>
      </w:r>
      <w:r w:rsidRPr="00281FAB">
        <w:rPr>
          <w:rFonts w:ascii="Times New Roman" w:hAnsi="Times New Roman" w:cs="Times New Roman"/>
          <w:sz w:val="24"/>
          <w:szCs w:val="24"/>
        </w:rPr>
        <w:t xml:space="preserve">-fractie </w:t>
      </w:r>
      <w:r w:rsidRPr="00E47BE7" w:rsidR="00E47BE7">
        <w:rPr>
          <w:rFonts w:ascii="Times New Roman" w:hAnsi="Times New Roman" w:cs="Times New Roman"/>
          <w:sz w:val="24"/>
          <w:szCs w:val="24"/>
        </w:rPr>
        <w:t>vragen ten aanzien van onderdeel H, over de beoordeling van kwetsbare gebouwen, of de aanvullende bouwkundige criteria helder en eenduidig zijn geformuleerd. Hoe wordt voorkomen dat hierdoor nieuwe, moeilijk verklaarbare verschillen in beoordeling ontstaan?</w:t>
      </w:r>
      <w:r w:rsidR="00E314E1">
        <w:rPr>
          <w:rFonts w:ascii="Times New Roman" w:hAnsi="Times New Roman" w:cs="Times New Roman"/>
          <w:sz w:val="24"/>
          <w:szCs w:val="24"/>
        </w:rPr>
        <w:t xml:space="preserve"> </w:t>
      </w:r>
      <w:r w:rsidRPr="00E47BE7" w:rsidR="00E47BE7">
        <w:rPr>
          <w:rFonts w:ascii="Times New Roman" w:hAnsi="Times New Roman" w:cs="Times New Roman"/>
          <w:sz w:val="24"/>
          <w:szCs w:val="24"/>
        </w:rPr>
        <w:t>Ten aanzien van onderdeel I, deel 3, constateren de</w:t>
      </w:r>
      <w:r>
        <w:rPr>
          <w:rFonts w:ascii="Times New Roman" w:hAnsi="Times New Roman" w:cs="Times New Roman"/>
          <w:sz w:val="24"/>
          <w:szCs w:val="24"/>
        </w:rPr>
        <w:t>ze</w:t>
      </w:r>
      <w:r w:rsidRPr="00E47BE7" w:rsidR="00E47BE7">
        <w:rPr>
          <w:rFonts w:ascii="Times New Roman" w:hAnsi="Times New Roman" w:cs="Times New Roman"/>
          <w:sz w:val="24"/>
          <w:szCs w:val="24"/>
        </w:rPr>
        <w:t xml:space="preserve"> leden dat de </w:t>
      </w:r>
      <w:r w:rsidRPr="00E47BE7" w:rsidR="00E47BE7">
        <w:rPr>
          <w:rFonts w:ascii="Times New Roman" w:hAnsi="Times New Roman" w:cs="Times New Roman"/>
          <w:sz w:val="24"/>
          <w:szCs w:val="24"/>
        </w:rPr>
        <w:lastRenderedPageBreak/>
        <w:t xml:space="preserve">naam </w:t>
      </w:r>
      <w:r w:rsidR="001B409D">
        <w:rPr>
          <w:rFonts w:ascii="Times New Roman" w:hAnsi="Times New Roman" w:cs="Times New Roman"/>
          <w:sz w:val="24"/>
          <w:szCs w:val="24"/>
        </w:rPr>
        <w:t>‘</w:t>
      </w:r>
      <w:r w:rsidRPr="00E47BE7" w:rsidR="00E47BE7">
        <w:rPr>
          <w:rFonts w:ascii="Times New Roman" w:hAnsi="Times New Roman" w:cs="Times New Roman"/>
          <w:sz w:val="24"/>
          <w:szCs w:val="24"/>
        </w:rPr>
        <w:t>tijdelijk</w:t>
      </w:r>
      <w:r w:rsidR="00E314E1">
        <w:rPr>
          <w:rFonts w:ascii="Times New Roman" w:hAnsi="Times New Roman" w:cs="Times New Roman"/>
          <w:sz w:val="24"/>
          <w:szCs w:val="24"/>
        </w:rPr>
        <w:t>’</w:t>
      </w:r>
      <w:r w:rsidRPr="00E47BE7" w:rsidR="00E47BE7">
        <w:rPr>
          <w:rFonts w:ascii="Times New Roman" w:hAnsi="Times New Roman" w:cs="Times New Roman"/>
          <w:sz w:val="24"/>
          <w:szCs w:val="24"/>
        </w:rPr>
        <w:t xml:space="preserve"> wordt verwijderd. Is het in dat licht niet logisch om de naamgeving in de Wet Groningen en Noord-Drenthe aan te passen?</w:t>
      </w:r>
      <w:r w:rsidR="00E314E1">
        <w:rPr>
          <w:rFonts w:ascii="Times New Roman" w:hAnsi="Times New Roman" w:cs="Times New Roman"/>
          <w:sz w:val="24"/>
          <w:szCs w:val="24"/>
        </w:rPr>
        <w:t xml:space="preserve"> </w:t>
      </w:r>
      <w:r w:rsidRPr="00E47BE7" w:rsidR="00E47BE7">
        <w:rPr>
          <w:rFonts w:ascii="Times New Roman" w:hAnsi="Times New Roman" w:cs="Times New Roman"/>
          <w:sz w:val="24"/>
          <w:szCs w:val="24"/>
        </w:rPr>
        <w:t xml:space="preserve">Ten slotte merken </w:t>
      </w:r>
      <w:r w:rsidR="00C55E7D">
        <w:rPr>
          <w:rFonts w:ascii="Times New Roman" w:hAnsi="Times New Roman" w:cs="Times New Roman"/>
          <w:sz w:val="24"/>
          <w:szCs w:val="24"/>
        </w:rPr>
        <w:t xml:space="preserve">zij </w:t>
      </w:r>
      <w:r w:rsidRPr="00E47BE7" w:rsidR="00E47BE7">
        <w:rPr>
          <w:rFonts w:ascii="Times New Roman" w:hAnsi="Times New Roman" w:cs="Times New Roman"/>
          <w:sz w:val="24"/>
          <w:szCs w:val="24"/>
        </w:rPr>
        <w:t>bij het onderdeel internetconsultatie op dat ruimte blijft bestaan voor het IMG om het effectgebied uit te breiden wanneer nieuwe inzichten daar aanleiding toe geven. Hoe wordt in dat geval voorkomen dat dit leidt tot willekeur in de toepassing?</w:t>
      </w:r>
    </w:p>
    <w:p w:rsidR="00E85D89" w:rsidP="00536B7D" w:rsidRDefault="00E85D89" w14:paraId="1B6AD2A3" w14:textId="6670964E">
      <w:pPr>
        <w:spacing w:after="0" w:line="276" w:lineRule="auto"/>
        <w:rPr>
          <w:rFonts w:ascii="Times New Roman" w:hAnsi="Times New Roman" w:cs="Times New Roman"/>
          <w:sz w:val="24"/>
          <w:szCs w:val="24"/>
        </w:rPr>
      </w:pPr>
    </w:p>
    <w:p w:rsidRPr="004C3B12" w:rsidR="004C3B12" w:rsidP="00536B7D" w:rsidRDefault="004C3B12" w14:paraId="5D4C5789" w14:textId="11AB866B">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AD25BC">
        <w:rPr>
          <w:rFonts w:ascii="Times New Roman" w:hAnsi="Times New Roman" w:cs="Times New Roman"/>
          <w:b/>
          <w:bCs/>
          <w:sz w:val="24"/>
          <w:szCs w:val="24"/>
        </w:rPr>
        <w:t>-fractie</w:t>
      </w:r>
    </w:p>
    <w:p w:rsidR="004C3B12" w:rsidP="00536B7D" w:rsidRDefault="004C3B12" w14:paraId="75538A9C" w14:textId="77777777">
      <w:pPr>
        <w:spacing w:after="0" w:line="276" w:lineRule="auto"/>
        <w:rPr>
          <w:rFonts w:ascii="Times New Roman" w:hAnsi="Times New Roman" w:cs="Times New Roman"/>
          <w:sz w:val="24"/>
          <w:szCs w:val="24"/>
        </w:rPr>
      </w:pPr>
    </w:p>
    <w:p w:rsidRPr="004C3B12" w:rsidR="004C3B12" w:rsidP="004C3B12" w:rsidRDefault="004C3B12" w14:paraId="5F4040D8" w14:textId="431F601B">
      <w:pPr>
        <w:spacing w:after="0" w:line="276" w:lineRule="auto"/>
        <w:rPr>
          <w:rFonts w:ascii="Times New Roman" w:hAnsi="Times New Roman" w:cs="Times New Roman"/>
          <w:sz w:val="24"/>
          <w:szCs w:val="24"/>
        </w:rPr>
      </w:pPr>
      <w:r w:rsidRPr="004C3B12">
        <w:rPr>
          <w:rFonts w:ascii="Times New Roman" w:hAnsi="Times New Roman" w:cs="Times New Roman"/>
          <w:sz w:val="24"/>
          <w:szCs w:val="24"/>
        </w:rPr>
        <w:t>De leden van de CDA-fractie hebben kennisgenomen van de ontwerp AMvB tot wijziging van het Besluit Tijdelijke wet Groningen en het Mijnbouwbesluit. Deze leden vinden het goed dat de doelgroep die gebruik kan maken van de subsidieregeling rechtsbijstand wordt verruimd en hebben ook met tevredenheid gelezen dat naar aanleiding van de motie-Vedder/</w:t>
      </w:r>
      <w:proofErr w:type="spellStart"/>
      <w:r w:rsidRPr="004C3B12">
        <w:rPr>
          <w:rFonts w:ascii="Times New Roman" w:hAnsi="Times New Roman" w:cs="Times New Roman"/>
          <w:sz w:val="24"/>
          <w:szCs w:val="24"/>
        </w:rPr>
        <w:t>Boulakjar</w:t>
      </w:r>
      <w:proofErr w:type="spellEnd"/>
      <w:r w:rsidRPr="004C3B12">
        <w:rPr>
          <w:rFonts w:ascii="Times New Roman" w:hAnsi="Times New Roman" w:cs="Times New Roman"/>
          <w:sz w:val="24"/>
          <w:szCs w:val="24"/>
        </w:rPr>
        <w:t xml:space="preserve"> het schadebedrag tot aan waar er geen onderzoek meer wordt gedaan naar causaliteit wordt verhoogd naar 60.000</w:t>
      </w:r>
      <w:r w:rsidR="00B839BD">
        <w:rPr>
          <w:rFonts w:ascii="Times New Roman" w:hAnsi="Times New Roman" w:cs="Times New Roman"/>
          <w:sz w:val="24"/>
          <w:szCs w:val="24"/>
        </w:rPr>
        <w:t xml:space="preserve"> euro</w:t>
      </w:r>
      <w:r w:rsidRPr="004C3B12">
        <w:rPr>
          <w:rFonts w:ascii="Times New Roman" w:hAnsi="Times New Roman" w:cs="Times New Roman"/>
          <w:sz w:val="24"/>
          <w:szCs w:val="24"/>
        </w:rPr>
        <w:t xml:space="preserve">. </w:t>
      </w:r>
      <w:r w:rsidR="00B839BD">
        <w:rPr>
          <w:rFonts w:ascii="Times New Roman" w:hAnsi="Times New Roman" w:cs="Times New Roman"/>
          <w:sz w:val="24"/>
          <w:szCs w:val="24"/>
        </w:rPr>
        <w:t xml:space="preserve">Zij </w:t>
      </w:r>
      <w:r w:rsidRPr="004C3B12">
        <w:rPr>
          <w:rFonts w:ascii="Times New Roman" w:hAnsi="Times New Roman" w:cs="Times New Roman"/>
          <w:sz w:val="24"/>
          <w:szCs w:val="24"/>
        </w:rPr>
        <w:t>hebben hierbij nog een enkele vraag.</w:t>
      </w:r>
    </w:p>
    <w:p w:rsidRPr="004C3B12" w:rsidR="004C3B12" w:rsidP="004C3B12" w:rsidRDefault="004C3B12" w14:paraId="3F0494A2" w14:textId="77777777">
      <w:pPr>
        <w:spacing w:after="0" w:line="276" w:lineRule="auto"/>
        <w:rPr>
          <w:rFonts w:ascii="Times New Roman" w:hAnsi="Times New Roman" w:cs="Times New Roman"/>
          <w:b/>
          <w:bCs/>
          <w:sz w:val="24"/>
          <w:szCs w:val="24"/>
        </w:rPr>
      </w:pPr>
    </w:p>
    <w:p w:rsidRPr="004C3B12" w:rsidR="004C3B12" w:rsidP="004C3B12" w:rsidRDefault="004C3B12" w14:paraId="3F12B092" w14:textId="1F8C9DB5">
      <w:pPr>
        <w:spacing w:after="0" w:line="276" w:lineRule="auto"/>
        <w:rPr>
          <w:rFonts w:ascii="Times New Roman" w:hAnsi="Times New Roman" w:cs="Times New Roman"/>
          <w:b/>
          <w:bCs/>
          <w:sz w:val="24"/>
          <w:szCs w:val="24"/>
        </w:rPr>
      </w:pPr>
      <w:r w:rsidRPr="004C3B12">
        <w:rPr>
          <w:rFonts w:ascii="Times New Roman" w:hAnsi="Times New Roman" w:cs="Times New Roman"/>
          <w:i/>
          <w:iCs/>
          <w:sz w:val="24"/>
          <w:szCs w:val="24"/>
        </w:rPr>
        <w:t>2. Wijzigingen Besluit Tijdelijke wet Groningen</w:t>
      </w:r>
      <w:r w:rsidR="00E82DF2">
        <w:rPr>
          <w:rFonts w:ascii="Times New Roman" w:hAnsi="Times New Roman" w:cs="Times New Roman"/>
          <w:i/>
          <w:iCs/>
          <w:sz w:val="24"/>
          <w:szCs w:val="24"/>
        </w:rPr>
        <w:t>,</w:t>
      </w:r>
      <w:r w:rsidR="00E82DF2">
        <w:rPr>
          <w:rFonts w:ascii="Times New Roman" w:hAnsi="Times New Roman" w:cs="Times New Roman"/>
          <w:b/>
          <w:bCs/>
          <w:sz w:val="24"/>
          <w:szCs w:val="24"/>
        </w:rPr>
        <w:t xml:space="preserve"> </w:t>
      </w:r>
      <w:r w:rsidRPr="004C3B12">
        <w:rPr>
          <w:rFonts w:ascii="Times New Roman" w:hAnsi="Times New Roman" w:cs="Times New Roman"/>
          <w:i/>
          <w:iCs/>
          <w:sz w:val="24"/>
          <w:szCs w:val="24"/>
        </w:rPr>
        <w:t>Onderdeel C</w:t>
      </w:r>
    </w:p>
    <w:p w:rsidRPr="004C3B12" w:rsidR="004C3B12" w:rsidP="004C3B12" w:rsidRDefault="004C3B12" w14:paraId="4B0CB9CA" w14:textId="5F7CFCDC">
      <w:pPr>
        <w:spacing w:after="0" w:line="276" w:lineRule="auto"/>
        <w:rPr>
          <w:rFonts w:ascii="Times New Roman" w:hAnsi="Times New Roman" w:cs="Times New Roman"/>
          <w:sz w:val="24"/>
          <w:szCs w:val="24"/>
        </w:rPr>
      </w:pPr>
      <w:r w:rsidRPr="004C3B12">
        <w:rPr>
          <w:rFonts w:ascii="Times New Roman" w:hAnsi="Times New Roman" w:cs="Times New Roman"/>
          <w:sz w:val="24"/>
          <w:szCs w:val="24"/>
        </w:rPr>
        <w:t xml:space="preserve">De leden van de CDA-fractie vragen een nadere toelichting wat er bedoeld wordt met </w:t>
      </w:r>
      <w:r w:rsidR="00B839BD">
        <w:rPr>
          <w:rFonts w:ascii="Times New Roman" w:hAnsi="Times New Roman" w:cs="Times New Roman"/>
          <w:sz w:val="24"/>
          <w:szCs w:val="24"/>
        </w:rPr>
        <w:t>“</w:t>
      </w:r>
      <w:r w:rsidRPr="004C3B12">
        <w:rPr>
          <w:rFonts w:ascii="Times New Roman" w:hAnsi="Times New Roman" w:cs="Times New Roman"/>
          <w:sz w:val="24"/>
          <w:szCs w:val="24"/>
        </w:rPr>
        <w:t>het genoemde periodiek bekijken grensbedrag 60.000</w:t>
      </w:r>
      <w:r w:rsidR="003F321A">
        <w:rPr>
          <w:rFonts w:ascii="Times New Roman" w:hAnsi="Times New Roman" w:cs="Times New Roman"/>
          <w:sz w:val="24"/>
          <w:szCs w:val="24"/>
        </w:rPr>
        <w:t xml:space="preserve"> euro</w:t>
      </w:r>
      <w:r w:rsidRPr="004C3B12">
        <w:rPr>
          <w:rFonts w:ascii="Times New Roman" w:hAnsi="Times New Roman" w:cs="Times New Roman"/>
          <w:sz w:val="24"/>
          <w:szCs w:val="24"/>
        </w:rPr>
        <w:t xml:space="preserve"> passend is</w:t>
      </w:r>
      <w:r w:rsidR="00B839BD">
        <w:rPr>
          <w:rFonts w:ascii="Times New Roman" w:hAnsi="Times New Roman" w:cs="Times New Roman"/>
          <w:sz w:val="24"/>
          <w:szCs w:val="24"/>
        </w:rPr>
        <w:t>”</w:t>
      </w:r>
      <w:r w:rsidR="002045AB">
        <w:rPr>
          <w:rFonts w:ascii="Times New Roman" w:hAnsi="Times New Roman" w:cs="Times New Roman"/>
          <w:sz w:val="24"/>
          <w:szCs w:val="24"/>
        </w:rPr>
        <w:t>.</w:t>
      </w:r>
      <w:r w:rsidRPr="004C3B12">
        <w:rPr>
          <w:rFonts w:ascii="Times New Roman" w:hAnsi="Times New Roman" w:cs="Times New Roman"/>
          <w:sz w:val="24"/>
          <w:szCs w:val="24"/>
        </w:rPr>
        <w:t xml:space="preserve"> </w:t>
      </w:r>
    </w:p>
    <w:p w:rsidR="004C3B12" w:rsidP="00536B7D" w:rsidRDefault="004C3B12" w14:paraId="3AB1D759" w14:textId="77777777">
      <w:pPr>
        <w:spacing w:after="0" w:line="276" w:lineRule="auto"/>
        <w:rPr>
          <w:rFonts w:ascii="Times New Roman" w:hAnsi="Times New Roman" w:cs="Times New Roman"/>
          <w:sz w:val="24"/>
          <w:szCs w:val="24"/>
        </w:rPr>
      </w:pPr>
    </w:p>
    <w:p w:rsidRPr="00150909" w:rsidR="00150909" w:rsidP="00536B7D" w:rsidRDefault="00150909" w14:paraId="04979790" w14:textId="24B92A50">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00152B58">
        <w:rPr>
          <w:rFonts w:ascii="Times New Roman" w:hAnsi="Times New Roman" w:cs="Times New Roman"/>
          <w:b/>
          <w:bCs/>
          <w:sz w:val="24"/>
          <w:szCs w:val="24"/>
        </w:rPr>
        <w:t>JA21</w:t>
      </w:r>
      <w:r w:rsidRPr="00AD25BC">
        <w:rPr>
          <w:rFonts w:ascii="Times New Roman" w:hAnsi="Times New Roman" w:cs="Times New Roman"/>
          <w:b/>
          <w:bCs/>
          <w:sz w:val="24"/>
          <w:szCs w:val="24"/>
        </w:rPr>
        <w:t>-fractie</w:t>
      </w:r>
    </w:p>
    <w:p w:rsidR="00152B58" w:rsidP="00150909" w:rsidRDefault="00152B58" w14:paraId="7F6369DC" w14:textId="77777777">
      <w:pPr>
        <w:spacing w:after="0" w:line="276" w:lineRule="auto"/>
        <w:rPr>
          <w:rFonts w:ascii="Times New Roman" w:hAnsi="Times New Roman" w:cs="Times New Roman"/>
          <w:sz w:val="24"/>
          <w:szCs w:val="24"/>
        </w:rPr>
      </w:pPr>
    </w:p>
    <w:p w:rsidR="00152B58" w:rsidP="00150909" w:rsidRDefault="008B432E" w14:paraId="02776573" w14:textId="2718601F">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 xml:space="preserve">hebben kennisgenomen van de voorhangbrief van </w:t>
      </w:r>
      <w:r w:rsidR="00333D52">
        <w:rPr>
          <w:rFonts w:ascii="Times New Roman" w:hAnsi="Times New Roman" w:cs="Times New Roman"/>
          <w:sz w:val="24"/>
          <w:szCs w:val="24"/>
        </w:rPr>
        <w:t xml:space="preserve">minister </w:t>
      </w:r>
      <w:r w:rsidRPr="00150909" w:rsidR="00150909">
        <w:rPr>
          <w:rFonts w:ascii="Times New Roman" w:hAnsi="Times New Roman" w:cs="Times New Roman"/>
          <w:sz w:val="24"/>
          <w:szCs w:val="24"/>
        </w:rPr>
        <w:t>inzake het ontwerpbesluit tot wijziging van het Besluit Tijdelijke wet Groningen en het Mijnbouwbesluit. Dit wijzigingsbesluit vloeit voort uit de kabinetsreactie op het rapport van de parlementaire enquêtecommissie aardgaswinning Groningen en bevat daarnaast enkele technische correcties en verduidelijkingen. De</w:t>
      </w:r>
      <w:r w:rsidR="00333D52">
        <w:rPr>
          <w:rFonts w:ascii="Times New Roman" w:hAnsi="Times New Roman" w:cs="Times New Roman"/>
          <w:sz w:val="24"/>
          <w:szCs w:val="24"/>
        </w:rPr>
        <w:t>ze</w:t>
      </w:r>
      <w:r w:rsidRPr="00150909" w:rsidR="00150909">
        <w:rPr>
          <w:rFonts w:ascii="Times New Roman" w:hAnsi="Times New Roman" w:cs="Times New Roman"/>
          <w:sz w:val="24"/>
          <w:szCs w:val="24"/>
        </w:rPr>
        <w:t xml:space="preserve"> leden onderschrijven het belang van een voortvarende en rechtvaardige afhandeling van schade voor bewoners van het aardbevingsgebied. Tegelijkertijd hebben </w:t>
      </w:r>
      <w:r w:rsidR="00333D52">
        <w:rPr>
          <w:rFonts w:ascii="Times New Roman" w:hAnsi="Times New Roman" w:cs="Times New Roman"/>
          <w:sz w:val="24"/>
          <w:szCs w:val="24"/>
        </w:rPr>
        <w:t xml:space="preserve">zij </w:t>
      </w:r>
      <w:r w:rsidRPr="00150909" w:rsidR="00150909">
        <w:rPr>
          <w:rFonts w:ascii="Times New Roman" w:hAnsi="Times New Roman" w:cs="Times New Roman"/>
          <w:sz w:val="24"/>
          <w:szCs w:val="24"/>
        </w:rPr>
        <w:t>nog enkele vragen over de uitvoering van het besluit en de mogelijke gevolgen voor bewoners.</w:t>
      </w:r>
    </w:p>
    <w:p w:rsidR="00152B58" w:rsidP="00150909" w:rsidRDefault="00152B58" w14:paraId="55F67857" w14:textId="77777777">
      <w:pPr>
        <w:spacing w:after="0" w:line="276" w:lineRule="auto"/>
        <w:rPr>
          <w:rFonts w:ascii="Times New Roman" w:hAnsi="Times New Roman" w:cs="Times New Roman"/>
          <w:sz w:val="24"/>
          <w:szCs w:val="24"/>
        </w:rPr>
      </w:pPr>
    </w:p>
    <w:p w:rsidRPr="00150909" w:rsidR="00150909" w:rsidP="00150909" w:rsidRDefault="00150909" w14:paraId="1EBAB099" w14:textId="397B9B02">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Algemeen</w:t>
      </w:r>
    </w:p>
    <w:p w:rsidRPr="00150909" w:rsidR="00150909" w:rsidP="00150909" w:rsidRDefault="00333D52" w14:paraId="1F9DB572" w14:textId="18004874">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constateren dat het wijzigingsbesluit verschillende aanpassingen bevat die bedoeld zijn om de schadeafhandeling en de versterkingsoperatie te verbeteren en te versnellen. Tegelijkertijd hebben bewoners van het aardbevingsgebied de afgelopen jaren regelmatig te maken gehad met langdurige procedures en vertragingen.</w:t>
      </w:r>
      <w:r w:rsidR="008B48F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Deze leden vragen hoe wordt geborgd dat de uitvoering van de voorgestelde wijzigingen niet leidt tot verdere vertraging in de schadeafhandeling of de versterkingsoperatie. Op welke wijze monitort </w:t>
      </w:r>
      <w:r w:rsidR="006433CE">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of de wijzigingen daadwerkelijk bijdragen aan een snellere en eenvoudiger afhandeling voor bewoners?</w:t>
      </w:r>
      <w:r w:rsidR="008B48F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Daarnaast vragen </w:t>
      </w:r>
      <w:r w:rsidR="008B48FD">
        <w:rPr>
          <w:rFonts w:ascii="Times New Roman" w:hAnsi="Times New Roman" w:cs="Times New Roman"/>
          <w:sz w:val="24"/>
          <w:szCs w:val="24"/>
        </w:rPr>
        <w:t xml:space="preserve">zij </w:t>
      </w:r>
      <w:r w:rsidRPr="00150909" w:rsidR="00150909">
        <w:rPr>
          <w:rFonts w:ascii="Times New Roman" w:hAnsi="Times New Roman" w:cs="Times New Roman"/>
          <w:sz w:val="24"/>
          <w:szCs w:val="24"/>
        </w:rPr>
        <w:t>hoe wordt voorkomen dat nieuwe uitvoeringsregels of aanpassingen in regelgeving leiden tot extra administratieve lasten voor bewoners, gemeenten en uitvoeringsorganisaties.</w:t>
      </w:r>
    </w:p>
    <w:p w:rsidR="008B48FD" w:rsidP="00150909" w:rsidRDefault="008B48FD" w14:paraId="61C53CCB" w14:textId="77777777">
      <w:pPr>
        <w:spacing w:after="0" w:line="276" w:lineRule="auto"/>
        <w:rPr>
          <w:rFonts w:ascii="Times New Roman" w:hAnsi="Times New Roman" w:cs="Times New Roman"/>
          <w:i/>
          <w:iCs/>
          <w:sz w:val="24"/>
          <w:szCs w:val="24"/>
        </w:rPr>
      </w:pPr>
    </w:p>
    <w:p w:rsidR="00602B34" w:rsidP="00150909" w:rsidRDefault="00602B34" w14:paraId="3BFD38BE" w14:textId="77777777">
      <w:pPr>
        <w:spacing w:after="0" w:line="276" w:lineRule="auto"/>
        <w:rPr>
          <w:rFonts w:ascii="Times New Roman" w:hAnsi="Times New Roman" w:cs="Times New Roman"/>
          <w:i/>
          <w:iCs/>
          <w:sz w:val="24"/>
          <w:szCs w:val="24"/>
        </w:rPr>
      </w:pPr>
    </w:p>
    <w:p w:rsidR="00602B34" w:rsidP="00150909" w:rsidRDefault="00602B34" w14:paraId="70014C65" w14:textId="77777777">
      <w:pPr>
        <w:spacing w:after="0" w:line="276" w:lineRule="auto"/>
        <w:rPr>
          <w:rFonts w:ascii="Times New Roman" w:hAnsi="Times New Roman" w:cs="Times New Roman"/>
          <w:i/>
          <w:iCs/>
          <w:sz w:val="24"/>
          <w:szCs w:val="24"/>
        </w:rPr>
      </w:pPr>
    </w:p>
    <w:p w:rsidR="008B48FD" w:rsidP="00150909" w:rsidRDefault="00150909" w14:paraId="64058FBB" w14:textId="4467EB93">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lastRenderedPageBreak/>
        <w:t>Overlastvergoedingen</w:t>
      </w:r>
    </w:p>
    <w:p w:rsidRPr="00150909" w:rsidR="00150909" w:rsidP="00150909" w:rsidRDefault="008B48FD" w14:paraId="74D81D0B" w14:textId="3E184BD3">
      <w:pPr>
        <w:spacing w:after="0" w:line="276" w:lineRule="auto"/>
        <w:rPr>
          <w:rFonts w:ascii="Times New Roman" w:hAnsi="Times New Roman" w:cs="Times New Roman"/>
          <w:i/>
          <w:iCs/>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lezen dat het ontwerpbesluit de mogelijkheid introduceert om vergoedingen voor overlast flexibeler vast te stellen via een ministeriële regeling. Hiermee kan beter worden ingespeeld op verschillende soorten overlast die bewoners ervaren, bijvoorbeeld bij herhaalschade of langdurige werkzaamheden.</w:t>
      </w:r>
      <w:r w:rsidR="005949C5">
        <w:rPr>
          <w:rFonts w:ascii="Times New Roman" w:hAnsi="Times New Roman" w:cs="Times New Roman"/>
          <w:i/>
          <w:iCs/>
          <w:sz w:val="24"/>
          <w:szCs w:val="24"/>
        </w:rPr>
        <w:t xml:space="preserve"> </w:t>
      </w:r>
      <w:r w:rsidRPr="00150909" w:rsidR="00150909">
        <w:rPr>
          <w:rFonts w:ascii="Times New Roman" w:hAnsi="Times New Roman" w:cs="Times New Roman"/>
          <w:sz w:val="24"/>
          <w:szCs w:val="24"/>
        </w:rPr>
        <w:t xml:space="preserve">Deze leden vragen op basis van welke criteria </w:t>
      </w:r>
      <w:r w:rsidR="006433CE">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de hoogte van verschillende overlastvergoedingen zal bepalen. Op welke wijze wordt daarbij rekening gehouden met verschillen in ernst, duur en frequentie van de overlast die bewoners ervaren?</w:t>
      </w:r>
      <w:r w:rsidR="005949C5">
        <w:rPr>
          <w:rFonts w:ascii="Times New Roman" w:hAnsi="Times New Roman" w:cs="Times New Roman"/>
          <w:i/>
          <w:iCs/>
          <w:sz w:val="24"/>
          <w:szCs w:val="24"/>
        </w:rPr>
        <w:t xml:space="preserve"> </w:t>
      </w:r>
      <w:r w:rsidRPr="00150909" w:rsidR="00150909">
        <w:rPr>
          <w:rFonts w:ascii="Times New Roman" w:hAnsi="Times New Roman" w:cs="Times New Roman"/>
          <w:sz w:val="24"/>
          <w:szCs w:val="24"/>
        </w:rPr>
        <w:t xml:space="preserve">Daarnaast vragen </w:t>
      </w:r>
      <w:r w:rsidR="005949C5">
        <w:rPr>
          <w:rFonts w:ascii="Times New Roman" w:hAnsi="Times New Roman" w:cs="Times New Roman"/>
          <w:sz w:val="24"/>
          <w:szCs w:val="24"/>
        </w:rPr>
        <w:t xml:space="preserve">zij </w:t>
      </w:r>
      <w:r w:rsidRPr="00150909" w:rsidR="00150909">
        <w:rPr>
          <w:rFonts w:ascii="Times New Roman" w:hAnsi="Times New Roman" w:cs="Times New Roman"/>
          <w:sz w:val="24"/>
          <w:szCs w:val="24"/>
        </w:rPr>
        <w:t>hoe wordt geborgd dat bewoners die herhaaldelijk schade of langdurige werkzaamheden ervaren daadwerkelijk ruimhartig worden gecompenseerd. Wordt hierbij bijvoorbeeld rekening gehouden met cumulatieve overlast wanneer bewoners meerdere keren schade of herstelwerkzaamheden ondervinden?</w:t>
      </w:r>
      <w:r w:rsidR="005949C5">
        <w:rPr>
          <w:rFonts w:ascii="Times New Roman" w:hAnsi="Times New Roman" w:cs="Times New Roman"/>
          <w:i/>
          <w:iCs/>
          <w:sz w:val="24"/>
          <w:szCs w:val="24"/>
        </w:rPr>
        <w:t xml:space="preserve"> </w:t>
      </w:r>
      <w:r w:rsidRPr="00150909" w:rsidR="00150909">
        <w:rPr>
          <w:rFonts w:ascii="Times New Roman" w:hAnsi="Times New Roman" w:cs="Times New Roman"/>
          <w:sz w:val="24"/>
          <w:szCs w:val="24"/>
        </w:rPr>
        <w:t xml:space="preserve">Voorts vragen </w:t>
      </w:r>
      <w:r w:rsidR="005949C5">
        <w:rPr>
          <w:rFonts w:ascii="Times New Roman" w:hAnsi="Times New Roman" w:cs="Times New Roman"/>
          <w:sz w:val="24"/>
          <w:szCs w:val="24"/>
        </w:rPr>
        <w:t xml:space="preserve">zij </w:t>
      </w:r>
      <w:r w:rsidRPr="00150909" w:rsidR="00150909">
        <w:rPr>
          <w:rFonts w:ascii="Times New Roman" w:hAnsi="Times New Roman" w:cs="Times New Roman"/>
          <w:sz w:val="24"/>
          <w:szCs w:val="24"/>
        </w:rPr>
        <w:t>op welke wijze wordt voorkomen dat bewoners moeten wachten op aanpassing van vergoedingen wanneer bijvoorbeeld inflatie of veranderende omstandigheden daartoe aanleiding geven. Wordt overwogen om de hoogte van vergoedingen periodiek te indexeren of op andere wijze automatisch aan te passen aan prijsontwikkelingen?</w:t>
      </w:r>
    </w:p>
    <w:p w:rsidR="005949C5" w:rsidP="00150909" w:rsidRDefault="005949C5" w14:paraId="156CAEF0" w14:textId="77777777">
      <w:pPr>
        <w:spacing w:after="0" w:line="276" w:lineRule="auto"/>
        <w:rPr>
          <w:rFonts w:ascii="Times New Roman" w:hAnsi="Times New Roman" w:cs="Times New Roman"/>
          <w:b/>
          <w:bCs/>
          <w:sz w:val="24"/>
          <w:szCs w:val="24"/>
        </w:rPr>
      </w:pPr>
    </w:p>
    <w:p w:rsidRPr="00150909" w:rsidR="00150909" w:rsidP="00150909" w:rsidRDefault="00150909" w14:paraId="21DF1CC5" w14:textId="63A03DB8">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Maximumbedrag voor schadeherstel</w:t>
      </w:r>
    </w:p>
    <w:p w:rsidRPr="00150909" w:rsidR="00150909" w:rsidP="00150909" w:rsidRDefault="008F4CFC" w14:paraId="0024B7D8" w14:textId="509F7E72">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 xml:space="preserve">lezen dat het wijzigingsbesluit een maximumbedrag van 60.000 </w:t>
      </w:r>
      <w:r>
        <w:rPr>
          <w:rFonts w:ascii="Times New Roman" w:hAnsi="Times New Roman" w:cs="Times New Roman"/>
          <w:sz w:val="24"/>
          <w:szCs w:val="24"/>
        </w:rPr>
        <w:t xml:space="preserve">euro </w:t>
      </w:r>
      <w:r w:rsidRPr="00150909" w:rsidR="00150909">
        <w:rPr>
          <w:rFonts w:ascii="Times New Roman" w:hAnsi="Times New Roman" w:cs="Times New Roman"/>
          <w:sz w:val="24"/>
          <w:szCs w:val="24"/>
        </w:rPr>
        <w:t>introduceert voor het daadwerkelijk herstellen van schade zonder uitgebreid onderzoek naar de oorzaak. Hiermee moet schade sneller kunnen worden hersteld doordat in deze gevallen geen uitgebreid onderzoek nodig is naar de precieze oorzaak van de schade.</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Deze leden vragen </w:t>
      </w:r>
      <w:r>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 xml:space="preserve">toe te lichten waarom is gekozen voor een grensbedrag van 60.000 </w:t>
      </w:r>
      <w:r>
        <w:rPr>
          <w:rFonts w:ascii="Times New Roman" w:hAnsi="Times New Roman" w:cs="Times New Roman"/>
          <w:sz w:val="24"/>
          <w:szCs w:val="24"/>
        </w:rPr>
        <w:t xml:space="preserve"> euro </w:t>
      </w:r>
      <w:r w:rsidRPr="00150909" w:rsidR="00150909">
        <w:rPr>
          <w:rFonts w:ascii="Times New Roman" w:hAnsi="Times New Roman" w:cs="Times New Roman"/>
          <w:sz w:val="24"/>
          <w:szCs w:val="24"/>
        </w:rPr>
        <w:t>en niet voor een hoger bedrag. Welke overwegingen hebben een rol gespeeld bij het vaststellen van deze grens?</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Daarnaast vragen </w:t>
      </w:r>
      <w:r>
        <w:rPr>
          <w:rFonts w:ascii="Times New Roman" w:hAnsi="Times New Roman" w:cs="Times New Roman"/>
          <w:sz w:val="24"/>
          <w:szCs w:val="24"/>
        </w:rPr>
        <w:t xml:space="preserve">zij </w:t>
      </w:r>
      <w:r w:rsidRPr="00150909" w:rsidR="00150909">
        <w:rPr>
          <w:rFonts w:ascii="Times New Roman" w:hAnsi="Times New Roman" w:cs="Times New Roman"/>
          <w:sz w:val="24"/>
          <w:szCs w:val="24"/>
        </w:rPr>
        <w:t>hoeveel schadegevallen naar verwachting boven de 60.000</w:t>
      </w:r>
      <w:r>
        <w:rPr>
          <w:rFonts w:ascii="Times New Roman" w:hAnsi="Times New Roman" w:cs="Times New Roman"/>
          <w:sz w:val="24"/>
          <w:szCs w:val="24"/>
        </w:rPr>
        <w:t xml:space="preserve"> euro</w:t>
      </w:r>
      <w:r w:rsidRPr="00150909" w:rsidR="00150909">
        <w:rPr>
          <w:rFonts w:ascii="Times New Roman" w:hAnsi="Times New Roman" w:cs="Times New Roman"/>
          <w:sz w:val="24"/>
          <w:szCs w:val="24"/>
        </w:rPr>
        <w:t xml:space="preserve"> uitkomen en hoe lang de afhandeling van dergelijke schadegevallen gemiddeld duurt. In hoeverre verwacht </w:t>
      </w:r>
      <w:r>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dat deze gevallen alsnog leiden tot langdurige onderzoeken naar de oorzaak van schade?</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Voorts vragen </w:t>
      </w:r>
      <w:r>
        <w:rPr>
          <w:rFonts w:ascii="Times New Roman" w:hAnsi="Times New Roman" w:cs="Times New Roman"/>
          <w:sz w:val="24"/>
          <w:szCs w:val="24"/>
        </w:rPr>
        <w:t xml:space="preserve">zij </w:t>
      </w:r>
      <w:r w:rsidRPr="00150909" w:rsidR="00150909">
        <w:rPr>
          <w:rFonts w:ascii="Times New Roman" w:hAnsi="Times New Roman" w:cs="Times New Roman"/>
          <w:sz w:val="24"/>
          <w:szCs w:val="24"/>
        </w:rPr>
        <w:t xml:space="preserve">hoe wordt voorkomen dat het grensbedrag een prikkel creëert om schade zoveel mogelijk onder deze grens te laten vallen, bijvoorbeeld door schade anders te begroten of op te splitsen. Heeft </w:t>
      </w:r>
      <w:r>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onderzocht of bewoners hun schade mogelijk in meerdere aanvragen moeten opsplitsen om onder deze grens te blijven?</w:t>
      </w:r>
    </w:p>
    <w:p w:rsidR="008F4CFC" w:rsidP="00150909" w:rsidRDefault="008F4CFC" w14:paraId="65FCC031" w14:textId="77777777">
      <w:pPr>
        <w:spacing w:after="0" w:line="276" w:lineRule="auto"/>
        <w:rPr>
          <w:rFonts w:ascii="Times New Roman" w:hAnsi="Times New Roman" w:cs="Times New Roman"/>
          <w:sz w:val="24"/>
          <w:szCs w:val="24"/>
        </w:rPr>
      </w:pPr>
    </w:p>
    <w:p w:rsidR="00150909" w:rsidP="00150909" w:rsidRDefault="008F4CFC" w14:paraId="6B331B07" w14:textId="0C79EF81">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vragen daarnaast hoe wordt voorkomen dat bewoners in het zwaarst getroffen kerngebied juist vaker met langdurige onderzoeken worden geconfronteerd doordat hun schadebedrag vaker boven deze grens uitkomt.</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Tot slot vragen deze leden of </w:t>
      </w:r>
      <w:r>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 xml:space="preserve">bereid is periodiek te evalueren of het grensbedrag van 60.000 </w:t>
      </w:r>
      <w:r>
        <w:rPr>
          <w:rFonts w:ascii="Times New Roman" w:hAnsi="Times New Roman" w:cs="Times New Roman"/>
          <w:sz w:val="24"/>
          <w:szCs w:val="24"/>
        </w:rPr>
        <w:t xml:space="preserve">euro </w:t>
      </w:r>
      <w:r w:rsidRPr="00150909" w:rsidR="00150909">
        <w:rPr>
          <w:rFonts w:ascii="Times New Roman" w:hAnsi="Times New Roman" w:cs="Times New Roman"/>
          <w:sz w:val="24"/>
          <w:szCs w:val="24"/>
        </w:rPr>
        <w:t>voldoende is om snel en volledig schadeherstel mogelijk te maken, en indien nodig dit bedrag aan te passen.</w:t>
      </w:r>
    </w:p>
    <w:p w:rsidRPr="00150909" w:rsidR="00B10A89" w:rsidP="00150909" w:rsidRDefault="00B10A89" w14:paraId="04A727FE" w14:textId="77777777">
      <w:pPr>
        <w:spacing w:after="0" w:line="276" w:lineRule="auto"/>
        <w:rPr>
          <w:rFonts w:ascii="Times New Roman" w:hAnsi="Times New Roman" w:cs="Times New Roman"/>
          <w:i/>
          <w:iCs/>
          <w:sz w:val="24"/>
          <w:szCs w:val="24"/>
        </w:rPr>
      </w:pPr>
    </w:p>
    <w:p w:rsidRPr="00150909" w:rsidR="00150909" w:rsidP="00150909" w:rsidRDefault="00150909" w14:paraId="22A0BD40" w14:textId="77777777">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Kostenverhaal op de NAM</w:t>
      </w:r>
    </w:p>
    <w:p w:rsidRPr="00150909" w:rsidR="00150909" w:rsidP="00150909" w:rsidRDefault="00B10A89" w14:paraId="03183BCF" w14:textId="7F6AE4BE">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 xml:space="preserve">merken op dat het uitgangspunt van het Groningendossier steeds is geweest dat bewoners niet zelf tegenover de </w:t>
      </w:r>
      <w:r>
        <w:rPr>
          <w:rFonts w:ascii="Times New Roman" w:hAnsi="Times New Roman" w:cs="Times New Roman"/>
          <w:sz w:val="24"/>
          <w:szCs w:val="24"/>
        </w:rPr>
        <w:t>Nederlandse Aardolie Maatschappij (</w:t>
      </w:r>
      <w:r w:rsidRPr="00150909" w:rsidR="00150909">
        <w:rPr>
          <w:rFonts w:ascii="Times New Roman" w:hAnsi="Times New Roman" w:cs="Times New Roman"/>
          <w:sz w:val="24"/>
          <w:szCs w:val="24"/>
        </w:rPr>
        <w:t>NAM</w:t>
      </w:r>
      <w:r>
        <w:rPr>
          <w:rFonts w:ascii="Times New Roman" w:hAnsi="Times New Roman" w:cs="Times New Roman"/>
          <w:sz w:val="24"/>
          <w:szCs w:val="24"/>
        </w:rPr>
        <w:t>)</w:t>
      </w:r>
      <w:r w:rsidRPr="00150909" w:rsidR="00150909">
        <w:rPr>
          <w:rFonts w:ascii="Times New Roman" w:hAnsi="Times New Roman" w:cs="Times New Roman"/>
          <w:sz w:val="24"/>
          <w:szCs w:val="24"/>
        </w:rPr>
        <w:t xml:space="preserve"> hoeven te procederen, maar dat de overheid schade vergoedt en de kosten vervolgens verhaalt op de NAM.</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Deze leden vragen in hoeverre de kosten die voortvloeien uit de voorgestelde maatregelen – waaronder overlastvergoedingen, juridische bijstand en deskundigenadvies – </w:t>
      </w:r>
      <w:r w:rsidRPr="00150909" w:rsidR="00150909">
        <w:rPr>
          <w:rFonts w:ascii="Times New Roman" w:hAnsi="Times New Roman" w:cs="Times New Roman"/>
          <w:sz w:val="24"/>
          <w:szCs w:val="24"/>
        </w:rPr>
        <w:lastRenderedPageBreak/>
        <w:t xml:space="preserve">volledig kunnen worden verhaald op de NAM. Kan </w:t>
      </w:r>
      <w:r w:rsidR="0095179A">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bevestigen dat bewoners niet alsnog indirect worden geconfronteerd met financiële beperkingen wanneer kosten niet volledig op de NAM kunnen worden verhaald?</w:t>
      </w:r>
      <w:r w:rsidR="0095179A">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Daarnaast vragen </w:t>
      </w:r>
      <w:r w:rsidR="0095179A">
        <w:rPr>
          <w:rFonts w:ascii="Times New Roman" w:hAnsi="Times New Roman" w:cs="Times New Roman"/>
          <w:sz w:val="24"/>
          <w:szCs w:val="24"/>
        </w:rPr>
        <w:t xml:space="preserve">zij </w:t>
      </w:r>
      <w:r w:rsidRPr="00150909" w:rsidR="00150909">
        <w:rPr>
          <w:rFonts w:ascii="Times New Roman" w:hAnsi="Times New Roman" w:cs="Times New Roman"/>
          <w:sz w:val="24"/>
          <w:szCs w:val="24"/>
        </w:rPr>
        <w:t>of er nog een onderzoek van bijvoorbeeld de Algemene Rekenkamer wordt voorzien naar de doelmatigheid en doeltreffendheid van de schadeafhandeling en de versterkingsoperatie na afloop van al deze maatregelen.</w:t>
      </w:r>
    </w:p>
    <w:p w:rsidR="0095179A" w:rsidP="00150909" w:rsidRDefault="0095179A" w14:paraId="31F040BC" w14:textId="77777777">
      <w:pPr>
        <w:spacing w:after="0" w:line="276" w:lineRule="auto"/>
        <w:rPr>
          <w:rFonts w:ascii="Times New Roman" w:hAnsi="Times New Roman" w:cs="Times New Roman"/>
          <w:b/>
          <w:bCs/>
          <w:sz w:val="24"/>
          <w:szCs w:val="24"/>
        </w:rPr>
      </w:pPr>
    </w:p>
    <w:p w:rsidRPr="00150909" w:rsidR="00150909" w:rsidP="00150909" w:rsidRDefault="00150909" w14:paraId="53BB2773" w14:textId="42D64A61">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Juridische bijstand en deskundige ondersteuning</w:t>
      </w:r>
    </w:p>
    <w:p w:rsidRPr="00150909" w:rsidR="00150909" w:rsidP="00150909" w:rsidRDefault="0095179A" w14:paraId="63DE5DE7" w14:textId="466B0174">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lezen dat het wijzigingsbesluit de mogelijkheid verruimt voor bewoners om juridische bijstand en deskundige ondersteuning te krijgen in hun traject met het IMG</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of de Nationaal Coördinator Groningen (NCG). Niet alleen eigenaren, maar ook huurders en andere rechtmatige gebruikers kunnen in bepaalde gevallen aanspraak maken op juridische bijstand.</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Deze leden vragen hoe wordt gewaarborgd dat bewoners eenvoudig toegang krijgen tot juridische en bouwkundige ondersteuning wanneer zij een besluit willen aanvechten of laten toetsen.</w:t>
      </w:r>
      <w:r w:rsidR="007F1BC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Daarnaast vragen </w:t>
      </w:r>
      <w:r w:rsidR="007F1BCD">
        <w:rPr>
          <w:rFonts w:ascii="Times New Roman" w:hAnsi="Times New Roman" w:cs="Times New Roman"/>
          <w:sz w:val="24"/>
          <w:szCs w:val="24"/>
        </w:rPr>
        <w:t xml:space="preserve">zij </w:t>
      </w:r>
      <w:r w:rsidRPr="00150909" w:rsidR="00150909">
        <w:rPr>
          <w:rFonts w:ascii="Times New Roman" w:hAnsi="Times New Roman" w:cs="Times New Roman"/>
          <w:sz w:val="24"/>
          <w:szCs w:val="24"/>
        </w:rPr>
        <w:t xml:space="preserve">in hoeverre </w:t>
      </w:r>
      <w:r w:rsidR="007F1BCD">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verwacht dat bewoners daadwerkelijk gebruik zullen maken van deze regelingen. Zijn er inschattingen gemaakt van het aantal bewoners dat naar verwachting aanspraak zal maken op juridische bijstand of deskundige ondersteuning?</w:t>
      </w:r>
      <w:r w:rsidR="007F1BC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Voorts vragen </w:t>
      </w:r>
      <w:r w:rsidR="007F1BCD">
        <w:rPr>
          <w:rFonts w:ascii="Times New Roman" w:hAnsi="Times New Roman" w:cs="Times New Roman"/>
          <w:sz w:val="24"/>
          <w:szCs w:val="24"/>
        </w:rPr>
        <w:t xml:space="preserve">zij </w:t>
      </w:r>
      <w:r w:rsidRPr="00150909" w:rsidR="00150909">
        <w:rPr>
          <w:rFonts w:ascii="Times New Roman" w:hAnsi="Times New Roman" w:cs="Times New Roman"/>
          <w:sz w:val="24"/>
          <w:szCs w:val="24"/>
        </w:rPr>
        <w:t>hoe wordt voorkomen dat bewoners alsnog tegenover een overheid staan met aanzienlijk meer expertise en middelen wanneer zij hun rechten willen laten gelden.</w:t>
      </w:r>
      <w:r w:rsidR="007F1BC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Daarnaast vragen </w:t>
      </w:r>
      <w:r w:rsidR="007F1BCD">
        <w:rPr>
          <w:rFonts w:ascii="Times New Roman" w:hAnsi="Times New Roman" w:cs="Times New Roman"/>
          <w:sz w:val="24"/>
          <w:szCs w:val="24"/>
        </w:rPr>
        <w:t xml:space="preserve">zij </w:t>
      </w:r>
      <w:r w:rsidRPr="00150909" w:rsidR="00150909">
        <w:rPr>
          <w:rFonts w:ascii="Times New Roman" w:hAnsi="Times New Roman" w:cs="Times New Roman"/>
          <w:sz w:val="24"/>
          <w:szCs w:val="24"/>
        </w:rPr>
        <w:t>hoe wordt voorkomen dat de kring van gerechtigden voor dergelijke vergoedingen steeds verder wordt uitgebreid naar groepen die geen directe schade door gaswinning hebben geleden.</w:t>
      </w:r>
      <w:r w:rsidR="007F1BCD">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Tot slot vragen </w:t>
      </w:r>
      <w:r w:rsidR="007F1BCD">
        <w:rPr>
          <w:rFonts w:ascii="Times New Roman" w:hAnsi="Times New Roman" w:cs="Times New Roman"/>
          <w:sz w:val="24"/>
          <w:szCs w:val="24"/>
        </w:rPr>
        <w:t xml:space="preserve">zij </w:t>
      </w:r>
      <w:r w:rsidRPr="00150909" w:rsidR="00150909">
        <w:rPr>
          <w:rFonts w:ascii="Times New Roman" w:hAnsi="Times New Roman" w:cs="Times New Roman"/>
          <w:sz w:val="24"/>
          <w:szCs w:val="24"/>
        </w:rPr>
        <w:t xml:space="preserve">in hoeverre </w:t>
      </w:r>
      <w:r w:rsidR="00936639">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het logisch acht dat de overheid vergoedingen uitkeert aan huurders, terwijl in beginsel de verhuurder verantwoordelijk is voor onderhoud en herstel van de woning.</w:t>
      </w:r>
    </w:p>
    <w:p w:rsidR="007F1BCD" w:rsidP="00150909" w:rsidRDefault="007F1BCD" w14:paraId="5843285D" w14:textId="77777777">
      <w:pPr>
        <w:spacing w:after="0" w:line="276" w:lineRule="auto"/>
        <w:rPr>
          <w:rFonts w:ascii="Times New Roman" w:hAnsi="Times New Roman" w:cs="Times New Roman"/>
          <w:b/>
          <w:bCs/>
          <w:sz w:val="24"/>
          <w:szCs w:val="24"/>
        </w:rPr>
      </w:pPr>
    </w:p>
    <w:p w:rsidRPr="00150909" w:rsidR="00150909" w:rsidP="00150909" w:rsidRDefault="00150909" w14:paraId="64C550DD" w14:textId="5CB64A09">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Effectgebied en bewijsvermoeden</w:t>
      </w:r>
    </w:p>
    <w:p w:rsidRPr="00150909" w:rsidR="00150909" w:rsidP="00150909" w:rsidRDefault="007F1BCD" w14:paraId="259C6AFD" w14:textId="06029148">
      <w:pPr>
        <w:spacing w:after="0" w:line="276" w:lineRule="auto"/>
        <w:rPr>
          <w:rFonts w:ascii="Times New Roman" w:hAnsi="Times New Roman" w:cs="Times New Roman"/>
          <w:sz w:val="24"/>
          <w:szCs w:val="24"/>
        </w:rPr>
      </w:pPr>
      <w:r w:rsidRPr="00281FAB">
        <w:rPr>
          <w:rFonts w:ascii="Times New Roman" w:hAnsi="Times New Roman" w:cs="Times New Roman"/>
          <w:sz w:val="24"/>
          <w:szCs w:val="24"/>
        </w:rPr>
        <w:t xml:space="preserve">De leden van de </w:t>
      </w:r>
      <w:r>
        <w:rPr>
          <w:rFonts w:ascii="Times New Roman" w:hAnsi="Times New Roman" w:cs="Times New Roman"/>
          <w:sz w:val="24"/>
          <w:szCs w:val="24"/>
        </w:rPr>
        <w:t>JA21</w:t>
      </w:r>
      <w:r w:rsidRPr="00281FAB">
        <w:rPr>
          <w:rFonts w:ascii="Times New Roman" w:hAnsi="Times New Roman" w:cs="Times New Roman"/>
          <w:sz w:val="24"/>
          <w:szCs w:val="24"/>
        </w:rPr>
        <w:t xml:space="preserve">-fractie </w:t>
      </w:r>
      <w:r w:rsidRPr="00150909" w:rsidR="00150909">
        <w:rPr>
          <w:rFonts w:ascii="Times New Roman" w:hAnsi="Times New Roman" w:cs="Times New Roman"/>
          <w:sz w:val="24"/>
          <w:szCs w:val="24"/>
        </w:rPr>
        <w:t xml:space="preserve">lezen dat in het besluit een gedetailleerde kaart van het effectgebied wordt vastgelegd waar het wettelijke bewijsvermoeden geldt. Deze kaart moet </w:t>
      </w:r>
      <w:r w:rsidRPr="00150909" w:rsidR="00E85A77">
        <w:rPr>
          <w:rFonts w:ascii="Times New Roman" w:hAnsi="Times New Roman" w:cs="Times New Roman"/>
          <w:sz w:val="24"/>
          <w:szCs w:val="24"/>
        </w:rPr>
        <w:t xml:space="preserve">voor bewoners </w:t>
      </w:r>
      <w:r w:rsidRPr="00150909" w:rsidR="00150909">
        <w:rPr>
          <w:rFonts w:ascii="Times New Roman" w:hAnsi="Times New Roman" w:cs="Times New Roman"/>
          <w:sz w:val="24"/>
          <w:szCs w:val="24"/>
        </w:rPr>
        <w:t xml:space="preserve">duidelijkheid bieden </w:t>
      </w:r>
      <w:r w:rsidR="00E85A77">
        <w:rPr>
          <w:rFonts w:ascii="Times New Roman" w:hAnsi="Times New Roman" w:cs="Times New Roman"/>
          <w:sz w:val="24"/>
          <w:szCs w:val="24"/>
        </w:rPr>
        <w:t>op</w:t>
      </w:r>
      <w:r w:rsidRPr="00150909" w:rsidR="00150909">
        <w:rPr>
          <w:rFonts w:ascii="Times New Roman" w:hAnsi="Times New Roman" w:cs="Times New Roman"/>
          <w:sz w:val="24"/>
          <w:szCs w:val="24"/>
        </w:rPr>
        <w:t xml:space="preserve"> de vraag of schade vermoed wordt te zijn veroorzaakt door gaswinning.</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Tegelijkertijd wordt aangegeven dat het effectgebied in de toekomst kan worden uitgebreid wanneer nieuwe inzichten over schade door bodemdaling of aardbevingen daartoe aanleiding geven.</w:t>
      </w:r>
      <w:r>
        <w:rPr>
          <w:rFonts w:ascii="Times New Roman" w:hAnsi="Times New Roman" w:cs="Times New Roman"/>
          <w:sz w:val="24"/>
          <w:szCs w:val="24"/>
        </w:rPr>
        <w:t xml:space="preserve"> </w:t>
      </w:r>
      <w:r w:rsidRPr="00150909" w:rsidR="00150909">
        <w:rPr>
          <w:rFonts w:ascii="Times New Roman" w:hAnsi="Times New Roman" w:cs="Times New Roman"/>
          <w:sz w:val="24"/>
          <w:szCs w:val="24"/>
        </w:rPr>
        <w:t xml:space="preserve">Deze leden vragen of </w:t>
      </w:r>
      <w:r>
        <w:rPr>
          <w:rFonts w:ascii="Times New Roman" w:hAnsi="Times New Roman" w:cs="Times New Roman"/>
          <w:sz w:val="24"/>
          <w:szCs w:val="24"/>
        </w:rPr>
        <w:t xml:space="preserve">de minister </w:t>
      </w:r>
      <w:r w:rsidRPr="00150909" w:rsidR="00150909">
        <w:rPr>
          <w:rFonts w:ascii="Times New Roman" w:hAnsi="Times New Roman" w:cs="Times New Roman"/>
          <w:sz w:val="24"/>
          <w:szCs w:val="24"/>
        </w:rPr>
        <w:t>bereid is het effectgebied periodiek te herzien op basis van nieuwe wetenschappelijke inzichten, bijvoorbeeld wanneer nieuwe kennis ontstaat over effecten van bodemdaling of andere geologische ontwikkelingen.</w:t>
      </w:r>
    </w:p>
    <w:p w:rsidR="007F1BCD" w:rsidP="00150909" w:rsidRDefault="007F1BCD" w14:paraId="6991DD3F" w14:textId="77777777">
      <w:pPr>
        <w:spacing w:after="0" w:line="276" w:lineRule="auto"/>
        <w:rPr>
          <w:rFonts w:ascii="Times New Roman" w:hAnsi="Times New Roman" w:cs="Times New Roman"/>
          <w:b/>
          <w:bCs/>
          <w:sz w:val="24"/>
          <w:szCs w:val="24"/>
        </w:rPr>
      </w:pPr>
    </w:p>
    <w:p w:rsidRPr="00150909" w:rsidR="00150909" w:rsidP="00150909" w:rsidRDefault="00150909" w14:paraId="7CC126E0" w14:textId="7C913457">
      <w:pPr>
        <w:spacing w:after="0" w:line="276" w:lineRule="auto"/>
        <w:rPr>
          <w:rFonts w:ascii="Times New Roman" w:hAnsi="Times New Roman" w:cs="Times New Roman"/>
          <w:i/>
          <w:iCs/>
          <w:sz w:val="24"/>
          <w:szCs w:val="24"/>
        </w:rPr>
      </w:pPr>
      <w:r w:rsidRPr="00150909">
        <w:rPr>
          <w:rFonts w:ascii="Times New Roman" w:hAnsi="Times New Roman" w:cs="Times New Roman"/>
          <w:i/>
          <w:iCs/>
          <w:sz w:val="24"/>
          <w:szCs w:val="24"/>
        </w:rPr>
        <w:t>Toekomstige energievoorziening</w:t>
      </w:r>
    </w:p>
    <w:p w:rsidRPr="00150909" w:rsidR="00150909" w:rsidP="00150909" w:rsidRDefault="00150909" w14:paraId="18FD5DB5" w14:textId="21192F9E">
      <w:pPr>
        <w:spacing w:after="0" w:line="276" w:lineRule="auto"/>
        <w:rPr>
          <w:rFonts w:ascii="Times New Roman" w:hAnsi="Times New Roman" w:cs="Times New Roman"/>
          <w:sz w:val="24"/>
          <w:szCs w:val="24"/>
        </w:rPr>
      </w:pPr>
      <w:r w:rsidRPr="00150909">
        <w:rPr>
          <w:rFonts w:ascii="Times New Roman" w:hAnsi="Times New Roman" w:cs="Times New Roman"/>
          <w:sz w:val="24"/>
          <w:szCs w:val="24"/>
        </w:rPr>
        <w:t xml:space="preserve">Hoewel dit wijzigingsbesluit zich primair richt op schadeherstel en versterking, constateren de </w:t>
      </w:r>
      <w:r w:rsidRPr="00281FAB" w:rsidR="007F1BCD">
        <w:rPr>
          <w:rFonts w:ascii="Times New Roman" w:hAnsi="Times New Roman" w:cs="Times New Roman"/>
          <w:sz w:val="24"/>
          <w:szCs w:val="24"/>
        </w:rPr>
        <w:t xml:space="preserve">leden van de </w:t>
      </w:r>
      <w:r w:rsidR="007F1BCD">
        <w:rPr>
          <w:rFonts w:ascii="Times New Roman" w:hAnsi="Times New Roman" w:cs="Times New Roman"/>
          <w:sz w:val="24"/>
          <w:szCs w:val="24"/>
        </w:rPr>
        <w:t>JA21</w:t>
      </w:r>
      <w:r w:rsidRPr="00281FAB" w:rsidR="007F1BCD">
        <w:rPr>
          <w:rFonts w:ascii="Times New Roman" w:hAnsi="Times New Roman" w:cs="Times New Roman"/>
          <w:sz w:val="24"/>
          <w:szCs w:val="24"/>
        </w:rPr>
        <w:t xml:space="preserve">-fractie </w:t>
      </w:r>
      <w:r w:rsidRPr="00150909">
        <w:rPr>
          <w:rFonts w:ascii="Times New Roman" w:hAnsi="Times New Roman" w:cs="Times New Roman"/>
          <w:sz w:val="24"/>
          <w:szCs w:val="24"/>
        </w:rPr>
        <w:t>dat het Groningendossier ook raakt aan de bredere discussie over de toekomstige energievoorziening van Nederland. Nederland heeft jarenlang geprofiteerd van het Groningse gas, terwijl bewoners van het gebied de negatieve gevolgen hebben ervaren.</w:t>
      </w:r>
    </w:p>
    <w:p w:rsidRPr="00150909" w:rsidR="00150909" w:rsidP="00150909" w:rsidRDefault="00150909" w14:paraId="4B00A5D2" w14:textId="6CD22AFA">
      <w:pPr>
        <w:spacing w:after="0" w:line="276" w:lineRule="auto"/>
        <w:rPr>
          <w:rFonts w:ascii="Times New Roman" w:hAnsi="Times New Roman" w:cs="Times New Roman"/>
          <w:sz w:val="24"/>
          <w:szCs w:val="24"/>
        </w:rPr>
      </w:pPr>
      <w:r w:rsidRPr="00150909">
        <w:rPr>
          <w:rFonts w:ascii="Times New Roman" w:hAnsi="Times New Roman" w:cs="Times New Roman"/>
          <w:sz w:val="24"/>
          <w:szCs w:val="24"/>
        </w:rPr>
        <w:t xml:space="preserve">Tegen deze achtergrond vragen deze leden onder welke omstandigheden </w:t>
      </w:r>
      <w:r w:rsidR="007F1BCD">
        <w:rPr>
          <w:rFonts w:ascii="Times New Roman" w:hAnsi="Times New Roman" w:cs="Times New Roman"/>
          <w:sz w:val="24"/>
          <w:szCs w:val="24"/>
        </w:rPr>
        <w:t xml:space="preserve">de minister </w:t>
      </w:r>
      <w:r w:rsidRPr="00150909">
        <w:rPr>
          <w:rFonts w:ascii="Times New Roman" w:hAnsi="Times New Roman" w:cs="Times New Roman"/>
          <w:sz w:val="24"/>
          <w:szCs w:val="24"/>
        </w:rPr>
        <w:t>het in de toekomst eventueel verantwoord zou achten om opnieuw gaswinning in Groningen te overwegen.</w:t>
      </w:r>
    </w:p>
    <w:p w:rsidR="00ED796F" w:rsidP="00ED796F" w:rsidRDefault="00ED796F" w14:paraId="5AFAFCF6" w14:textId="77777777">
      <w:pPr>
        <w:spacing w:after="0" w:line="276" w:lineRule="auto"/>
        <w:rPr>
          <w:rFonts w:ascii="Times New Roman" w:hAnsi="Times New Roman" w:cs="Times New Roman"/>
          <w:sz w:val="24"/>
          <w:szCs w:val="24"/>
        </w:rPr>
      </w:pPr>
    </w:p>
    <w:p w:rsidR="00ED796F" w:rsidP="00ED796F" w:rsidRDefault="00ED796F" w14:paraId="20274EDD" w14:textId="66D9EC13">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lastRenderedPageBreak/>
        <w:t xml:space="preserve">Vragen en opmerkingen van de leden van de </w:t>
      </w:r>
      <w:r>
        <w:rPr>
          <w:rFonts w:ascii="Times New Roman" w:hAnsi="Times New Roman" w:cs="Times New Roman"/>
          <w:b/>
          <w:bCs/>
          <w:sz w:val="24"/>
          <w:szCs w:val="24"/>
        </w:rPr>
        <w:t>SP</w:t>
      </w:r>
      <w:r w:rsidRPr="00AD25BC">
        <w:rPr>
          <w:rFonts w:ascii="Times New Roman" w:hAnsi="Times New Roman" w:cs="Times New Roman"/>
          <w:b/>
          <w:bCs/>
          <w:sz w:val="24"/>
          <w:szCs w:val="24"/>
        </w:rPr>
        <w:t>-fractie</w:t>
      </w:r>
    </w:p>
    <w:p w:rsidRPr="00ED796F" w:rsidR="00ED796F" w:rsidP="00ED796F" w:rsidRDefault="00ED796F" w14:paraId="4B559AE7" w14:textId="77777777">
      <w:pPr>
        <w:spacing w:after="0" w:line="276" w:lineRule="auto"/>
        <w:rPr>
          <w:rFonts w:ascii="Times New Roman" w:hAnsi="Times New Roman" w:cs="Times New Roman"/>
          <w:b/>
          <w:bCs/>
          <w:sz w:val="24"/>
          <w:szCs w:val="24"/>
        </w:rPr>
      </w:pPr>
    </w:p>
    <w:p w:rsidRPr="00ED796F" w:rsidR="00ED796F" w:rsidP="00ED796F" w:rsidRDefault="00ED796F" w14:paraId="17D8C0D3" w14:textId="77777777">
      <w:pPr>
        <w:spacing w:after="0" w:line="276" w:lineRule="auto"/>
        <w:rPr>
          <w:rFonts w:ascii="Times New Roman" w:hAnsi="Times New Roman" w:cs="Times New Roman"/>
          <w:i/>
          <w:iCs/>
          <w:sz w:val="24"/>
          <w:szCs w:val="24"/>
        </w:rPr>
      </w:pPr>
      <w:r w:rsidRPr="00ED796F">
        <w:rPr>
          <w:rFonts w:ascii="Times New Roman" w:hAnsi="Times New Roman" w:cs="Times New Roman"/>
          <w:i/>
          <w:iCs/>
          <w:sz w:val="24"/>
          <w:szCs w:val="24"/>
        </w:rPr>
        <w:t>Algemeen</w:t>
      </w:r>
    </w:p>
    <w:p w:rsidRPr="00ED796F" w:rsidR="00ED796F" w:rsidP="00ED796F" w:rsidRDefault="00ED796F" w14:paraId="716A1A4B" w14:textId="77777777">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De leden van de SP-fractie hebben kennisgenomen van het ontwerpbesluit tot wijziging van het Besluit Tijdelijke wet Groningen en het Mijnbouwbesluit. Deze leden hebben hierover nog diverse vragen en opmerkingen.</w:t>
      </w:r>
    </w:p>
    <w:p w:rsidR="00E0022B" w:rsidP="00ED796F" w:rsidRDefault="00E0022B" w14:paraId="7DCED57F" w14:textId="77777777">
      <w:pPr>
        <w:spacing w:after="0" w:line="276" w:lineRule="auto"/>
        <w:rPr>
          <w:rFonts w:ascii="Times New Roman" w:hAnsi="Times New Roman" w:cs="Times New Roman"/>
          <w:sz w:val="24"/>
          <w:szCs w:val="24"/>
        </w:rPr>
      </w:pPr>
    </w:p>
    <w:p w:rsidRPr="00ED796F" w:rsidR="00ED796F" w:rsidP="00ED796F" w:rsidRDefault="00ED796F" w14:paraId="0E7F9F91" w14:textId="5CEFFD21">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Allereerst willen de leden van de SP-fractie benadrukken dat de parlementaire enquêtecommissie aardgaswinning Groningen heeft vastgesteld dat Groningers decennialang onvoldoende zijn beschermd door de overheid. Juist daarom moet bij elke wijziging van regelgeving het uitgangspunt zijn dat recht wordt gedaan aan de inwoners van Groningen en dat ruimhartigheid voorop staat.</w:t>
      </w:r>
    </w:p>
    <w:p w:rsidR="00E85210" w:rsidP="00ED796F" w:rsidRDefault="00E85210" w14:paraId="1EDE03D7" w14:textId="77777777">
      <w:pPr>
        <w:spacing w:after="0" w:line="276" w:lineRule="auto"/>
        <w:rPr>
          <w:rFonts w:ascii="Times New Roman" w:hAnsi="Times New Roman" w:cs="Times New Roman"/>
          <w:sz w:val="24"/>
          <w:szCs w:val="24"/>
        </w:rPr>
      </w:pPr>
    </w:p>
    <w:p w:rsidRPr="00ED796F" w:rsidR="00ED796F" w:rsidP="00ED796F" w:rsidRDefault="00ED796F" w14:paraId="51193BF1" w14:textId="262937A8">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 xml:space="preserve">De leden van de SP-fractie vragen waarom is gekozen voor een wijziging via een algemene maatregel van bestuur en een novelle, terwijl de </w:t>
      </w:r>
      <w:r w:rsidRPr="005039AB" w:rsidR="005039AB">
        <w:rPr>
          <w:rFonts w:ascii="Times New Roman" w:hAnsi="Times New Roman" w:cs="Times New Roman"/>
          <w:sz w:val="24"/>
          <w:szCs w:val="24"/>
        </w:rPr>
        <w:t xml:space="preserve">Wijziging van de Tijdelijke wet Groningen en de Mijnbouwwet </w:t>
      </w:r>
      <w:r w:rsidRPr="00ED796F">
        <w:rPr>
          <w:rFonts w:ascii="Times New Roman" w:hAnsi="Times New Roman" w:cs="Times New Roman"/>
          <w:sz w:val="24"/>
          <w:szCs w:val="24"/>
        </w:rPr>
        <w:t xml:space="preserve">op dit moment nog door de Tweede Kamer wordt behandeld. Waarom is er niet voor gekozen om deze wijzigingen via een nota van wijziging op de wet aan de Kamer voor te leggen, zodat de Kamer deze wijzigingen direct kan meewegen in de behandeling van het wetsvoorstel? Kan </w:t>
      </w:r>
      <w:r w:rsidR="005039AB">
        <w:rPr>
          <w:rFonts w:ascii="Times New Roman" w:hAnsi="Times New Roman" w:cs="Times New Roman"/>
          <w:sz w:val="24"/>
          <w:szCs w:val="24"/>
        </w:rPr>
        <w:t xml:space="preserve">de minister </w:t>
      </w:r>
      <w:r w:rsidRPr="00ED796F">
        <w:rPr>
          <w:rFonts w:ascii="Times New Roman" w:hAnsi="Times New Roman" w:cs="Times New Roman"/>
          <w:sz w:val="24"/>
          <w:szCs w:val="24"/>
        </w:rPr>
        <w:t>toelichten waarom voor deze route is gekozen en welke gevolgen dit heeft voor de parlementaire controle?</w:t>
      </w:r>
    </w:p>
    <w:p w:rsidR="005039AB" w:rsidP="00ED796F" w:rsidRDefault="005039AB" w14:paraId="09835D91" w14:textId="77777777">
      <w:pPr>
        <w:spacing w:after="0" w:line="276" w:lineRule="auto"/>
        <w:rPr>
          <w:rFonts w:ascii="Times New Roman" w:hAnsi="Times New Roman" w:cs="Times New Roman"/>
          <w:sz w:val="24"/>
          <w:szCs w:val="24"/>
        </w:rPr>
      </w:pPr>
    </w:p>
    <w:p w:rsidRPr="00ED796F" w:rsidR="00ED796F" w:rsidP="00ED796F" w:rsidRDefault="00ED796F" w14:paraId="501D6437" w14:textId="6EE11B0F">
      <w:pPr>
        <w:spacing w:after="0" w:line="276" w:lineRule="auto"/>
        <w:rPr>
          <w:rFonts w:ascii="Times New Roman" w:hAnsi="Times New Roman" w:cs="Times New Roman"/>
          <w:i/>
          <w:iCs/>
          <w:sz w:val="24"/>
          <w:szCs w:val="24"/>
        </w:rPr>
      </w:pPr>
      <w:r w:rsidRPr="00ED796F">
        <w:rPr>
          <w:rFonts w:ascii="Times New Roman" w:hAnsi="Times New Roman" w:cs="Times New Roman"/>
          <w:i/>
          <w:iCs/>
          <w:sz w:val="24"/>
          <w:szCs w:val="24"/>
        </w:rPr>
        <w:t>Maximumbedrag</w:t>
      </w:r>
    </w:p>
    <w:p w:rsidRPr="00ED796F" w:rsidR="00ED796F" w:rsidP="00ED796F" w:rsidRDefault="00ED796F" w14:paraId="129A7FC1" w14:textId="6AA223F7">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De leden van de SP-fractie lezen dat in het ontwerpbesluit een maximumbedrag van</w:t>
      </w:r>
      <w:r w:rsidR="005039AB">
        <w:rPr>
          <w:rFonts w:ascii="Times New Roman" w:hAnsi="Times New Roman" w:cs="Times New Roman"/>
          <w:sz w:val="24"/>
          <w:szCs w:val="24"/>
        </w:rPr>
        <w:t xml:space="preserve"> </w:t>
      </w:r>
      <w:r w:rsidRPr="00ED796F">
        <w:rPr>
          <w:rFonts w:ascii="Times New Roman" w:hAnsi="Times New Roman" w:cs="Times New Roman"/>
          <w:sz w:val="24"/>
          <w:szCs w:val="24"/>
        </w:rPr>
        <w:t xml:space="preserve">60.000 </w:t>
      </w:r>
      <w:r w:rsidR="005039AB">
        <w:rPr>
          <w:rFonts w:ascii="Times New Roman" w:hAnsi="Times New Roman" w:cs="Times New Roman"/>
          <w:sz w:val="24"/>
          <w:szCs w:val="24"/>
        </w:rPr>
        <w:t xml:space="preserve">euro </w:t>
      </w:r>
      <w:r w:rsidRPr="00ED796F">
        <w:rPr>
          <w:rFonts w:ascii="Times New Roman" w:hAnsi="Times New Roman" w:cs="Times New Roman"/>
          <w:sz w:val="24"/>
          <w:szCs w:val="24"/>
        </w:rPr>
        <w:t xml:space="preserve">wordt vastgesteld voor een bepaalde tegemoetkoming. Deze leden vragen de </w:t>
      </w:r>
      <w:r w:rsidR="005039AB">
        <w:rPr>
          <w:rFonts w:ascii="Times New Roman" w:hAnsi="Times New Roman" w:cs="Times New Roman"/>
          <w:sz w:val="24"/>
          <w:szCs w:val="24"/>
        </w:rPr>
        <w:t>minister</w:t>
      </w:r>
      <w:r w:rsidRPr="00ED796F">
        <w:rPr>
          <w:rFonts w:ascii="Times New Roman" w:hAnsi="Times New Roman" w:cs="Times New Roman"/>
          <w:sz w:val="24"/>
          <w:szCs w:val="24"/>
        </w:rPr>
        <w:t xml:space="preserve"> waarop dit bedrag precies is gebaseerd. Welke berekeningen, onderzoeken of beleidsafwegingen liggen ten grondslag aan deze grens? Daarnaast vragen </w:t>
      </w:r>
      <w:r w:rsidR="005039AB">
        <w:rPr>
          <w:rFonts w:ascii="Times New Roman" w:hAnsi="Times New Roman" w:cs="Times New Roman"/>
          <w:sz w:val="24"/>
          <w:szCs w:val="24"/>
        </w:rPr>
        <w:t xml:space="preserve">zij </w:t>
      </w:r>
      <w:r w:rsidRPr="00ED796F">
        <w:rPr>
          <w:rFonts w:ascii="Times New Roman" w:hAnsi="Times New Roman" w:cs="Times New Roman"/>
          <w:sz w:val="24"/>
          <w:szCs w:val="24"/>
        </w:rPr>
        <w:t xml:space="preserve">waarom ervoor is gekozen om een harde bovengrens te stellen. </w:t>
      </w:r>
      <w:r w:rsidR="005039AB">
        <w:rPr>
          <w:rFonts w:ascii="Times New Roman" w:hAnsi="Times New Roman" w:cs="Times New Roman"/>
          <w:sz w:val="24"/>
          <w:szCs w:val="24"/>
        </w:rPr>
        <w:t xml:space="preserve">Deelt de minister de mening </w:t>
      </w:r>
      <w:r w:rsidRPr="00ED796F">
        <w:rPr>
          <w:rFonts w:ascii="Times New Roman" w:hAnsi="Times New Roman" w:cs="Times New Roman"/>
          <w:sz w:val="24"/>
          <w:szCs w:val="24"/>
        </w:rPr>
        <w:t>dat een dergelijk plafond het risico met zich meebrengt dat inwoners met aantoonbaar hogere schade of kosten niet volledig worden gecompenseerd? Op welke manier wordt voorkomen dat Groningers opnieuw geconfronteerd worden met een systeem dat eerder uitgaat van budgettaire grenzen dan van daadwerkelijk herstel van recht?</w:t>
      </w:r>
    </w:p>
    <w:p w:rsidR="005039AB" w:rsidP="00ED796F" w:rsidRDefault="005039AB" w14:paraId="714BA781" w14:textId="77777777">
      <w:pPr>
        <w:spacing w:after="0" w:line="276" w:lineRule="auto"/>
        <w:rPr>
          <w:rFonts w:ascii="Times New Roman" w:hAnsi="Times New Roman" w:cs="Times New Roman"/>
          <w:sz w:val="24"/>
          <w:szCs w:val="24"/>
        </w:rPr>
      </w:pPr>
    </w:p>
    <w:p w:rsidRPr="00ED796F" w:rsidR="00ED796F" w:rsidP="00ED796F" w:rsidRDefault="00ED796F" w14:paraId="138545AD" w14:textId="7E877330">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 xml:space="preserve">De leden van de SP-fractie vragen de </w:t>
      </w:r>
      <w:r w:rsidR="005039AB">
        <w:rPr>
          <w:rFonts w:ascii="Times New Roman" w:hAnsi="Times New Roman" w:cs="Times New Roman"/>
          <w:sz w:val="24"/>
          <w:szCs w:val="24"/>
        </w:rPr>
        <w:t>minister</w:t>
      </w:r>
      <w:r w:rsidRPr="00ED796F">
        <w:rPr>
          <w:rFonts w:ascii="Times New Roman" w:hAnsi="Times New Roman" w:cs="Times New Roman"/>
          <w:sz w:val="24"/>
          <w:szCs w:val="24"/>
        </w:rPr>
        <w:t xml:space="preserve"> daarom nadrukkelijk of het mogelijk is deze bovengrens los te laten. Zou het niet passender zijn, mede in het licht van de conclusies van de parlementaire enquêtecommissie, om uit te gaan van volledige compensatie van aantoonbare schade en kosten, zonder vooraf vastgestelde maxima? Kan de </w:t>
      </w:r>
      <w:r w:rsidR="005039AB">
        <w:rPr>
          <w:rFonts w:ascii="Times New Roman" w:hAnsi="Times New Roman" w:cs="Times New Roman"/>
          <w:sz w:val="24"/>
          <w:szCs w:val="24"/>
        </w:rPr>
        <w:t>minister</w:t>
      </w:r>
      <w:r w:rsidRPr="00ED796F">
        <w:rPr>
          <w:rFonts w:ascii="Times New Roman" w:hAnsi="Times New Roman" w:cs="Times New Roman"/>
          <w:sz w:val="24"/>
          <w:szCs w:val="24"/>
        </w:rPr>
        <w:t xml:space="preserve"> hier uitgebreid op reflecteren?</w:t>
      </w:r>
      <w:r w:rsidR="00EC1A06">
        <w:rPr>
          <w:rFonts w:ascii="Times New Roman" w:hAnsi="Times New Roman" w:cs="Times New Roman"/>
          <w:sz w:val="24"/>
          <w:szCs w:val="24"/>
        </w:rPr>
        <w:t xml:space="preserve"> </w:t>
      </w:r>
      <w:r w:rsidRPr="00ED796F">
        <w:rPr>
          <w:rFonts w:ascii="Times New Roman" w:hAnsi="Times New Roman" w:cs="Times New Roman"/>
          <w:sz w:val="24"/>
          <w:szCs w:val="24"/>
        </w:rPr>
        <w:t xml:space="preserve">Verder lezen deze leden dat gedupeerden binnen deze regeling twee opties hebben: uitvoering via een aannemer van het IMG of via een zelf gekozen aannemer. </w:t>
      </w:r>
      <w:r w:rsidR="00EC1A06">
        <w:rPr>
          <w:rFonts w:ascii="Times New Roman" w:hAnsi="Times New Roman" w:cs="Times New Roman"/>
          <w:sz w:val="24"/>
          <w:szCs w:val="24"/>
        </w:rPr>
        <w:t xml:space="preserve">Zij </w:t>
      </w:r>
      <w:r w:rsidRPr="00ED796F">
        <w:rPr>
          <w:rFonts w:ascii="Times New Roman" w:hAnsi="Times New Roman" w:cs="Times New Roman"/>
          <w:sz w:val="24"/>
          <w:szCs w:val="24"/>
        </w:rPr>
        <w:t xml:space="preserve">vragen hoe wordt voorkomen dat bewoners die kiezen voor een eigen aannemer alsnog geld tekortkomen. Welke garanties zijn er dat de vergoeding daadwerkelijk voldoende is om het werk uit te voeren? Ook vragen </w:t>
      </w:r>
      <w:r w:rsidR="00EC1A06">
        <w:rPr>
          <w:rFonts w:ascii="Times New Roman" w:hAnsi="Times New Roman" w:cs="Times New Roman"/>
          <w:sz w:val="24"/>
          <w:szCs w:val="24"/>
        </w:rPr>
        <w:t xml:space="preserve">zij </w:t>
      </w:r>
      <w:r w:rsidRPr="00ED796F">
        <w:rPr>
          <w:rFonts w:ascii="Times New Roman" w:hAnsi="Times New Roman" w:cs="Times New Roman"/>
          <w:sz w:val="24"/>
          <w:szCs w:val="24"/>
        </w:rPr>
        <w:t xml:space="preserve">naar de catalogus die hiervoor is opgesteld. Is deze catalogus niet te knellend in de praktijk? Op welke wijze is vastgesteld dat de bedragen in deze catalogus realistisch zijn in relatie tot de huidige bouwkosten? Worden de bedragen in de </w:t>
      </w:r>
      <w:r w:rsidRPr="00ED796F">
        <w:rPr>
          <w:rFonts w:ascii="Times New Roman" w:hAnsi="Times New Roman" w:cs="Times New Roman"/>
          <w:sz w:val="24"/>
          <w:szCs w:val="24"/>
        </w:rPr>
        <w:lastRenderedPageBreak/>
        <w:t>catalogus onafhankelijk getoetst? Zo ja, door wie en hoe vaak? Worden deze bedragen periodiek aangepast aan prijsontwikkelingen in de bouwsector?</w:t>
      </w:r>
    </w:p>
    <w:p w:rsidR="0009286D" w:rsidP="00ED796F" w:rsidRDefault="0009286D" w14:paraId="220196D1" w14:textId="77777777">
      <w:pPr>
        <w:spacing w:after="0" w:line="276" w:lineRule="auto"/>
        <w:rPr>
          <w:rFonts w:ascii="Times New Roman" w:hAnsi="Times New Roman" w:cs="Times New Roman"/>
          <w:sz w:val="24"/>
          <w:szCs w:val="24"/>
        </w:rPr>
      </w:pPr>
    </w:p>
    <w:p w:rsidRPr="00ED796F" w:rsidR="00ED796F" w:rsidP="00ED796F" w:rsidRDefault="00ED796F" w14:paraId="7ACEBCA2" w14:textId="445E618A">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De leden van de SP-fractie vragen daarnaast of er indexatie plaatsvindt op zowel de bedragen in de catalogus als op het maximale bedrag van 60.000</w:t>
      </w:r>
      <w:r w:rsidR="0009286D">
        <w:rPr>
          <w:rFonts w:ascii="Times New Roman" w:hAnsi="Times New Roman" w:cs="Times New Roman"/>
          <w:sz w:val="24"/>
          <w:szCs w:val="24"/>
        </w:rPr>
        <w:t xml:space="preserve"> euro</w:t>
      </w:r>
      <w:r w:rsidRPr="00ED796F">
        <w:rPr>
          <w:rFonts w:ascii="Times New Roman" w:hAnsi="Times New Roman" w:cs="Times New Roman"/>
          <w:sz w:val="24"/>
          <w:szCs w:val="24"/>
        </w:rPr>
        <w:t>. Zo ja, op welke wijze gebeurt deze indexatie en hoe vaak wordt deze herzien? Daarnaast vragen deze leden waar bewoners terecht kunnen wanneer in de praktijk blijkt dat het bedrag niet toereikend is. Is er een mogelijkheid tot aanvullende vergoeding of maatwerk? Zo ja, hoe wordt dit georganiseerd?</w:t>
      </w:r>
    </w:p>
    <w:p w:rsidR="0009286D" w:rsidP="00ED796F" w:rsidRDefault="0009286D" w14:paraId="292D2CA2" w14:textId="77777777">
      <w:pPr>
        <w:spacing w:after="0" w:line="276" w:lineRule="auto"/>
        <w:rPr>
          <w:rFonts w:ascii="Times New Roman" w:hAnsi="Times New Roman" w:cs="Times New Roman"/>
          <w:sz w:val="24"/>
          <w:szCs w:val="24"/>
        </w:rPr>
      </w:pPr>
    </w:p>
    <w:p w:rsidRPr="00ED796F" w:rsidR="00ED796F" w:rsidP="00ED796F" w:rsidRDefault="00ED796F" w14:paraId="68279B4B" w14:textId="2DBCE6D2">
      <w:pPr>
        <w:spacing w:after="0" w:line="276" w:lineRule="auto"/>
        <w:rPr>
          <w:rFonts w:ascii="Times New Roman" w:hAnsi="Times New Roman" w:cs="Times New Roman"/>
          <w:i/>
          <w:iCs/>
          <w:sz w:val="24"/>
          <w:szCs w:val="24"/>
        </w:rPr>
      </w:pPr>
      <w:r w:rsidRPr="00ED796F">
        <w:rPr>
          <w:rFonts w:ascii="Times New Roman" w:hAnsi="Times New Roman" w:cs="Times New Roman"/>
          <w:i/>
          <w:iCs/>
          <w:sz w:val="24"/>
          <w:szCs w:val="24"/>
        </w:rPr>
        <w:t>Zandplatenbuurt</w:t>
      </w:r>
      <w:r w:rsidR="007B7635">
        <w:rPr>
          <w:rFonts w:ascii="Times New Roman" w:hAnsi="Times New Roman" w:cs="Times New Roman"/>
          <w:i/>
          <w:iCs/>
          <w:sz w:val="24"/>
          <w:szCs w:val="24"/>
        </w:rPr>
        <w:t>-</w:t>
      </w:r>
      <w:r w:rsidRPr="00ED796F">
        <w:rPr>
          <w:rFonts w:ascii="Times New Roman" w:hAnsi="Times New Roman" w:cs="Times New Roman"/>
          <w:i/>
          <w:iCs/>
          <w:sz w:val="24"/>
          <w:szCs w:val="24"/>
        </w:rPr>
        <w:t>Zuid</w:t>
      </w:r>
    </w:p>
    <w:p w:rsidRPr="00ED796F" w:rsidR="00ED796F" w:rsidP="00ED796F" w:rsidRDefault="00ED796F" w14:paraId="342EB8B6" w14:textId="0581FA2B">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De leden van de SP-fractie hebben tevens vragen over de aanpak in de Zandplatenbuurt</w:t>
      </w:r>
      <w:r w:rsidR="007B7635">
        <w:rPr>
          <w:rFonts w:ascii="Times New Roman" w:hAnsi="Times New Roman" w:cs="Times New Roman"/>
          <w:sz w:val="24"/>
          <w:szCs w:val="24"/>
        </w:rPr>
        <w:t>-</w:t>
      </w:r>
      <w:r w:rsidRPr="00ED796F">
        <w:rPr>
          <w:rFonts w:ascii="Times New Roman" w:hAnsi="Times New Roman" w:cs="Times New Roman"/>
          <w:sz w:val="24"/>
          <w:szCs w:val="24"/>
        </w:rPr>
        <w:t xml:space="preserve">Zuid. Deze leden vragen hoe de lessen uit batch 1588, waarbij de gemeente een belangrijke rol had in de uitvoering, zijn meegenomen in de opzet van deze regeling. Kan de </w:t>
      </w:r>
      <w:r w:rsidR="0009286D">
        <w:rPr>
          <w:rFonts w:ascii="Times New Roman" w:hAnsi="Times New Roman" w:cs="Times New Roman"/>
          <w:sz w:val="24"/>
          <w:szCs w:val="24"/>
        </w:rPr>
        <w:t>minister</w:t>
      </w:r>
      <w:r w:rsidRPr="00ED796F">
        <w:rPr>
          <w:rFonts w:ascii="Times New Roman" w:hAnsi="Times New Roman" w:cs="Times New Roman"/>
          <w:sz w:val="24"/>
          <w:szCs w:val="24"/>
        </w:rPr>
        <w:t xml:space="preserve"> toelichten welke concrete lessen zijn geleerd en hoe deze zijn verwerkt? Verder vragen </w:t>
      </w:r>
      <w:r w:rsidR="00B42A5B">
        <w:rPr>
          <w:rFonts w:ascii="Times New Roman" w:hAnsi="Times New Roman" w:cs="Times New Roman"/>
          <w:sz w:val="24"/>
          <w:szCs w:val="24"/>
        </w:rPr>
        <w:t xml:space="preserve">zij </w:t>
      </w:r>
      <w:r w:rsidRPr="00ED796F">
        <w:rPr>
          <w:rFonts w:ascii="Times New Roman" w:hAnsi="Times New Roman" w:cs="Times New Roman"/>
          <w:sz w:val="24"/>
          <w:szCs w:val="24"/>
        </w:rPr>
        <w:t xml:space="preserve">of er sprake is van één vast bedrag voor de gemeente voor de uitvoering van de werkzaamheden, of dat dit bedrag wordt geïndexeerd en tussentijds wordt geëvalueerd op basis van de daadwerkelijke kosten. Hoe wordt voorkomen dat gemeenten met tekorten worden geconfronteerd die uiteindelijk gevolgen hebben voor de bewoners? Ook vragen </w:t>
      </w:r>
      <w:r w:rsidR="00B42A5B">
        <w:rPr>
          <w:rFonts w:ascii="Times New Roman" w:hAnsi="Times New Roman" w:cs="Times New Roman"/>
          <w:sz w:val="24"/>
          <w:szCs w:val="24"/>
        </w:rPr>
        <w:t xml:space="preserve">zij </w:t>
      </w:r>
      <w:r w:rsidRPr="00ED796F">
        <w:rPr>
          <w:rFonts w:ascii="Times New Roman" w:hAnsi="Times New Roman" w:cs="Times New Roman"/>
          <w:sz w:val="24"/>
          <w:szCs w:val="24"/>
        </w:rPr>
        <w:t xml:space="preserve">waar bewoners terecht kunnen wanneer zij problemen ervaren met de uitvoering van de werkzaamheden of wanneer er conflicten ontstaan tussen bewoners, aannemers en uitvoerende partijen. Is er een onafhankelijke instantie waar bewoners zich kunnen melden? Daarnaast vragen </w:t>
      </w:r>
      <w:r w:rsidR="00B42A5B">
        <w:rPr>
          <w:rFonts w:ascii="Times New Roman" w:hAnsi="Times New Roman" w:cs="Times New Roman"/>
          <w:sz w:val="24"/>
          <w:szCs w:val="24"/>
        </w:rPr>
        <w:t xml:space="preserve">zij </w:t>
      </w:r>
      <w:r w:rsidRPr="00ED796F">
        <w:rPr>
          <w:rFonts w:ascii="Times New Roman" w:hAnsi="Times New Roman" w:cs="Times New Roman"/>
          <w:sz w:val="24"/>
          <w:szCs w:val="24"/>
        </w:rPr>
        <w:t>waarom alleen is gekozen voor de Zandplatenbuurt</w:t>
      </w:r>
      <w:r w:rsidR="00FE7261">
        <w:rPr>
          <w:rFonts w:ascii="Times New Roman" w:hAnsi="Times New Roman" w:cs="Times New Roman"/>
          <w:sz w:val="24"/>
          <w:szCs w:val="24"/>
        </w:rPr>
        <w:t>-</w:t>
      </w:r>
      <w:r w:rsidRPr="00ED796F">
        <w:rPr>
          <w:rFonts w:ascii="Times New Roman" w:hAnsi="Times New Roman" w:cs="Times New Roman"/>
          <w:sz w:val="24"/>
          <w:szCs w:val="24"/>
        </w:rPr>
        <w:t xml:space="preserve">Zuid. Waarom zijn andere buurten niet in deze aanpak meegenomen? Kan de </w:t>
      </w:r>
      <w:r w:rsidR="00FF7A13">
        <w:rPr>
          <w:rFonts w:ascii="Times New Roman" w:hAnsi="Times New Roman" w:cs="Times New Roman"/>
          <w:sz w:val="24"/>
          <w:szCs w:val="24"/>
        </w:rPr>
        <w:t>minister</w:t>
      </w:r>
      <w:r w:rsidRPr="00ED796F">
        <w:rPr>
          <w:rFonts w:ascii="Times New Roman" w:hAnsi="Times New Roman" w:cs="Times New Roman"/>
          <w:sz w:val="24"/>
          <w:szCs w:val="24"/>
        </w:rPr>
        <w:t xml:space="preserve"> toelichten of deze aanpak in de toekomst ook voor andere buurten kan worden toegepast? Indien dat het geval is, vragen deze leden of daarvoor opnieuw een wetswijziging nodig is of dat dit via lagere regelgeving kan worden geregeld.</w:t>
      </w:r>
    </w:p>
    <w:p w:rsidR="00FF7A13" w:rsidP="00ED796F" w:rsidRDefault="00FF7A13" w14:paraId="4B1161E0" w14:textId="77777777">
      <w:pPr>
        <w:spacing w:after="0" w:line="276" w:lineRule="auto"/>
        <w:rPr>
          <w:rFonts w:ascii="Times New Roman" w:hAnsi="Times New Roman" w:cs="Times New Roman"/>
          <w:sz w:val="24"/>
          <w:szCs w:val="24"/>
        </w:rPr>
      </w:pPr>
    </w:p>
    <w:p w:rsidRPr="00ED796F" w:rsidR="00ED796F" w:rsidP="00ED796F" w:rsidRDefault="00ED796F" w14:paraId="7F70EB11" w14:textId="65244CC6">
      <w:pPr>
        <w:spacing w:after="0" w:line="276" w:lineRule="auto"/>
        <w:rPr>
          <w:rFonts w:ascii="Times New Roman" w:hAnsi="Times New Roman" w:cs="Times New Roman"/>
          <w:i/>
          <w:iCs/>
          <w:sz w:val="24"/>
          <w:szCs w:val="24"/>
        </w:rPr>
      </w:pPr>
      <w:r w:rsidRPr="00ED796F">
        <w:rPr>
          <w:rFonts w:ascii="Times New Roman" w:hAnsi="Times New Roman" w:cs="Times New Roman"/>
          <w:i/>
          <w:iCs/>
          <w:sz w:val="24"/>
          <w:szCs w:val="24"/>
        </w:rPr>
        <w:t>Batch 1588</w:t>
      </w:r>
    </w:p>
    <w:p w:rsidRPr="00ED796F" w:rsidR="00ED796F" w:rsidP="00ED796F" w:rsidRDefault="00ED796F" w14:paraId="29F6D9EC" w14:textId="7EB60368">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 xml:space="preserve">De leden van de SP-fractie vragen verder of alle regelingen die voor andere gedupeerden gelden, ook van toepassing zullen zijn op bewoners uit batch 1588. Geldt dit zowel voor eigenaren als voor huurders? Kan de </w:t>
      </w:r>
      <w:r w:rsidR="00FF7A13">
        <w:rPr>
          <w:rFonts w:ascii="Times New Roman" w:hAnsi="Times New Roman" w:cs="Times New Roman"/>
          <w:sz w:val="24"/>
          <w:szCs w:val="24"/>
        </w:rPr>
        <w:t>minister</w:t>
      </w:r>
      <w:r w:rsidRPr="00ED796F">
        <w:rPr>
          <w:rFonts w:ascii="Times New Roman" w:hAnsi="Times New Roman" w:cs="Times New Roman"/>
          <w:sz w:val="24"/>
          <w:szCs w:val="24"/>
        </w:rPr>
        <w:t xml:space="preserve"> bevestigen dat deze groepen volledig gelijk worden behandeld binnen het stelsel van schadeherstel en versterking?</w:t>
      </w:r>
    </w:p>
    <w:p w:rsidR="00FF7A13" w:rsidP="00ED796F" w:rsidRDefault="00FF7A13" w14:paraId="307A0A70" w14:textId="77777777">
      <w:pPr>
        <w:spacing w:after="0" w:line="276" w:lineRule="auto"/>
        <w:rPr>
          <w:rFonts w:ascii="Times New Roman" w:hAnsi="Times New Roman" w:cs="Times New Roman"/>
          <w:sz w:val="24"/>
          <w:szCs w:val="24"/>
        </w:rPr>
      </w:pPr>
    </w:p>
    <w:p w:rsidRPr="00ED796F" w:rsidR="00ED796F" w:rsidP="00ED796F" w:rsidRDefault="00ED796F" w14:paraId="7E12F830" w14:textId="392DE369">
      <w:pPr>
        <w:spacing w:after="0" w:line="276" w:lineRule="auto"/>
        <w:rPr>
          <w:rFonts w:ascii="Times New Roman" w:hAnsi="Times New Roman" w:cs="Times New Roman"/>
          <w:i/>
          <w:iCs/>
          <w:sz w:val="24"/>
          <w:szCs w:val="24"/>
        </w:rPr>
      </w:pPr>
      <w:r w:rsidRPr="00ED796F">
        <w:rPr>
          <w:rFonts w:ascii="Times New Roman" w:hAnsi="Times New Roman" w:cs="Times New Roman"/>
          <w:i/>
          <w:iCs/>
          <w:sz w:val="24"/>
          <w:szCs w:val="24"/>
        </w:rPr>
        <w:t>Juridische bijstand</w:t>
      </w:r>
    </w:p>
    <w:p w:rsidRPr="00ED796F" w:rsidR="008F2B6A" w:rsidP="00ED796F" w:rsidRDefault="00ED796F" w14:paraId="66AEF7A7" w14:textId="232DE690">
      <w:pPr>
        <w:spacing w:after="0" w:line="276" w:lineRule="auto"/>
        <w:rPr>
          <w:rFonts w:ascii="Times New Roman" w:hAnsi="Times New Roman" w:cs="Times New Roman"/>
          <w:sz w:val="24"/>
          <w:szCs w:val="24"/>
        </w:rPr>
      </w:pPr>
      <w:r w:rsidRPr="00ED796F">
        <w:rPr>
          <w:rFonts w:ascii="Times New Roman" w:hAnsi="Times New Roman" w:cs="Times New Roman"/>
          <w:sz w:val="24"/>
          <w:szCs w:val="24"/>
        </w:rPr>
        <w:t xml:space="preserve">De leden van de SP-fractie hebben ook vragen over de regeling voor kosteloze juridische bijstand. Deze leden lezen dat deze bijstand alleen wordt vergoed voor procedures rondom vergoedingsbesluiten van het IMG of de NCG. Waarom is ervoor gekozen om deze regeling zo beperkt vorm te geven? </w:t>
      </w:r>
      <w:r w:rsidR="00FF7A13">
        <w:rPr>
          <w:rFonts w:ascii="Times New Roman" w:hAnsi="Times New Roman" w:cs="Times New Roman"/>
          <w:sz w:val="24"/>
          <w:szCs w:val="24"/>
        </w:rPr>
        <w:t xml:space="preserve">Deelt de minister de mening </w:t>
      </w:r>
      <w:r w:rsidRPr="00ED796F">
        <w:rPr>
          <w:rFonts w:ascii="Times New Roman" w:hAnsi="Times New Roman" w:cs="Times New Roman"/>
          <w:sz w:val="24"/>
          <w:szCs w:val="24"/>
        </w:rPr>
        <w:t>dat bewoners en ondernemers ook in andere situaties juridische ondersteuning nodig kunnen hebben, bijvoorbeeld bij conflicten met aannemers, verhuurders, uitvoeringsorganisaties of andere betrokken partijen? Waarom is er niet gekozen voor een bredere regeling voor juridische ondersteuning voor gedupeerden? Tot slot vragen deze leden of bouwkundig en financieel advies in het kader van deze regeling ook voor huurders wordt vergoed. Indien dit niet het geval is, vragen deze leden waarom huurders op dit punt anders worden behandeld dan woningeigenaren.</w:t>
      </w:r>
    </w:p>
    <w:p w:rsidR="006C58D8" w:rsidP="0021341E" w:rsidRDefault="006C58D8" w14:paraId="323E2634" w14:textId="77777777">
      <w:pPr>
        <w:spacing w:line="276" w:lineRule="auto"/>
        <w:rPr>
          <w:rFonts w:ascii="Times New Roman" w:hAnsi="Times New Roman" w:cs="Times New Roman"/>
          <w:b/>
          <w:sz w:val="24"/>
          <w:szCs w:val="24"/>
        </w:rPr>
      </w:pPr>
    </w:p>
    <w:p w:rsidRPr="00A068B3" w:rsidR="0021341E" w:rsidP="0021341E" w:rsidRDefault="0021341E" w14:paraId="7724DA43" w14:textId="27BDAA61">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BF2C14" w:rsidP="0037318C" w:rsidRDefault="00BF2C14" w14:paraId="3ED76828" w14:textId="77777777">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EF1A" w14:textId="77777777" w:rsidR="00C360BF" w:rsidRDefault="00C360BF" w:rsidP="0047314E">
      <w:pPr>
        <w:spacing w:after="0" w:line="240" w:lineRule="auto"/>
      </w:pPr>
      <w:r>
        <w:separator/>
      </w:r>
    </w:p>
  </w:endnote>
  <w:endnote w:type="continuationSeparator" w:id="0">
    <w:p w14:paraId="45AED478" w14:textId="77777777" w:rsidR="00C360BF" w:rsidRDefault="00C360BF" w:rsidP="0047314E">
      <w:pPr>
        <w:spacing w:after="0" w:line="240" w:lineRule="auto"/>
      </w:pPr>
      <w:r>
        <w:continuationSeparator/>
      </w:r>
    </w:p>
  </w:endnote>
  <w:endnote w:type="continuationNotice" w:id="1">
    <w:p w14:paraId="7CF3D1C9" w14:textId="77777777" w:rsidR="00C360BF" w:rsidRDefault="00C3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9CFD" w14:textId="77777777" w:rsidR="00C360BF" w:rsidRDefault="00C360BF" w:rsidP="0047314E">
      <w:pPr>
        <w:spacing w:after="0" w:line="240" w:lineRule="auto"/>
      </w:pPr>
      <w:r>
        <w:separator/>
      </w:r>
    </w:p>
  </w:footnote>
  <w:footnote w:type="continuationSeparator" w:id="0">
    <w:p w14:paraId="57169367" w14:textId="77777777" w:rsidR="00C360BF" w:rsidRDefault="00C360BF" w:rsidP="0047314E">
      <w:pPr>
        <w:spacing w:after="0" w:line="240" w:lineRule="auto"/>
      </w:pPr>
      <w:r>
        <w:continuationSeparator/>
      </w:r>
    </w:p>
  </w:footnote>
  <w:footnote w:type="continuationNotice" w:id="1">
    <w:p w14:paraId="5EB02E71" w14:textId="77777777" w:rsidR="00C360BF" w:rsidRDefault="00C360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00C2"/>
    <w:rsid w:val="00024364"/>
    <w:rsid w:val="000323C6"/>
    <w:rsid w:val="00033D79"/>
    <w:rsid w:val="00036C67"/>
    <w:rsid w:val="00047F22"/>
    <w:rsid w:val="00051564"/>
    <w:rsid w:val="00055AB4"/>
    <w:rsid w:val="00056A9D"/>
    <w:rsid w:val="0006075E"/>
    <w:rsid w:val="0006320D"/>
    <w:rsid w:val="000814C7"/>
    <w:rsid w:val="00084028"/>
    <w:rsid w:val="000864B6"/>
    <w:rsid w:val="0009091B"/>
    <w:rsid w:val="0009286D"/>
    <w:rsid w:val="000969D1"/>
    <w:rsid w:val="000A1F6D"/>
    <w:rsid w:val="000A3D62"/>
    <w:rsid w:val="000A481C"/>
    <w:rsid w:val="000A7B31"/>
    <w:rsid w:val="000B02B8"/>
    <w:rsid w:val="000B2366"/>
    <w:rsid w:val="000C376A"/>
    <w:rsid w:val="000C5440"/>
    <w:rsid w:val="000C5EC9"/>
    <w:rsid w:val="000D289B"/>
    <w:rsid w:val="00106325"/>
    <w:rsid w:val="001207F3"/>
    <w:rsid w:val="00121416"/>
    <w:rsid w:val="00125C63"/>
    <w:rsid w:val="00146122"/>
    <w:rsid w:val="00146D4A"/>
    <w:rsid w:val="00150909"/>
    <w:rsid w:val="00152B58"/>
    <w:rsid w:val="00165121"/>
    <w:rsid w:val="00172A71"/>
    <w:rsid w:val="00187567"/>
    <w:rsid w:val="00197EFE"/>
    <w:rsid w:val="001B348F"/>
    <w:rsid w:val="001B409D"/>
    <w:rsid w:val="001C0A65"/>
    <w:rsid w:val="001C35DC"/>
    <w:rsid w:val="001C6425"/>
    <w:rsid w:val="001C7CC3"/>
    <w:rsid w:val="001D7CFD"/>
    <w:rsid w:val="001E4900"/>
    <w:rsid w:val="001F0AC8"/>
    <w:rsid w:val="001F25D3"/>
    <w:rsid w:val="0020312E"/>
    <w:rsid w:val="002045AB"/>
    <w:rsid w:val="0021341E"/>
    <w:rsid w:val="00222B87"/>
    <w:rsid w:val="0022587F"/>
    <w:rsid w:val="0023228B"/>
    <w:rsid w:val="002509B3"/>
    <w:rsid w:val="0025652F"/>
    <w:rsid w:val="00262D8D"/>
    <w:rsid w:val="00281FAB"/>
    <w:rsid w:val="00283B78"/>
    <w:rsid w:val="002A2F29"/>
    <w:rsid w:val="002A2F81"/>
    <w:rsid w:val="002A427B"/>
    <w:rsid w:val="002A6D2F"/>
    <w:rsid w:val="002A6F69"/>
    <w:rsid w:val="002B58CC"/>
    <w:rsid w:val="002B626F"/>
    <w:rsid w:val="002C1D01"/>
    <w:rsid w:val="002C7492"/>
    <w:rsid w:val="002F70E7"/>
    <w:rsid w:val="00302FC0"/>
    <w:rsid w:val="003064DE"/>
    <w:rsid w:val="00332220"/>
    <w:rsid w:val="00332A63"/>
    <w:rsid w:val="00332ECD"/>
    <w:rsid w:val="00333D52"/>
    <w:rsid w:val="003342CA"/>
    <w:rsid w:val="003461DA"/>
    <w:rsid w:val="00355609"/>
    <w:rsid w:val="0035568B"/>
    <w:rsid w:val="00355732"/>
    <w:rsid w:val="00362136"/>
    <w:rsid w:val="00364388"/>
    <w:rsid w:val="0037318C"/>
    <w:rsid w:val="00376FDD"/>
    <w:rsid w:val="003B1139"/>
    <w:rsid w:val="003C52B6"/>
    <w:rsid w:val="003D038D"/>
    <w:rsid w:val="003E08CB"/>
    <w:rsid w:val="003F0025"/>
    <w:rsid w:val="003F321A"/>
    <w:rsid w:val="003F344D"/>
    <w:rsid w:val="003F357E"/>
    <w:rsid w:val="004013EE"/>
    <w:rsid w:val="00402606"/>
    <w:rsid w:val="0042108E"/>
    <w:rsid w:val="00425A69"/>
    <w:rsid w:val="00425AFC"/>
    <w:rsid w:val="004340B2"/>
    <w:rsid w:val="004349F5"/>
    <w:rsid w:val="00437A92"/>
    <w:rsid w:val="004434D6"/>
    <w:rsid w:val="00456540"/>
    <w:rsid w:val="00457CA5"/>
    <w:rsid w:val="00465A4E"/>
    <w:rsid w:val="00466400"/>
    <w:rsid w:val="0047314E"/>
    <w:rsid w:val="00477F47"/>
    <w:rsid w:val="0048500D"/>
    <w:rsid w:val="004858AF"/>
    <w:rsid w:val="0049695B"/>
    <w:rsid w:val="004A3D69"/>
    <w:rsid w:val="004C31A0"/>
    <w:rsid w:val="004C3B12"/>
    <w:rsid w:val="004C618E"/>
    <w:rsid w:val="004C76E6"/>
    <w:rsid w:val="004F30D1"/>
    <w:rsid w:val="004F71D7"/>
    <w:rsid w:val="004F7406"/>
    <w:rsid w:val="005039AB"/>
    <w:rsid w:val="00504B19"/>
    <w:rsid w:val="00517359"/>
    <w:rsid w:val="00523B28"/>
    <w:rsid w:val="00534676"/>
    <w:rsid w:val="00534A24"/>
    <w:rsid w:val="00536B7D"/>
    <w:rsid w:val="00552413"/>
    <w:rsid w:val="0056192A"/>
    <w:rsid w:val="00583FD5"/>
    <w:rsid w:val="005949C5"/>
    <w:rsid w:val="00596897"/>
    <w:rsid w:val="005A1768"/>
    <w:rsid w:val="005C3712"/>
    <w:rsid w:val="005D0BB7"/>
    <w:rsid w:val="005E4174"/>
    <w:rsid w:val="005F039B"/>
    <w:rsid w:val="005F224D"/>
    <w:rsid w:val="00602B34"/>
    <w:rsid w:val="00605570"/>
    <w:rsid w:val="00610B67"/>
    <w:rsid w:val="00622D4A"/>
    <w:rsid w:val="00643392"/>
    <w:rsid w:val="006433CE"/>
    <w:rsid w:val="00653CF3"/>
    <w:rsid w:val="00663279"/>
    <w:rsid w:val="00664B02"/>
    <w:rsid w:val="0067533C"/>
    <w:rsid w:val="00677294"/>
    <w:rsid w:val="0069241F"/>
    <w:rsid w:val="0069292B"/>
    <w:rsid w:val="006A0D72"/>
    <w:rsid w:val="006C58D8"/>
    <w:rsid w:val="006D2144"/>
    <w:rsid w:val="006D5D21"/>
    <w:rsid w:val="006E4527"/>
    <w:rsid w:val="006E72D5"/>
    <w:rsid w:val="00732FE1"/>
    <w:rsid w:val="00736261"/>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A71C1"/>
    <w:rsid w:val="007B7635"/>
    <w:rsid w:val="007B76FD"/>
    <w:rsid w:val="007D34A5"/>
    <w:rsid w:val="007F1BCD"/>
    <w:rsid w:val="00822E0C"/>
    <w:rsid w:val="008363B4"/>
    <w:rsid w:val="008427E3"/>
    <w:rsid w:val="00850684"/>
    <w:rsid w:val="0085241C"/>
    <w:rsid w:val="008524A2"/>
    <w:rsid w:val="00860BCD"/>
    <w:rsid w:val="00861E02"/>
    <w:rsid w:val="008621F3"/>
    <w:rsid w:val="00872B4A"/>
    <w:rsid w:val="00883DDB"/>
    <w:rsid w:val="00890E0D"/>
    <w:rsid w:val="00894BFF"/>
    <w:rsid w:val="008975F7"/>
    <w:rsid w:val="008B432E"/>
    <w:rsid w:val="008B48FD"/>
    <w:rsid w:val="008B66A4"/>
    <w:rsid w:val="008B7817"/>
    <w:rsid w:val="008C1548"/>
    <w:rsid w:val="008D0C08"/>
    <w:rsid w:val="008D1DDC"/>
    <w:rsid w:val="008D4AAD"/>
    <w:rsid w:val="008E5F91"/>
    <w:rsid w:val="008F25A0"/>
    <w:rsid w:val="008F2B6A"/>
    <w:rsid w:val="008F4CFC"/>
    <w:rsid w:val="0090770F"/>
    <w:rsid w:val="00907D38"/>
    <w:rsid w:val="00910C29"/>
    <w:rsid w:val="00910FC4"/>
    <w:rsid w:val="009209B6"/>
    <w:rsid w:val="009233DA"/>
    <w:rsid w:val="00931592"/>
    <w:rsid w:val="00933397"/>
    <w:rsid w:val="00936639"/>
    <w:rsid w:val="00940E36"/>
    <w:rsid w:val="00940F0B"/>
    <w:rsid w:val="0095179A"/>
    <w:rsid w:val="00960954"/>
    <w:rsid w:val="0096626E"/>
    <w:rsid w:val="00970517"/>
    <w:rsid w:val="00976CAA"/>
    <w:rsid w:val="00980956"/>
    <w:rsid w:val="0098723B"/>
    <w:rsid w:val="009A51DA"/>
    <w:rsid w:val="009A56B3"/>
    <w:rsid w:val="009B5012"/>
    <w:rsid w:val="009C04C4"/>
    <w:rsid w:val="009C2733"/>
    <w:rsid w:val="009E3F6E"/>
    <w:rsid w:val="009E5CC6"/>
    <w:rsid w:val="009F202A"/>
    <w:rsid w:val="009F5B03"/>
    <w:rsid w:val="00A110D0"/>
    <w:rsid w:val="00A14052"/>
    <w:rsid w:val="00A166AF"/>
    <w:rsid w:val="00A238DA"/>
    <w:rsid w:val="00A33D3C"/>
    <w:rsid w:val="00A4397A"/>
    <w:rsid w:val="00A43F4F"/>
    <w:rsid w:val="00A47DCE"/>
    <w:rsid w:val="00A47F86"/>
    <w:rsid w:val="00A872E3"/>
    <w:rsid w:val="00AB7A53"/>
    <w:rsid w:val="00AC21E8"/>
    <w:rsid w:val="00AC2B04"/>
    <w:rsid w:val="00AD25BC"/>
    <w:rsid w:val="00AF1870"/>
    <w:rsid w:val="00B10A89"/>
    <w:rsid w:val="00B22731"/>
    <w:rsid w:val="00B24881"/>
    <w:rsid w:val="00B30E60"/>
    <w:rsid w:val="00B3371E"/>
    <w:rsid w:val="00B33B4B"/>
    <w:rsid w:val="00B42A5B"/>
    <w:rsid w:val="00B44D0E"/>
    <w:rsid w:val="00B4732C"/>
    <w:rsid w:val="00B4787F"/>
    <w:rsid w:val="00B67E76"/>
    <w:rsid w:val="00B828E6"/>
    <w:rsid w:val="00B839BD"/>
    <w:rsid w:val="00B847E5"/>
    <w:rsid w:val="00B87A4E"/>
    <w:rsid w:val="00B87B67"/>
    <w:rsid w:val="00B91B9C"/>
    <w:rsid w:val="00BA172E"/>
    <w:rsid w:val="00BA6251"/>
    <w:rsid w:val="00BB172E"/>
    <w:rsid w:val="00BC5462"/>
    <w:rsid w:val="00BE6042"/>
    <w:rsid w:val="00BF2C14"/>
    <w:rsid w:val="00BF6D21"/>
    <w:rsid w:val="00C006C7"/>
    <w:rsid w:val="00C16417"/>
    <w:rsid w:val="00C16A7C"/>
    <w:rsid w:val="00C20FB8"/>
    <w:rsid w:val="00C2275F"/>
    <w:rsid w:val="00C3020B"/>
    <w:rsid w:val="00C3060F"/>
    <w:rsid w:val="00C360BF"/>
    <w:rsid w:val="00C37273"/>
    <w:rsid w:val="00C55E7D"/>
    <w:rsid w:val="00C71CA7"/>
    <w:rsid w:val="00C763DF"/>
    <w:rsid w:val="00C96171"/>
    <w:rsid w:val="00CA4935"/>
    <w:rsid w:val="00CA5FDA"/>
    <w:rsid w:val="00CA710B"/>
    <w:rsid w:val="00CA7904"/>
    <w:rsid w:val="00CB4343"/>
    <w:rsid w:val="00CC3F3A"/>
    <w:rsid w:val="00CD2028"/>
    <w:rsid w:val="00CD22A1"/>
    <w:rsid w:val="00CD3CB1"/>
    <w:rsid w:val="00CE159A"/>
    <w:rsid w:val="00D214C5"/>
    <w:rsid w:val="00D22D17"/>
    <w:rsid w:val="00D40A2B"/>
    <w:rsid w:val="00D61067"/>
    <w:rsid w:val="00D649C3"/>
    <w:rsid w:val="00D73E8F"/>
    <w:rsid w:val="00D76978"/>
    <w:rsid w:val="00D86475"/>
    <w:rsid w:val="00DB2BC4"/>
    <w:rsid w:val="00DB2E73"/>
    <w:rsid w:val="00DE2266"/>
    <w:rsid w:val="00DF35D8"/>
    <w:rsid w:val="00E0022B"/>
    <w:rsid w:val="00E04A7E"/>
    <w:rsid w:val="00E07593"/>
    <w:rsid w:val="00E106F4"/>
    <w:rsid w:val="00E13724"/>
    <w:rsid w:val="00E1638C"/>
    <w:rsid w:val="00E204B7"/>
    <w:rsid w:val="00E314E1"/>
    <w:rsid w:val="00E46BD9"/>
    <w:rsid w:val="00E47BE7"/>
    <w:rsid w:val="00E5155C"/>
    <w:rsid w:val="00E526F0"/>
    <w:rsid w:val="00E6011E"/>
    <w:rsid w:val="00E82DF2"/>
    <w:rsid w:val="00E85210"/>
    <w:rsid w:val="00E85A77"/>
    <w:rsid w:val="00E85D89"/>
    <w:rsid w:val="00E86A61"/>
    <w:rsid w:val="00E87562"/>
    <w:rsid w:val="00EC0A62"/>
    <w:rsid w:val="00EC1A06"/>
    <w:rsid w:val="00EC4C65"/>
    <w:rsid w:val="00EC5686"/>
    <w:rsid w:val="00ED013C"/>
    <w:rsid w:val="00ED190A"/>
    <w:rsid w:val="00ED796F"/>
    <w:rsid w:val="00EE2C62"/>
    <w:rsid w:val="00EE6291"/>
    <w:rsid w:val="00F06242"/>
    <w:rsid w:val="00F174C2"/>
    <w:rsid w:val="00F33F35"/>
    <w:rsid w:val="00F61D56"/>
    <w:rsid w:val="00F62F7A"/>
    <w:rsid w:val="00F63161"/>
    <w:rsid w:val="00F63982"/>
    <w:rsid w:val="00F65B36"/>
    <w:rsid w:val="00F67477"/>
    <w:rsid w:val="00F83F5D"/>
    <w:rsid w:val="00F878F5"/>
    <w:rsid w:val="00FB13DD"/>
    <w:rsid w:val="00FB2366"/>
    <w:rsid w:val="00FB7048"/>
    <w:rsid w:val="00FC3356"/>
    <w:rsid w:val="00FD3A0A"/>
    <w:rsid w:val="00FE7261"/>
    <w:rsid w:val="00FF23FC"/>
    <w:rsid w:val="00FF2792"/>
    <w:rsid w:val="00FF45E1"/>
    <w:rsid w:val="00FF7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3426</ap:Words>
  <ap:Characters>18849</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2026-03-11T13:12:00.0000000Z</dcterms:created>
  <dcterms:modified xsi:type="dcterms:W3CDTF">2026-03-16T14:13:00.0000000Z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5cfc3a15-289f-4177-a0b3-8b54c453303c</vt:lpwstr>
  </property>
</Properties>
</file>