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2BAE" w:rsidRDefault="00E52BAE" w14:paraId="528CEE74" w14:textId="77777777">
      <w:pPr>
        <w:rPr>
          <w:b/>
        </w:rPr>
      </w:pPr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/ HOORZITTING</w:t>
      </w:r>
    </w:p>
    <w:p w:rsidR="00334418" w:rsidRDefault="00334418" w14:paraId="03A4A818" w14:textId="77777777"/>
    <w:p w:rsidR="00E52BAE" w:rsidRDefault="00E52BAE" w14:paraId="5ED14CED" w14:textId="77777777"/>
    <w:tbl>
      <w:tblPr>
        <w:tblW w:w="15856" w:type="dxa"/>
        <w:tblLook w:val="01E0" w:firstRow="1" w:lastRow="1" w:firstColumn="1" w:lastColumn="1" w:noHBand="0" w:noVBand="0"/>
      </w:tblPr>
      <w:tblGrid>
        <w:gridCol w:w="1809"/>
        <w:gridCol w:w="7230"/>
        <w:gridCol w:w="6817"/>
      </w:tblGrid>
      <w:tr w:rsidRPr="00A7605E" w:rsidR="00E52BAE" w:rsidTr="000119C3" w14:paraId="37568CE9" w14:textId="77777777">
        <w:tc>
          <w:tcPr>
            <w:tcW w:w="9039" w:type="dxa"/>
            <w:gridSpan w:val="2"/>
          </w:tcPr>
          <w:p w:rsidRPr="00A7605E" w:rsidR="00334418" w:rsidP="009932E9" w:rsidRDefault="00E52BAE" w14:paraId="1E810062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Initiatiefnemer:</w:t>
            </w:r>
            <w:r w:rsidR="00B822E2">
              <w:rPr>
                <w:rFonts w:cs="Arial"/>
                <w:b/>
                <w:iCs/>
                <w:szCs w:val="22"/>
              </w:rPr>
              <w:t xml:space="preserve"> Kröger (GroenLinks-PvdA)</w:t>
            </w:r>
          </w:p>
        </w:tc>
        <w:tc>
          <w:tcPr>
            <w:tcW w:w="6817" w:type="dxa"/>
          </w:tcPr>
          <w:p w:rsidRPr="00A7605E" w:rsidR="00E52BAE" w:rsidP="00BF46B7" w:rsidRDefault="00E52BAE" w14:paraId="55F872BC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75CA1225" w14:textId="77777777">
        <w:tc>
          <w:tcPr>
            <w:tcW w:w="9039" w:type="dxa"/>
            <w:gridSpan w:val="2"/>
          </w:tcPr>
          <w:p w:rsidRPr="00A7605E" w:rsidR="00E52BAE" w:rsidP="00BF46B7" w:rsidRDefault="00E52BAE" w14:paraId="0E688EBB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BF46B7" w:rsidRDefault="00E52BAE" w14:paraId="5C38455E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13B286D9" w14:textId="77777777">
        <w:tc>
          <w:tcPr>
            <w:tcW w:w="9039" w:type="dxa"/>
            <w:gridSpan w:val="2"/>
          </w:tcPr>
          <w:p w:rsidRPr="00A7605E" w:rsidR="00334418" w:rsidP="009932E9" w:rsidRDefault="00A12A2B" w14:paraId="6426FDF7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</w:t>
            </w:r>
            <w:r w:rsidRPr="00A7605E">
              <w:rPr>
                <w:rFonts w:cs="Arial"/>
                <w:b/>
                <w:iCs/>
                <w:szCs w:val="22"/>
              </w:rPr>
              <w:t xml:space="preserve">ondetafelgesprek </w:t>
            </w:r>
          </w:p>
        </w:tc>
        <w:tc>
          <w:tcPr>
            <w:tcW w:w="6817" w:type="dxa"/>
          </w:tcPr>
          <w:p w:rsidRPr="00A7605E" w:rsidR="00A34412" w:rsidP="00BF46B7" w:rsidRDefault="00A34412" w14:paraId="46E9D58E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0CFC6BB2" w14:textId="77777777">
        <w:tc>
          <w:tcPr>
            <w:tcW w:w="9039" w:type="dxa"/>
            <w:gridSpan w:val="2"/>
          </w:tcPr>
          <w:p w:rsidRPr="00A7605E" w:rsidR="00A34412" w:rsidP="00BF46B7" w:rsidRDefault="00A34412" w14:paraId="42EBF9A4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A34412" w:rsidP="00BF46B7" w:rsidRDefault="00A34412" w14:paraId="71D4D501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0CEA07E6" w14:textId="77777777">
        <w:tc>
          <w:tcPr>
            <w:tcW w:w="9039" w:type="dxa"/>
            <w:gridSpan w:val="2"/>
          </w:tcPr>
          <w:p w:rsidRPr="00A7605E" w:rsidR="00334418" w:rsidP="009932E9" w:rsidRDefault="00A12A2B" w14:paraId="4ABC4788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 xml:space="preserve">Openbaar </w:t>
            </w:r>
          </w:p>
        </w:tc>
        <w:tc>
          <w:tcPr>
            <w:tcW w:w="6817" w:type="dxa"/>
          </w:tcPr>
          <w:p w:rsidRPr="00A7605E" w:rsidR="00A34412" w:rsidP="00BF46B7" w:rsidRDefault="00A34412" w14:paraId="34110B44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 w14:paraId="07361EDC" w14:textId="77777777">
        <w:tc>
          <w:tcPr>
            <w:tcW w:w="9039" w:type="dxa"/>
            <w:gridSpan w:val="2"/>
          </w:tcPr>
          <w:p w:rsidRPr="00A7605E" w:rsidR="00A34412" w:rsidP="00BF46B7" w:rsidRDefault="00A34412" w14:paraId="093DAE04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A34412" w:rsidP="00BF46B7" w:rsidRDefault="00A34412" w14:paraId="1E49906B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3BDD636C" w14:textId="77777777">
        <w:tc>
          <w:tcPr>
            <w:tcW w:w="9039" w:type="dxa"/>
            <w:gridSpan w:val="2"/>
          </w:tcPr>
          <w:p w:rsidRPr="00A7605E" w:rsidR="00334418" w:rsidP="009932E9" w:rsidRDefault="00E52BAE" w14:paraId="424A8410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Onderwerp</w:t>
            </w:r>
            <w:r w:rsidR="00545D7D">
              <w:rPr>
                <w:rFonts w:cs="Arial"/>
                <w:b/>
                <w:iCs/>
                <w:szCs w:val="22"/>
              </w:rPr>
              <w:t>:</w:t>
            </w:r>
            <w:r w:rsidR="00B822E2">
              <w:rPr>
                <w:rFonts w:cs="Arial"/>
                <w:b/>
                <w:iCs/>
                <w:szCs w:val="22"/>
              </w:rPr>
              <w:t xml:space="preserve"> Betaalbare Energierekening</w:t>
            </w:r>
          </w:p>
        </w:tc>
        <w:tc>
          <w:tcPr>
            <w:tcW w:w="6817" w:type="dxa"/>
          </w:tcPr>
          <w:p w:rsidRPr="00A7605E" w:rsidR="00E52BAE" w:rsidP="00BF46B7" w:rsidRDefault="00E52BAE" w14:paraId="3FB91EBF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6164F316" w14:textId="77777777">
        <w:tc>
          <w:tcPr>
            <w:tcW w:w="9039" w:type="dxa"/>
            <w:gridSpan w:val="2"/>
          </w:tcPr>
          <w:p w:rsidRPr="00A7605E" w:rsidR="00E52BAE" w:rsidP="00BF46B7" w:rsidRDefault="00E52BAE" w14:paraId="373BFE80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BF46B7" w:rsidRDefault="00E52BAE" w14:paraId="139F4D4B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49922803" w14:textId="77777777">
        <w:tc>
          <w:tcPr>
            <w:tcW w:w="9039" w:type="dxa"/>
            <w:gridSpan w:val="2"/>
          </w:tcPr>
          <w:p w:rsidR="00F22C3B" w:rsidP="00334418" w:rsidRDefault="00E52BAE" w14:paraId="78CE7FB6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9932E9">
              <w:rPr>
                <w:rFonts w:cs="Arial"/>
                <w:b/>
                <w:iCs/>
                <w:szCs w:val="22"/>
              </w:rPr>
              <w:t>D</w:t>
            </w:r>
            <w:r w:rsidRPr="009932E9" w:rsidR="00334418">
              <w:rPr>
                <w:rFonts w:cs="Arial"/>
                <w:b/>
                <w:iCs/>
                <w:szCs w:val="22"/>
              </w:rPr>
              <w:t>oel, hoofd- en d</w:t>
            </w:r>
            <w:r w:rsidRPr="009932E9">
              <w:rPr>
                <w:rFonts w:cs="Arial"/>
                <w:b/>
                <w:iCs/>
                <w:szCs w:val="22"/>
              </w:rPr>
              <w:t>eelvragen</w:t>
            </w:r>
            <w:r w:rsidRPr="009932E9" w:rsidR="00D26B06">
              <w:rPr>
                <w:rFonts w:cs="Arial"/>
                <w:b/>
                <w:iCs/>
                <w:szCs w:val="22"/>
              </w:rPr>
              <w:t>:</w:t>
            </w:r>
            <w:r w:rsidR="00BE15BD">
              <w:rPr>
                <w:rFonts w:cs="Arial"/>
                <w:b/>
                <w:iCs/>
                <w:szCs w:val="22"/>
              </w:rPr>
              <w:t xml:space="preserve"> </w:t>
            </w:r>
          </w:p>
          <w:p w:rsidRPr="00B822E2" w:rsidR="00572607" w:rsidP="0032121B" w:rsidRDefault="00572607" w14:paraId="25065876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Cs/>
                <w:iCs/>
                <w:szCs w:val="22"/>
              </w:rPr>
            </w:pPr>
            <w:r w:rsidRPr="00572607">
              <w:rPr>
                <w:rFonts w:cs="Arial"/>
                <w:b/>
                <w:bCs/>
                <w:iCs/>
                <w:szCs w:val="22"/>
              </w:rPr>
              <w:t>Doel:</w:t>
            </w:r>
            <w:r w:rsidRPr="00572607">
              <w:rPr>
                <w:rFonts w:cs="Arial"/>
                <w:b/>
                <w:iCs/>
                <w:szCs w:val="22"/>
              </w:rPr>
              <w:t xml:space="preserve"> </w:t>
            </w:r>
            <w:r w:rsidR="00B822E2">
              <w:rPr>
                <w:rFonts w:cs="Arial"/>
                <w:bCs/>
                <w:iCs/>
                <w:szCs w:val="22"/>
              </w:rPr>
              <w:t>Inventariseren van ideeën voor een betaalbare energierekening voor huishoudens</w:t>
            </w:r>
          </w:p>
          <w:p w:rsidRPr="00B822E2" w:rsidR="00B27187" w:rsidP="00B27187" w:rsidRDefault="00F22C3B" w14:paraId="7F7C7DB5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Hoofdvraag:</w:t>
            </w:r>
            <w:r w:rsidR="00B822E2">
              <w:rPr>
                <w:rFonts w:cs="Arial"/>
                <w:b/>
                <w:iCs/>
                <w:szCs w:val="22"/>
              </w:rPr>
              <w:t xml:space="preserve"> </w:t>
            </w:r>
            <w:r w:rsidRPr="00B822E2" w:rsidR="00B822E2">
              <w:rPr>
                <w:rFonts w:cs="Arial"/>
                <w:bCs/>
                <w:iCs/>
                <w:szCs w:val="22"/>
              </w:rPr>
              <w:t>Hoe houden we de energierekening betaalbaar voor huishoudens</w:t>
            </w:r>
            <w:r w:rsidR="00B822E2">
              <w:rPr>
                <w:rFonts w:cs="Arial"/>
                <w:bCs/>
                <w:iCs/>
                <w:szCs w:val="22"/>
              </w:rPr>
              <w:t>?</w:t>
            </w:r>
          </w:p>
          <w:p w:rsidRPr="00B822E2" w:rsidR="00F22C3B" w:rsidP="00BF46B7" w:rsidRDefault="00F22C3B" w14:paraId="65EF7699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Cs/>
                <w:iCs/>
                <w:szCs w:val="22"/>
              </w:rPr>
            </w:pPr>
            <w:r w:rsidRPr="00F22C3B">
              <w:rPr>
                <w:rFonts w:cs="Arial"/>
                <w:b/>
                <w:iCs/>
                <w:szCs w:val="22"/>
              </w:rPr>
              <w:t xml:space="preserve">Deelvragen: </w:t>
            </w:r>
            <w:r w:rsidR="00B822E2">
              <w:rPr>
                <w:rFonts w:cs="Arial"/>
                <w:bCs/>
                <w:iCs/>
                <w:szCs w:val="22"/>
              </w:rPr>
              <w:t>Welke doelgroepen hebben moeite met de betaalbaarheid van hun energierekening; en hoe kunnen deze groepen gericht worden ondersteund?</w:t>
            </w:r>
          </w:p>
          <w:p w:rsidRPr="00F22C3B" w:rsidR="00F22C3B" w:rsidP="00D64B3F" w:rsidRDefault="00F22C3B" w14:paraId="2EA5B083" w14:textId="77777777">
            <w:pPr>
              <w:autoSpaceDE w:val="0"/>
              <w:autoSpaceDN w:val="0"/>
              <w:adjustRightInd w:val="0"/>
            </w:pPr>
          </w:p>
          <w:p w:rsidRPr="00D64B3F" w:rsidR="00BF46B7" w:rsidP="00C97EA3" w:rsidRDefault="00545D7D" w14:paraId="25715EC5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D64B3F">
              <w:rPr>
                <w:rFonts w:cs="Arial"/>
                <w:b/>
                <w:iCs/>
                <w:szCs w:val="22"/>
              </w:rPr>
              <w:t>Termijn plaatsvinden</w:t>
            </w:r>
            <w:r w:rsidRPr="00D64B3F" w:rsidR="00D26B06">
              <w:rPr>
                <w:rFonts w:cs="Arial"/>
                <w:b/>
                <w:iCs/>
                <w:szCs w:val="22"/>
              </w:rPr>
              <w:t>:</w:t>
            </w:r>
            <w:r w:rsidRPr="00D64B3F" w:rsidR="00BE15BD">
              <w:rPr>
                <w:rFonts w:cs="Arial"/>
                <w:b/>
                <w:iCs/>
                <w:szCs w:val="22"/>
              </w:rPr>
              <w:t xml:space="preserve"> </w:t>
            </w:r>
            <w:r w:rsidR="00B822E2">
              <w:rPr>
                <w:rFonts w:cs="Arial"/>
                <w:b/>
                <w:iCs/>
                <w:szCs w:val="22"/>
              </w:rPr>
              <w:t>Voor aanvang van het CD Betaalbare Energierekening</w:t>
            </w:r>
          </w:p>
          <w:p w:rsidRPr="00D64B3F" w:rsidR="00D64B3F" w:rsidP="00D64B3F" w:rsidRDefault="00D64B3F" w14:paraId="094D627E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Pr="00A7605E" w:rsidR="00BF46B7" w:rsidP="00BF46B7" w:rsidRDefault="00BF46B7" w14:paraId="78C834B7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Blokindeling:</w:t>
            </w:r>
          </w:p>
        </w:tc>
        <w:tc>
          <w:tcPr>
            <w:tcW w:w="6817" w:type="dxa"/>
          </w:tcPr>
          <w:p w:rsidRPr="00A7605E" w:rsidR="00E52BAE" w:rsidP="00BF46B7" w:rsidRDefault="00E52BAE" w14:paraId="339B527B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68B81837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7985E685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20E975C7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BF46B7" w:rsidRDefault="00534139" w14:paraId="375817B4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470939EC" w14:textId="77777777">
        <w:tc>
          <w:tcPr>
            <w:tcW w:w="9039" w:type="dxa"/>
            <w:gridSpan w:val="2"/>
          </w:tcPr>
          <w:p w:rsidRPr="00A7605E" w:rsidR="00E52BAE" w:rsidP="00A7605E" w:rsidRDefault="00E52BAE" w14:paraId="0715C9D8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69ED1345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000119C3" w14:paraId="6356158B" w14:textId="77777777">
        <w:trPr>
          <w:gridAfter w:val="1"/>
          <w:wAfter w:w="6817" w:type="dxa"/>
        </w:trPr>
        <w:tc>
          <w:tcPr>
            <w:tcW w:w="1809" w:type="dxa"/>
          </w:tcPr>
          <w:p w:rsidRPr="00A7605E" w:rsidR="00600D9E" w:rsidP="00BF46B7" w:rsidRDefault="00600D9E" w14:paraId="47FFF63D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7230" w:type="dxa"/>
          </w:tcPr>
          <w:p w:rsidRPr="00A7605E" w:rsidR="005A12C6" w:rsidRDefault="005A12C6" w14:paraId="41966464" w14:textId="77777777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1.</w:t>
            </w:r>
            <w:r w:rsidR="00BE15BD">
              <w:rPr>
                <w:rFonts w:cs="Arial"/>
                <w:iCs/>
                <w:szCs w:val="22"/>
              </w:rPr>
              <w:t xml:space="preserve"> </w:t>
            </w:r>
            <w:r w:rsidR="00B822E2">
              <w:rPr>
                <w:rFonts w:cs="Arial"/>
                <w:iCs/>
                <w:szCs w:val="22"/>
              </w:rPr>
              <w:t>Kennisinstellingen</w:t>
            </w:r>
          </w:p>
          <w:p w:rsidR="00D64B3F" w:rsidRDefault="005A12C6" w14:paraId="41962F30" w14:textId="77777777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2.</w:t>
            </w:r>
            <w:r w:rsidR="00B822E2">
              <w:rPr>
                <w:rFonts w:cs="Arial"/>
                <w:iCs/>
                <w:szCs w:val="22"/>
              </w:rPr>
              <w:t xml:space="preserve"> Belangenorganisaties van huurders, verhuurders en woningeigenaren </w:t>
            </w:r>
          </w:p>
          <w:p w:rsidR="00B822E2" w:rsidRDefault="00B822E2" w14:paraId="399D1CA1" w14:textId="77777777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3. Gemeenten en lokale initiatieven</w:t>
            </w:r>
          </w:p>
          <w:p w:rsidRPr="00A7605E" w:rsidR="00D64B3F" w:rsidRDefault="00B822E2" w14:paraId="5B601E4F" w14:textId="77777777">
            <w:pPr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>4</w:t>
            </w:r>
            <w:r w:rsidR="00D64B3F">
              <w:rPr>
                <w:rFonts w:cs="Arial"/>
                <w:iCs/>
                <w:szCs w:val="22"/>
              </w:rPr>
              <w:t>.</w:t>
            </w:r>
            <w:r>
              <w:rPr>
                <w:rFonts w:cs="Arial"/>
                <w:iCs/>
                <w:szCs w:val="22"/>
              </w:rPr>
              <w:t xml:space="preserve"> Energie- en isolatie-/installatiebranches </w:t>
            </w:r>
          </w:p>
          <w:p w:rsidRPr="00A7605E" w:rsidR="005A12C6" w:rsidRDefault="005A12C6" w14:paraId="1177A407" w14:textId="77777777">
            <w:pPr>
              <w:rPr>
                <w:rFonts w:cs="Arial"/>
                <w:iCs/>
                <w:szCs w:val="22"/>
              </w:rPr>
            </w:pPr>
          </w:p>
          <w:p w:rsidRPr="00A7605E" w:rsidR="0053673F" w:rsidP="00BF46B7" w:rsidRDefault="0053673F" w14:paraId="35DC6687" w14:textId="77777777">
            <w:pPr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1F52B600" w14:textId="77777777">
        <w:tc>
          <w:tcPr>
            <w:tcW w:w="9039" w:type="dxa"/>
            <w:gridSpan w:val="2"/>
          </w:tcPr>
          <w:p w:rsidRPr="00A7605E" w:rsidR="00E52BAE" w:rsidP="00A7605E" w:rsidRDefault="00E52BAE" w14:paraId="788560CA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2FDF29C8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6B05DF73" w14:textId="77777777">
        <w:tc>
          <w:tcPr>
            <w:tcW w:w="9039" w:type="dxa"/>
            <w:gridSpan w:val="2"/>
          </w:tcPr>
          <w:p w:rsidRPr="00BF46B7" w:rsidR="00684CC0" w:rsidP="00BF46B7" w:rsidRDefault="00BF46B7" w14:paraId="431CD765" w14:textId="77777777">
            <w:pPr>
              <w:autoSpaceDE w:val="0"/>
              <w:autoSpaceDN w:val="0"/>
              <w:adjustRightInd w:val="0"/>
              <w:ind w:left="708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Opmerking bij punt 7:</w:t>
            </w:r>
            <w:r>
              <w:rPr>
                <w:rFonts w:cs="Arial"/>
                <w:b/>
                <w:szCs w:val="22"/>
              </w:rPr>
              <w:br/>
            </w:r>
            <w:r w:rsidRPr="00BF46B7" w:rsidR="00545D7D">
              <w:rPr>
                <w:rFonts w:cs="Arial"/>
                <w:szCs w:val="22"/>
              </w:rPr>
              <w:t xml:space="preserve">Het aangeven van de eventuele blokken is voldoende. Het is niet nodig om </w:t>
            </w:r>
            <w:r w:rsidR="00FF7045">
              <w:rPr>
                <w:rFonts w:cs="Arial"/>
                <w:szCs w:val="22"/>
              </w:rPr>
              <w:t xml:space="preserve">hier al </w:t>
            </w:r>
            <w:r w:rsidRPr="00BF46B7" w:rsidR="00545D7D">
              <w:rPr>
                <w:rFonts w:cs="Arial"/>
                <w:szCs w:val="22"/>
              </w:rPr>
              <w:t>s</w:t>
            </w:r>
            <w:r w:rsidRPr="00BF46B7" w:rsidR="00684CC0">
              <w:rPr>
                <w:rFonts w:cs="Arial"/>
                <w:szCs w:val="22"/>
              </w:rPr>
              <w:t xml:space="preserve">uggesties voor namen van genodigden </w:t>
            </w:r>
            <w:r w:rsidRPr="00BF46B7" w:rsidR="00545D7D">
              <w:rPr>
                <w:rFonts w:cs="Arial"/>
                <w:szCs w:val="22"/>
              </w:rPr>
              <w:t xml:space="preserve">in te </w:t>
            </w:r>
            <w:r w:rsidRPr="00BF46B7" w:rsidR="00684CC0">
              <w:rPr>
                <w:rFonts w:cs="Arial"/>
                <w:szCs w:val="22"/>
              </w:rPr>
              <w:t xml:space="preserve">invullen. Nadat de commissie </w:t>
            </w:r>
            <w:r w:rsidRPr="00BF46B7" w:rsidR="00545D7D">
              <w:rPr>
                <w:rFonts w:cs="Arial"/>
                <w:szCs w:val="22"/>
              </w:rPr>
              <w:t xml:space="preserve">heeft ingestemd met het voorstel tot het houden van </w:t>
            </w:r>
            <w:r w:rsidRPr="00BF46B7" w:rsidR="00684CC0">
              <w:rPr>
                <w:rFonts w:cs="Arial"/>
                <w:szCs w:val="22"/>
              </w:rPr>
              <w:t>een rondetafelgesprek</w:t>
            </w:r>
            <w:r>
              <w:rPr>
                <w:rFonts w:cs="Arial"/>
                <w:szCs w:val="22"/>
              </w:rPr>
              <w:t>/</w:t>
            </w:r>
            <w:r w:rsidRPr="00BF46B7" w:rsidR="00684CC0">
              <w:rPr>
                <w:rFonts w:cs="Arial"/>
                <w:szCs w:val="22"/>
              </w:rPr>
              <w:t>hoorzitting</w:t>
            </w:r>
            <w:r w:rsidRPr="00BF46B7" w:rsidR="00545D7D">
              <w:rPr>
                <w:rFonts w:cs="Arial"/>
                <w:szCs w:val="22"/>
              </w:rPr>
              <w:t xml:space="preserve">, </w:t>
            </w:r>
            <w:r w:rsidRPr="00BF46B7" w:rsidR="00684CC0">
              <w:rPr>
                <w:rFonts w:cs="Arial"/>
                <w:szCs w:val="22"/>
              </w:rPr>
              <w:t xml:space="preserve">zal via een </w:t>
            </w:r>
            <w:r w:rsidRPr="00BF46B7" w:rsidR="00545D7D">
              <w:rPr>
                <w:rFonts w:cs="Arial"/>
                <w:szCs w:val="22"/>
              </w:rPr>
              <w:t xml:space="preserve">separate </w:t>
            </w:r>
            <w:r w:rsidRPr="00BF46B7" w:rsidR="00684CC0">
              <w:rPr>
                <w:rFonts w:cs="Arial"/>
                <w:szCs w:val="22"/>
              </w:rPr>
              <w:t xml:space="preserve">emailprocedure </w:t>
            </w:r>
            <w:r w:rsidRPr="00BF46B7">
              <w:rPr>
                <w:rFonts w:cs="Arial"/>
                <w:szCs w:val="22"/>
              </w:rPr>
              <w:t xml:space="preserve">aan de fracties </w:t>
            </w:r>
            <w:r w:rsidRPr="00BF46B7" w:rsidR="00684CC0">
              <w:rPr>
                <w:rFonts w:cs="Arial"/>
                <w:szCs w:val="22"/>
              </w:rPr>
              <w:t xml:space="preserve">worden </w:t>
            </w:r>
            <w:r w:rsidR="009932E9">
              <w:rPr>
                <w:rFonts w:cs="Arial"/>
                <w:szCs w:val="22"/>
              </w:rPr>
              <w:t xml:space="preserve">gevraagd </w:t>
            </w:r>
            <w:r w:rsidRPr="00BF46B7" w:rsidR="00684CC0">
              <w:rPr>
                <w:rFonts w:cs="Arial"/>
                <w:szCs w:val="22"/>
              </w:rPr>
              <w:t>suggesties</w:t>
            </w:r>
            <w:r w:rsidRPr="00BF46B7">
              <w:rPr>
                <w:rFonts w:cs="Arial"/>
                <w:szCs w:val="22"/>
              </w:rPr>
              <w:t xml:space="preserve"> voor genodigden aan te leveren.</w:t>
            </w:r>
          </w:p>
          <w:p w:rsidR="00684CC0" w:rsidP="00A7605E" w:rsidRDefault="00684CC0" w14:paraId="44801CC7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Pr="00A7605E" w:rsidR="00334418" w:rsidP="009932E9" w:rsidRDefault="00E52BAE" w14:paraId="01DCC508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Maximaal aantal genodigden (per blok):</w:t>
            </w:r>
            <w:r w:rsidR="00BE15BD">
              <w:rPr>
                <w:rFonts w:cs="Arial"/>
                <w:b/>
                <w:szCs w:val="22"/>
              </w:rPr>
              <w:t xml:space="preserve"> </w:t>
            </w:r>
            <w:r w:rsidR="00B822E2"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6817" w:type="dxa"/>
          </w:tcPr>
          <w:p w:rsidRPr="00A7605E" w:rsidR="00E52BAE" w:rsidP="00A7605E" w:rsidRDefault="00E52BAE" w14:paraId="0D7F6301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 w14:paraId="6F395BC5" w14:textId="77777777">
        <w:tc>
          <w:tcPr>
            <w:tcW w:w="9039" w:type="dxa"/>
            <w:gridSpan w:val="2"/>
          </w:tcPr>
          <w:p w:rsidRPr="00A7605E" w:rsidR="00E52BAE" w:rsidP="00A7605E" w:rsidRDefault="00E52BAE" w14:paraId="5B5A378F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2F1261A9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1D090CD2" w14:textId="77777777">
        <w:tc>
          <w:tcPr>
            <w:tcW w:w="9039" w:type="dxa"/>
            <w:gridSpan w:val="2"/>
          </w:tcPr>
          <w:p w:rsidRPr="00FF7045" w:rsidR="00334418" w:rsidP="00334418" w:rsidRDefault="005A12C6" w14:paraId="06828A6F" w14:textId="777777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FF7045">
              <w:rPr>
                <w:rFonts w:cs="Arial"/>
                <w:b/>
                <w:szCs w:val="22"/>
              </w:rPr>
              <w:t>Tijdsduur</w:t>
            </w:r>
            <w:r w:rsidRPr="00FF7045" w:rsidR="00E1358B">
              <w:rPr>
                <w:rFonts w:cs="Arial"/>
                <w:b/>
                <w:szCs w:val="22"/>
              </w:rPr>
              <w:t xml:space="preserve"> per blok</w:t>
            </w:r>
            <w:r w:rsidR="00BE15BD">
              <w:rPr>
                <w:rFonts w:cs="Arial"/>
                <w:b/>
                <w:szCs w:val="22"/>
              </w:rPr>
              <w:t>:</w:t>
            </w:r>
            <w:r w:rsidR="00B822E2">
              <w:rPr>
                <w:rFonts w:cs="Arial"/>
                <w:b/>
                <w:szCs w:val="22"/>
              </w:rPr>
              <w:t xml:space="preserve"> </w:t>
            </w:r>
            <w:r w:rsidR="00083FFD">
              <w:rPr>
                <w:rFonts w:cs="Arial"/>
                <w:b/>
                <w:szCs w:val="22"/>
              </w:rPr>
              <w:t>45</w:t>
            </w:r>
            <w:r w:rsidR="00B822E2">
              <w:rPr>
                <w:rFonts w:cs="Arial"/>
                <w:b/>
                <w:szCs w:val="22"/>
              </w:rPr>
              <w:t xml:space="preserve"> minuten</w:t>
            </w:r>
          </w:p>
          <w:p w:rsidR="0053673F" w:rsidP="0053673F" w:rsidRDefault="0053673F" w14:paraId="59056D29" w14:textId="77777777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Cs w:val="22"/>
              </w:rPr>
            </w:pPr>
          </w:p>
          <w:p w:rsidR="002566B9" w:rsidP="001120D1" w:rsidRDefault="0053673F" w14:paraId="40399782" w14:textId="77777777">
            <w:pPr>
              <w:numPr>
                <w:ilvl w:val="0"/>
                <w:numId w:val="5"/>
              </w:numPr>
              <w:autoSpaceDE w:val="0"/>
              <w:autoSpaceDN w:val="0"/>
              <w:rPr>
                <w:rFonts w:cs="Arial"/>
                <w:b/>
                <w:bCs/>
                <w:szCs w:val="22"/>
              </w:rPr>
            </w:pPr>
            <w:r w:rsidRPr="009932E9">
              <w:rPr>
                <w:rFonts w:cs="Arial"/>
                <w:b/>
                <w:szCs w:val="22"/>
              </w:rPr>
              <w:t xml:space="preserve"> Gebruik van een wetenschappelijke netwerkverkenning?</w:t>
            </w:r>
            <w:r w:rsidR="00BE15BD">
              <w:rPr>
                <w:rFonts w:cs="Arial"/>
                <w:b/>
                <w:szCs w:val="22"/>
              </w:rPr>
              <w:t xml:space="preserve"> </w:t>
            </w:r>
            <w:r w:rsidRPr="00B822E2" w:rsidR="00B822E2">
              <w:rPr>
                <w:rFonts w:cs="Arial"/>
                <w:bCs/>
                <w:szCs w:val="22"/>
              </w:rPr>
              <w:t>Nee</w:t>
            </w:r>
            <w:r w:rsidRPr="009932E9" w:rsidR="00334418">
              <w:rPr>
                <w:rFonts w:cs="Arial"/>
                <w:b/>
                <w:szCs w:val="22"/>
              </w:rPr>
              <w:br/>
            </w:r>
            <w:r w:rsidRPr="009932E9" w:rsidR="00334418">
              <w:rPr>
                <w:rFonts w:cs="Arial"/>
                <w:b/>
                <w:szCs w:val="22"/>
              </w:rPr>
              <w:br/>
            </w:r>
            <w:r w:rsidR="002566B9">
              <w:rPr>
                <w:b/>
                <w:bCs/>
              </w:rPr>
              <w:t>Opmerking bij punt 10:</w:t>
            </w:r>
            <w:r w:rsidR="002566B9">
              <w:t xml:space="preserve">. </w:t>
            </w:r>
          </w:p>
          <w:p w:rsidRPr="002566B9" w:rsidR="002566B9" w:rsidP="002566B9" w:rsidRDefault="002566B9" w14:paraId="7C76395A" w14:textId="77777777">
            <w:pPr>
              <w:pStyle w:val="Lijstalinea"/>
              <w:rPr>
                <w:rFonts w:eastAsia="Calibri" w:cs="Arial"/>
              </w:rPr>
            </w:pPr>
            <w:r>
              <w:t>Een netwerkverkenning houdt in dat de wetenschapsorganisaties (</w:t>
            </w:r>
            <w:hyperlink w:history="1" r:id="rId12">
              <w:r>
                <w:rPr>
                  <w:rStyle w:val="Hyperlink"/>
                </w:rPr>
                <w:t>De Jonge Akademie</w:t>
              </w:r>
            </w:hyperlink>
            <w:r>
              <w:t xml:space="preserve">, </w:t>
            </w:r>
            <w:hyperlink w:history="1" r:id="rId13">
              <w:r>
                <w:rPr>
                  <w:rStyle w:val="Hyperlink"/>
                </w:rPr>
                <w:t>KNAW</w:t>
              </w:r>
            </w:hyperlink>
            <w:r>
              <w:t xml:space="preserve">, </w:t>
            </w:r>
            <w:hyperlink w:history="1" r:id="rId14">
              <w:r>
                <w:rPr>
                  <w:rStyle w:val="Hyperlink"/>
                </w:rPr>
                <w:t>NFU</w:t>
              </w:r>
            </w:hyperlink>
            <w:r>
              <w:t xml:space="preserve">, </w:t>
            </w:r>
            <w:hyperlink w:history="1" r:id="rId15">
              <w:r>
                <w:rPr>
                  <w:rStyle w:val="Hyperlink"/>
                </w:rPr>
                <w:t>NWO</w:t>
              </w:r>
            </w:hyperlink>
            <w:r>
              <w:t xml:space="preserve">, </w:t>
            </w:r>
            <w:hyperlink w:history="1" r:id="rId16">
              <w:r>
                <w:rPr>
                  <w:rStyle w:val="Hyperlink"/>
                </w:rPr>
                <w:t>TNO</w:t>
              </w:r>
            </w:hyperlink>
            <w:r>
              <w:t xml:space="preserve"> en </w:t>
            </w:r>
            <w:hyperlink w:history="1" r:id="rId17">
              <w:r>
                <w:rPr>
                  <w:rStyle w:val="Hyperlink"/>
                </w:rPr>
                <w:t>UNL</w:t>
              </w:r>
            </w:hyperlink>
            <w:r>
              <w:t xml:space="preserve">) verkennen of er wetenschappers zijn die de commissie vanuit hun expertise kunnen informeren over het onderwerp. De Tweede Kamer werkt met deze organisaties samen onder de vlag van </w:t>
            </w:r>
            <w:hyperlink w:history="1" r:id="rId18">
              <w:r>
                <w:rPr>
                  <w:rStyle w:val="Hyperlink"/>
                </w:rPr>
                <w:t>Parlement &amp; Wetenschap</w:t>
              </w:r>
            </w:hyperlink>
            <w:r>
              <w:t xml:space="preserve">. </w:t>
            </w:r>
            <w:r>
              <w:rPr>
                <w:u w:val="single"/>
              </w:rPr>
              <w:t>Een verkenning duurt 1,5 à 2 weken</w:t>
            </w:r>
            <w:r>
              <w:t>. Bij een verzoek om een netwerkverkenning is van belang de vraag aan de wetenschap duidelijk te formuleren: welke weten</w:t>
            </w:r>
            <w:r>
              <w:softHyphen/>
              <w:t>schappelijke vraag wilt u beantwoord hebben; vanuit welke discipline? De staf kan u informeren over de mogelijkheden, of met u van gedachten wisselen over de formulering van de vraag.</w:t>
            </w:r>
          </w:p>
          <w:p w:rsidRPr="00A7605E" w:rsidR="0053673F" w:rsidP="00A56149" w:rsidRDefault="0053673F" w14:paraId="5E833DCF" w14:textId="77777777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6BE721D0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 w14:paraId="671C1FBA" w14:textId="77777777">
        <w:tc>
          <w:tcPr>
            <w:tcW w:w="9039" w:type="dxa"/>
            <w:gridSpan w:val="2"/>
          </w:tcPr>
          <w:p w:rsidRPr="00A7605E" w:rsidR="00E52BAE" w:rsidP="00A7605E" w:rsidRDefault="00E52BAE" w14:paraId="7F3D8943" w14:textId="77777777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76C7B949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011AD9E3" w14:textId="77777777">
        <w:tc>
          <w:tcPr>
            <w:tcW w:w="9039" w:type="dxa"/>
            <w:gridSpan w:val="2"/>
          </w:tcPr>
          <w:p w:rsidRPr="00A7605E" w:rsidR="00E52BAE" w:rsidP="00A7605E" w:rsidRDefault="00E52BAE" w14:paraId="3CFA064D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5ED088BE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 w14:paraId="73404979" w14:textId="77777777">
        <w:tc>
          <w:tcPr>
            <w:tcW w:w="9039" w:type="dxa"/>
            <w:gridSpan w:val="2"/>
          </w:tcPr>
          <w:p w:rsidRPr="00A7605E" w:rsidR="00E52BAE" w:rsidP="00A7605E" w:rsidRDefault="00E52BAE" w14:paraId="7E258C6A" w14:textId="77777777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</w:tcPr>
          <w:p w:rsidRPr="00A7605E" w:rsidR="00E52BAE" w:rsidP="00A7605E" w:rsidRDefault="00E52BAE" w14:paraId="0188AC22" w14:textId="77777777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9A0CDF" w:rsidR="00023614" w:rsidP="00023614" w:rsidRDefault="00023614" w14:paraId="044F9ED9" w14:textId="77777777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99B3" w14:textId="77777777" w:rsidR="00C276EA" w:rsidRDefault="00C276EA">
      <w:r>
        <w:separator/>
      </w:r>
    </w:p>
  </w:endnote>
  <w:endnote w:type="continuationSeparator" w:id="0">
    <w:p w14:paraId="0494DFD1" w14:textId="77777777" w:rsidR="00C276EA" w:rsidRDefault="00C2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E883" w14:textId="77777777" w:rsidR="00F11BB6" w:rsidRDefault="00F11B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26A5" w14:textId="77777777" w:rsidR="00F11BB6" w:rsidRDefault="00F11BB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ED73" w14:textId="77777777" w:rsidR="00F11BB6" w:rsidRDefault="00F11B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D349" w14:textId="77777777" w:rsidR="00C276EA" w:rsidRDefault="00C276EA">
      <w:r>
        <w:separator/>
      </w:r>
    </w:p>
  </w:footnote>
  <w:footnote w:type="continuationSeparator" w:id="0">
    <w:p w14:paraId="1F682371" w14:textId="77777777" w:rsidR="00C276EA" w:rsidRDefault="00C27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875A" w14:textId="77777777" w:rsidR="00F11BB6" w:rsidRDefault="00F11B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8E2B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 xml:space="preserve">ommissie voor </w:t>
    </w:r>
    <w:r w:rsidR="00636F8E">
      <w:rPr>
        <w:rFonts w:ascii="Calibri" w:hAnsi="Calibri"/>
        <w:i/>
        <w:sz w:val="20"/>
        <w:szCs w:val="20"/>
      </w:rPr>
      <w:t>Klimaat en Groene Groei</w:t>
    </w:r>
    <w:r w:rsidR="00F11BB6">
      <w:rPr>
        <w:rFonts w:ascii="Calibri" w:hAnsi="Calibri"/>
        <w:i/>
        <w:sz w:val="20"/>
        <w:szCs w:val="20"/>
      </w:rPr>
      <w:tab/>
    </w:r>
    <w:r w:rsidRPr="00E52BAE">
      <w:rPr>
        <w:rFonts w:ascii="Calibri" w:hAnsi="Calibri"/>
        <w:i/>
        <w:sz w:val="20"/>
        <w:szCs w:val="20"/>
      </w:rPr>
      <w:tab/>
    </w:r>
    <w:r w:rsidR="00D64B3F">
      <w:rPr>
        <w:rFonts w:ascii="Calibri" w:hAnsi="Calibri"/>
        <w:i/>
        <w:sz w:val="20"/>
        <w:szCs w:val="20"/>
      </w:rPr>
      <w:t>c</w:t>
    </w:r>
    <w:r w:rsidRPr="00E52BAE">
      <w:rPr>
        <w:rFonts w:ascii="Calibri" w:hAnsi="Calibri"/>
        <w:i/>
        <w:sz w:val="20"/>
        <w:szCs w:val="20"/>
      </w:rPr>
      <w:t>ie.</w:t>
    </w:r>
    <w:r w:rsidR="00636F8E">
      <w:rPr>
        <w:rFonts w:ascii="Calibri" w:hAnsi="Calibri"/>
        <w:i/>
        <w:sz w:val="20"/>
        <w:szCs w:val="20"/>
      </w:rPr>
      <w:t>kgg</w:t>
    </w:r>
    <w:r w:rsidRPr="00E52BAE">
      <w:rPr>
        <w:rFonts w:ascii="Calibri" w:hAnsi="Calibri"/>
        <w:i/>
        <w:sz w:val="20"/>
        <w:szCs w:val="20"/>
      </w:rPr>
      <w:t>@tweedekamer.nl</w:t>
    </w:r>
  </w:p>
  <w:p w14:paraId="2262BF72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</w:t>
    </w:r>
    <w:r w:rsidR="00334418">
      <w:rPr>
        <w:rFonts w:ascii="Calibri" w:hAnsi="Calibri"/>
        <w:i/>
        <w:sz w:val="20"/>
        <w:szCs w:val="20"/>
      </w:rPr>
      <w:t>-</w:t>
    </w:r>
    <w:r w:rsidRPr="00E52BAE">
      <w:rPr>
        <w:rFonts w:ascii="Calibri" w:hAnsi="Calibri"/>
        <w:i/>
        <w:sz w:val="20"/>
        <w:szCs w:val="20"/>
      </w:rPr>
      <w:t>Generaal</w:t>
    </w:r>
  </w:p>
  <w:p w14:paraId="41573841" w14:textId="77777777"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pict w14:anchorId="31CA67C7">
        <v:rect id="_x0000_i1025" style="width:0;height:1.5pt" o:hralign="center" o:hrstd="t" o:hr="t" fillcolor="#aca899" stroked="f"/>
      </w:pict>
    </w:r>
  </w:p>
  <w:p w14:paraId="4A15E629" w14:textId="77777777"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976B" w14:textId="77777777" w:rsidR="00F11BB6" w:rsidRDefault="00F11B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2A91"/>
    <w:multiLevelType w:val="hybridMultilevel"/>
    <w:tmpl w:val="A2DA1226"/>
    <w:lvl w:ilvl="0" w:tplc="2B4A241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75162D"/>
    <w:multiLevelType w:val="hybridMultilevel"/>
    <w:tmpl w:val="4A343194"/>
    <w:lvl w:ilvl="0" w:tplc="390033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A1E495B"/>
    <w:multiLevelType w:val="hybridMultilevel"/>
    <w:tmpl w:val="F1ACD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07458">
    <w:abstractNumId w:val="0"/>
  </w:num>
  <w:num w:numId="2" w16cid:durableId="72165598">
    <w:abstractNumId w:val="1"/>
  </w:num>
  <w:num w:numId="3" w16cid:durableId="1961182529">
    <w:abstractNumId w:val="3"/>
  </w:num>
  <w:num w:numId="4" w16cid:durableId="552347627">
    <w:abstractNumId w:val="5"/>
  </w:num>
  <w:num w:numId="5" w16cid:durableId="762607022">
    <w:abstractNumId w:val="7"/>
  </w:num>
  <w:num w:numId="6" w16cid:durableId="1666593908">
    <w:abstractNumId w:val="6"/>
  </w:num>
  <w:num w:numId="7" w16cid:durableId="3054792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5705774">
    <w:abstractNumId w:val="4"/>
  </w:num>
  <w:num w:numId="9" w16cid:durableId="1938244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14"/>
    <w:rsid w:val="000065E7"/>
    <w:rsid w:val="00007221"/>
    <w:rsid w:val="000119C3"/>
    <w:rsid w:val="00012857"/>
    <w:rsid w:val="00023614"/>
    <w:rsid w:val="000636ED"/>
    <w:rsid w:val="0007167F"/>
    <w:rsid w:val="00076B0A"/>
    <w:rsid w:val="00083FFD"/>
    <w:rsid w:val="000862A6"/>
    <w:rsid w:val="00096D04"/>
    <w:rsid w:val="000A01EE"/>
    <w:rsid w:val="000B5295"/>
    <w:rsid w:val="000C2239"/>
    <w:rsid w:val="000C3761"/>
    <w:rsid w:val="000D182A"/>
    <w:rsid w:val="000E49A2"/>
    <w:rsid w:val="000E6983"/>
    <w:rsid w:val="000E73C8"/>
    <w:rsid w:val="000E7A73"/>
    <w:rsid w:val="000F0CA1"/>
    <w:rsid w:val="000F12F6"/>
    <w:rsid w:val="000F4F01"/>
    <w:rsid w:val="0010593D"/>
    <w:rsid w:val="00110753"/>
    <w:rsid w:val="001120D1"/>
    <w:rsid w:val="00114A8F"/>
    <w:rsid w:val="00116A1A"/>
    <w:rsid w:val="00116C69"/>
    <w:rsid w:val="00126E06"/>
    <w:rsid w:val="00132520"/>
    <w:rsid w:val="0013350D"/>
    <w:rsid w:val="001402C3"/>
    <w:rsid w:val="00144F6F"/>
    <w:rsid w:val="0014569A"/>
    <w:rsid w:val="00145F40"/>
    <w:rsid w:val="001542D9"/>
    <w:rsid w:val="00156B42"/>
    <w:rsid w:val="00162740"/>
    <w:rsid w:val="0016279F"/>
    <w:rsid w:val="00164C63"/>
    <w:rsid w:val="00166284"/>
    <w:rsid w:val="001663B0"/>
    <w:rsid w:val="001666A3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55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1F7341"/>
    <w:rsid w:val="00200B82"/>
    <w:rsid w:val="00200DFC"/>
    <w:rsid w:val="00202B28"/>
    <w:rsid w:val="002047F0"/>
    <w:rsid w:val="002064E8"/>
    <w:rsid w:val="00217E29"/>
    <w:rsid w:val="0022493E"/>
    <w:rsid w:val="002307B4"/>
    <w:rsid w:val="002566B9"/>
    <w:rsid w:val="00261ABF"/>
    <w:rsid w:val="00263CFE"/>
    <w:rsid w:val="00263DEF"/>
    <w:rsid w:val="002829EB"/>
    <w:rsid w:val="002846C5"/>
    <w:rsid w:val="0028560E"/>
    <w:rsid w:val="002913D5"/>
    <w:rsid w:val="00297DE3"/>
    <w:rsid w:val="002A0594"/>
    <w:rsid w:val="002A37C3"/>
    <w:rsid w:val="002B2C8A"/>
    <w:rsid w:val="002B2DA8"/>
    <w:rsid w:val="002B488C"/>
    <w:rsid w:val="002C7AD8"/>
    <w:rsid w:val="002C7F6C"/>
    <w:rsid w:val="002D6F80"/>
    <w:rsid w:val="002E0F5D"/>
    <w:rsid w:val="002E3439"/>
    <w:rsid w:val="002E6334"/>
    <w:rsid w:val="002F1602"/>
    <w:rsid w:val="002F65DB"/>
    <w:rsid w:val="00304D89"/>
    <w:rsid w:val="00312B57"/>
    <w:rsid w:val="00320BD9"/>
    <w:rsid w:val="0032121B"/>
    <w:rsid w:val="00326284"/>
    <w:rsid w:val="00334418"/>
    <w:rsid w:val="0033487E"/>
    <w:rsid w:val="00335AA7"/>
    <w:rsid w:val="003442D7"/>
    <w:rsid w:val="00360980"/>
    <w:rsid w:val="0036611C"/>
    <w:rsid w:val="00380327"/>
    <w:rsid w:val="00381EE8"/>
    <w:rsid w:val="003846B2"/>
    <w:rsid w:val="00396DEF"/>
    <w:rsid w:val="003977C8"/>
    <w:rsid w:val="003A04D7"/>
    <w:rsid w:val="003A178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24CE"/>
    <w:rsid w:val="003E4628"/>
    <w:rsid w:val="003E575D"/>
    <w:rsid w:val="003F0267"/>
    <w:rsid w:val="00407E62"/>
    <w:rsid w:val="00415F1F"/>
    <w:rsid w:val="00416E81"/>
    <w:rsid w:val="00423B3F"/>
    <w:rsid w:val="004242EF"/>
    <w:rsid w:val="00442897"/>
    <w:rsid w:val="0044653B"/>
    <w:rsid w:val="00446BA7"/>
    <w:rsid w:val="00455C60"/>
    <w:rsid w:val="004641CE"/>
    <w:rsid w:val="00480300"/>
    <w:rsid w:val="00483338"/>
    <w:rsid w:val="00497388"/>
    <w:rsid w:val="004A7EA6"/>
    <w:rsid w:val="004B44E7"/>
    <w:rsid w:val="004B4508"/>
    <w:rsid w:val="004C5F85"/>
    <w:rsid w:val="004D73F2"/>
    <w:rsid w:val="004D79C0"/>
    <w:rsid w:val="004E6FC2"/>
    <w:rsid w:val="004F1129"/>
    <w:rsid w:val="00501F19"/>
    <w:rsid w:val="0050634D"/>
    <w:rsid w:val="0051744A"/>
    <w:rsid w:val="005179D7"/>
    <w:rsid w:val="005268F3"/>
    <w:rsid w:val="00530836"/>
    <w:rsid w:val="00534139"/>
    <w:rsid w:val="0053673F"/>
    <w:rsid w:val="00545D7D"/>
    <w:rsid w:val="00572607"/>
    <w:rsid w:val="00574716"/>
    <w:rsid w:val="0057544C"/>
    <w:rsid w:val="0058378D"/>
    <w:rsid w:val="00584A0F"/>
    <w:rsid w:val="00587E1F"/>
    <w:rsid w:val="0059070C"/>
    <w:rsid w:val="005915FD"/>
    <w:rsid w:val="005A12C6"/>
    <w:rsid w:val="005A2DA6"/>
    <w:rsid w:val="005A67D8"/>
    <w:rsid w:val="005B4D5A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04110"/>
    <w:rsid w:val="00614F6A"/>
    <w:rsid w:val="00620226"/>
    <w:rsid w:val="00624927"/>
    <w:rsid w:val="00626918"/>
    <w:rsid w:val="0063679D"/>
    <w:rsid w:val="00636F8E"/>
    <w:rsid w:val="006405FA"/>
    <w:rsid w:val="0064642A"/>
    <w:rsid w:val="00650BE7"/>
    <w:rsid w:val="006515E8"/>
    <w:rsid w:val="00664567"/>
    <w:rsid w:val="00666AC8"/>
    <w:rsid w:val="006703EC"/>
    <w:rsid w:val="00670B8F"/>
    <w:rsid w:val="006728D5"/>
    <w:rsid w:val="00677A23"/>
    <w:rsid w:val="00684CC0"/>
    <w:rsid w:val="006A25BC"/>
    <w:rsid w:val="006A394D"/>
    <w:rsid w:val="006C3672"/>
    <w:rsid w:val="006D05FB"/>
    <w:rsid w:val="006D2653"/>
    <w:rsid w:val="006D38B8"/>
    <w:rsid w:val="006D4743"/>
    <w:rsid w:val="006E2041"/>
    <w:rsid w:val="006E2CC3"/>
    <w:rsid w:val="006F298B"/>
    <w:rsid w:val="007028A5"/>
    <w:rsid w:val="00707B53"/>
    <w:rsid w:val="007223E6"/>
    <w:rsid w:val="0072627A"/>
    <w:rsid w:val="00732A11"/>
    <w:rsid w:val="0074126C"/>
    <w:rsid w:val="00752DDC"/>
    <w:rsid w:val="00754719"/>
    <w:rsid w:val="007648B9"/>
    <w:rsid w:val="0076732A"/>
    <w:rsid w:val="0077289C"/>
    <w:rsid w:val="0078139C"/>
    <w:rsid w:val="00782FBC"/>
    <w:rsid w:val="007926CB"/>
    <w:rsid w:val="00792F80"/>
    <w:rsid w:val="007A3A2C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5064"/>
    <w:rsid w:val="008175FA"/>
    <w:rsid w:val="00821A2A"/>
    <w:rsid w:val="00831329"/>
    <w:rsid w:val="008374AB"/>
    <w:rsid w:val="00841444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F4AA4"/>
    <w:rsid w:val="009141AB"/>
    <w:rsid w:val="009271F2"/>
    <w:rsid w:val="009275D9"/>
    <w:rsid w:val="00933658"/>
    <w:rsid w:val="00936705"/>
    <w:rsid w:val="0094069C"/>
    <w:rsid w:val="00943399"/>
    <w:rsid w:val="0094425F"/>
    <w:rsid w:val="009457FB"/>
    <w:rsid w:val="0095309D"/>
    <w:rsid w:val="00957187"/>
    <w:rsid w:val="009621C0"/>
    <w:rsid w:val="0096339D"/>
    <w:rsid w:val="0096496B"/>
    <w:rsid w:val="009657FA"/>
    <w:rsid w:val="00970372"/>
    <w:rsid w:val="009912BD"/>
    <w:rsid w:val="009932E9"/>
    <w:rsid w:val="00996ABA"/>
    <w:rsid w:val="009A7F43"/>
    <w:rsid w:val="009C1251"/>
    <w:rsid w:val="009E0BDC"/>
    <w:rsid w:val="009E1EE9"/>
    <w:rsid w:val="00A015A8"/>
    <w:rsid w:val="00A12A2B"/>
    <w:rsid w:val="00A34412"/>
    <w:rsid w:val="00A3794F"/>
    <w:rsid w:val="00A37F4E"/>
    <w:rsid w:val="00A44CC7"/>
    <w:rsid w:val="00A54A7D"/>
    <w:rsid w:val="00A55EE0"/>
    <w:rsid w:val="00A56149"/>
    <w:rsid w:val="00A57A5F"/>
    <w:rsid w:val="00A64303"/>
    <w:rsid w:val="00A65A5F"/>
    <w:rsid w:val="00A66F3D"/>
    <w:rsid w:val="00A7605E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6326"/>
    <w:rsid w:val="00B20570"/>
    <w:rsid w:val="00B26918"/>
    <w:rsid w:val="00B27187"/>
    <w:rsid w:val="00B451F6"/>
    <w:rsid w:val="00B50864"/>
    <w:rsid w:val="00B54D1A"/>
    <w:rsid w:val="00B54F2C"/>
    <w:rsid w:val="00B635BC"/>
    <w:rsid w:val="00B640C5"/>
    <w:rsid w:val="00B70318"/>
    <w:rsid w:val="00B70707"/>
    <w:rsid w:val="00B74139"/>
    <w:rsid w:val="00B77BBE"/>
    <w:rsid w:val="00B822E2"/>
    <w:rsid w:val="00B86DE1"/>
    <w:rsid w:val="00B8736A"/>
    <w:rsid w:val="00B904A6"/>
    <w:rsid w:val="00B93E23"/>
    <w:rsid w:val="00B93F58"/>
    <w:rsid w:val="00BA6129"/>
    <w:rsid w:val="00BB5E0D"/>
    <w:rsid w:val="00BB7915"/>
    <w:rsid w:val="00BC01D5"/>
    <w:rsid w:val="00BE123B"/>
    <w:rsid w:val="00BE15BD"/>
    <w:rsid w:val="00BE1BB7"/>
    <w:rsid w:val="00BE20D0"/>
    <w:rsid w:val="00BE4A0C"/>
    <w:rsid w:val="00BE56DA"/>
    <w:rsid w:val="00BE6E6C"/>
    <w:rsid w:val="00BE7458"/>
    <w:rsid w:val="00BF46B7"/>
    <w:rsid w:val="00BF4CB8"/>
    <w:rsid w:val="00BF5EC9"/>
    <w:rsid w:val="00C007BE"/>
    <w:rsid w:val="00C008C4"/>
    <w:rsid w:val="00C05C56"/>
    <w:rsid w:val="00C07BDA"/>
    <w:rsid w:val="00C15E15"/>
    <w:rsid w:val="00C25402"/>
    <w:rsid w:val="00C2693D"/>
    <w:rsid w:val="00C276EA"/>
    <w:rsid w:val="00C32176"/>
    <w:rsid w:val="00C36309"/>
    <w:rsid w:val="00C3681C"/>
    <w:rsid w:val="00C42685"/>
    <w:rsid w:val="00C518C5"/>
    <w:rsid w:val="00C74211"/>
    <w:rsid w:val="00C76CD3"/>
    <w:rsid w:val="00C77D55"/>
    <w:rsid w:val="00C80C0F"/>
    <w:rsid w:val="00C83C4B"/>
    <w:rsid w:val="00C93DA4"/>
    <w:rsid w:val="00C97EA3"/>
    <w:rsid w:val="00CA2498"/>
    <w:rsid w:val="00CA25DC"/>
    <w:rsid w:val="00CA461F"/>
    <w:rsid w:val="00CB6646"/>
    <w:rsid w:val="00CB7688"/>
    <w:rsid w:val="00CC6627"/>
    <w:rsid w:val="00CE59F1"/>
    <w:rsid w:val="00CF469C"/>
    <w:rsid w:val="00D034D0"/>
    <w:rsid w:val="00D079AD"/>
    <w:rsid w:val="00D1055E"/>
    <w:rsid w:val="00D11C52"/>
    <w:rsid w:val="00D264C1"/>
    <w:rsid w:val="00D26B06"/>
    <w:rsid w:val="00D328DE"/>
    <w:rsid w:val="00D447AC"/>
    <w:rsid w:val="00D555CC"/>
    <w:rsid w:val="00D64B3F"/>
    <w:rsid w:val="00D65D23"/>
    <w:rsid w:val="00D66DB7"/>
    <w:rsid w:val="00D702D6"/>
    <w:rsid w:val="00D751AB"/>
    <w:rsid w:val="00D817F5"/>
    <w:rsid w:val="00D96A5B"/>
    <w:rsid w:val="00DB19B9"/>
    <w:rsid w:val="00DB418F"/>
    <w:rsid w:val="00DB46AC"/>
    <w:rsid w:val="00DC089A"/>
    <w:rsid w:val="00DC0BA2"/>
    <w:rsid w:val="00DD45D0"/>
    <w:rsid w:val="00DE3513"/>
    <w:rsid w:val="00E01D45"/>
    <w:rsid w:val="00E039D9"/>
    <w:rsid w:val="00E1310D"/>
    <w:rsid w:val="00E133E9"/>
    <w:rsid w:val="00E1358B"/>
    <w:rsid w:val="00E143CA"/>
    <w:rsid w:val="00E26A7B"/>
    <w:rsid w:val="00E32012"/>
    <w:rsid w:val="00E35644"/>
    <w:rsid w:val="00E37E80"/>
    <w:rsid w:val="00E40154"/>
    <w:rsid w:val="00E41E22"/>
    <w:rsid w:val="00E42709"/>
    <w:rsid w:val="00E47C71"/>
    <w:rsid w:val="00E5023B"/>
    <w:rsid w:val="00E52BAE"/>
    <w:rsid w:val="00E60278"/>
    <w:rsid w:val="00E64F83"/>
    <w:rsid w:val="00E76171"/>
    <w:rsid w:val="00E819F9"/>
    <w:rsid w:val="00E8235A"/>
    <w:rsid w:val="00E832BB"/>
    <w:rsid w:val="00E97613"/>
    <w:rsid w:val="00EA2A23"/>
    <w:rsid w:val="00EB6AE4"/>
    <w:rsid w:val="00EC1DB7"/>
    <w:rsid w:val="00ED5FD8"/>
    <w:rsid w:val="00EE291F"/>
    <w:rsid w:val="00EE5BB1"/>
    <w:rsid w:val="00EE649A"/>
    <w:rsid w:val="00EF3D34"/>
    <w:rsid w:val="00EF4756"/>
    <w:rsid w:val="00F047BD"/>
    <w:rsid w:val="00F11BB6"/>
    <w:rsid w:val="00F15542"/>
    <w:rsid w:val="00F16835"/>
    <w:rsid w:val="00F207C2"/>
    <w:rsid w:val="00F22C3B"/>
    <w:rsid w:val="00F36AAF"/>
    <w:rsid w:val="00F4114E"/>
    <w:rsid w:val="00F46693"/>
    <w:rsid w:val="00F513F2"/>
    <w:rsid w:val="00F53048"/>
    <w:rsid w:val="00F70D13"/>
    <w:rsid w:val="00F70E1D"/>
    <w:rsid w:val="00F75B28"/>
    <w:rsid w:val="00F7602C"/>
    <w:rsid w:val="00F80182"/>
    <w:rsid w:val="00F80523"/>
    <w:rsid w:val="00F8265E"/>
    <w:rsid w:val="00F82CE4"/>
    <w:rsid w:val="00F84E27"/>
    <w:rsid w:val="00FA053D"/>
    <w:rsid w:val="00FA0CB5"/>
    <w:rsid w:val="00FB04D0"/>
    <w:rsid w:val="00FB0D24"/>
    <w:rsid w:val="00FB606E"/>
    <w:rsid w:val="00FB7249"/>
    <w:rsid w:val="00FC09B9"/>
    <w:rsid w:val="00FC09FC"/>
    <w:rsid w:val="00FC2537"/>
    <w:rsid w:val="00FD0957"/>
    <w:rsid w:val="00FD2DFF"/>
    <w:rsid w:val="00FD3124"/>
    <w:rsid w:val="00FE76A4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AA66C57"/>
  <w15:chartTrackingRefBased/>
  <w15:docId w15:val="{4FD19F7A-3B25-4DF6-ACA8-5E673AAD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BF46B7"/>
    <w:pPr>
      <w:ind w:left="708"/>
    </w:pPr>
  </w:style>
  <w:style w:type="character" w:styleId="Hyperlink">
    <w:name w:val="Hyperlink"/>
    <w:uiPriority w:val="99"/>
    <w:unhideWhenUsed/>
    <w:rsid w:val="002566B9"/>
    <w:rPr>
      <w:color w:val="0563C1"/>
      <w:u w:val="single"/>
    </w:rPr>
  </w:style>
  <w:style w:type="paragraph" w:styleId="Normaalweb">
    <w:name w:val="Normal (Web)"/>
    <w:basedOn w:val="Standaard"/>
    <w:rsid w:val="0032121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knaw.nl/" TargetMode="External" Id="rId13" /><Relationship Type="http://schemas.openxmlformats.org/officeDocument/2006/relationships/hyperlink" Target="https://parlementenwetenschap.nl/" TargetMode="External" Id="rId18" /><Relationship Type="http://schemas.openxmlformats.org/officeDocument/2006/relationships/theme" Target="theme/theme1.xml" Id="rId26" /><Relationship Type="http://schemas.openxmlformats.org/officeDocument/2006/relationships/footer" Target="footer1.xml" Id="rId21" /><Relationship Type="http://schemas.openxmlformats.org/officeDocument/2006/relationships/styles" Target="styles.xml" Id="rId7" /><Relationship Type="http://schemas.openxmlformats.org/officeDocument/2006/relationships/hyperlink" Target="http://www.dejongeakademie.nl/" TargetMode="External" Id="rId12" /><Relationship Type="http://schemas.openxmlformats.org/officeDocument/2006/relationships/hyperlink" Target="http://www.unl.nl/" TargetMode="External" Id="rId17" /><Relationship Type="http://schemas.openxmlformats.org/officeDocument/2006/relationships/fontTable" Target="fontTable.xml" Id="rId25" /><Relationship Type="http://schemas.openxmlformats.org/officeDocument/2006/relationships/hyperlink" Target="http://www.tno.nl/" TargetMode="External" Id="rId16" /><Relationship Type="http://schemas.openxmlformats.org/officeDocument/2006/relationships/header" Target="header2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3.xml" Id="rId24" /><Relationship Type="http://schemas.openxmlformats.org/officeDocument/2006/relationships/hyperlink" Target="https://www.nwo.nl/over-nwo" TargetMode="External" Id="rId15" /><Relationship Type="http://schemas.openxmlformats.org/officeDocument/2006/relationships/header" Target="header3.xml" Id="rId23" /><Relationship Type="http://schemas.openxmlformats.org/officeDocument/2006/relationships/footnotes" Target="footnotes.xml" Id="rId10" /><Relationship Type="http://schemas.openxmlformats.org/officeDocument/2006/relationships/header" Target="header1.xml" Id="rId19" /><Relationship Type="http://schemas.openxmlformats.org/officeDocument/2006/relationships/webSettings" Target="webSettings.xml" Id="rId9" /><Relationship Type="http://schemas.openxmlformats.org/officeDocument/2006/relationships/hyperlink" Target="http://www.nfu.nl/" TargetMode="External" Id="rId14" /><Relationship Type="http://schemas.openxmlformats.org/officeDocument/2006/relationships/footer" Target="footer2.xml" Id="rId22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349</ap:Words>
  <ap:Characters>1922</ap:Characters>
  <ap:DocSecurity>4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2267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2026-03-11T10:11:00.0000000Z</dcterms:created>
  <dcterms:modified xsi:type="dcterms:W3CDTF">2026-03-11T10:11:00.0000000Z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SFNZ6MXF2HZ5-1258685651-211</vt:lpwstr>
  </property>
  <property fmtid="{D5CDD505-2E9C-101B-9397-08002B2CF9AE}" pid="3" name="_dlc_DocIdItemGuid">
    <vt:lpwstr>e830f1ba-aeb2-41d4-8422-7d8bd5c2e96d</vt:lpwstr>
  </property>
  <property fmtid="{D5CDD505-2E9C-101B-9397-08002B2CF9AE}" pid="4" name="_dlc_DocIdUrl">
    <vt:lpwstr>https://teamsites.tweedekamer.nl/commissie/ezk/_layouts/15/DocIdRedir.aspx?ID=SFNZ6MXF2HZ5-1258685651-211, SFNZ6MXF2HZ5-1258685651-211</vt:lpwstr>
  </property>
  <property fmtid="{D5CDD505-2E9C-101B-9397-08002B2CF9AE}" pid="5" name="display_urn:schemas-microsoft-com:office:office#Editor">
    <vt:lpwstr>Kraaijeveld, M.</vt:lpwstr>
  </property>
  <property fmtid="{D5CDD505-2E9C-101B-9397-08002B2CF9AE}" pid="6" name="display_urn:schemas-microsoft-com:office:office#Author">
    <vt:lpwstr>Kraaijeveld, M.</vt:lpwstr>
  </property>
  <property fmtid="{D5CDD505-2E9C-101B-9397-08002B2CF9AE}" pid="7" name="display_urn:schemas-microsoft-com:office:office#SharedWithUsers">
    <vt:lpwstr>Bordes, Y.</vt:lpwstr>
  </property>
  <property fmtid="{D5CDD505-2E9C-101B-9397-08002B2CF9AE}" pid="8" name="SharedWithUsers">
    <vt:lpwstr>76;#Bordes, Y.</vt:lpwstr>
  </property>
  <property fmtid="{D5CDD505-2E9C-101B-9397-08002B2CF9AE}" pid="9" name="ContentTypeId">
    <vt:lpwstr>0x01010035945FE403235348844AD92F79681B04</vt:lpwstr>
  </property>
</Properties>
</file>