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4E32" w:rsidR="00DA6375" w:rsidP="00DA6375" w:rsidRDefault="00DA6375" w14:paraId="6D5F2D4C" w14:textId="77777777">
      <w:pPr>
        <w:spacing w:after="0"/>
        <w:rPr>
          <w:rFonts w:ascii="Verdana" w:hAnsi="Verdana"/>
          <w:b/>
          <w:sz w:val="18"/>
          <w:szCs w:val="18"/>
        </w:rPr>
      </w:pPr>
      <w:bookmarkStart w:name="_Hlk223554868" w:id="0"/>
      <w:r w:rsidRPr="00904E32">
        <w:rPr>
          <w:rFonts w:ascii="Verdana" w:hAnsi="Verdana"/>
          <w:b/>
          <w:sz w:val="18"/>
          <w:szCs w:val="18"/>
        </w:rPr>
        <w:t xml:space="preserve">Geannoteerde </w:t>
      </w:r>
      <w:r>
        <w:rPr>
          <w:rFonts w:ascii="Verdana" w:hAnsi="Verdana"/>
          <w:b/>
          <w:sz w:val="18"/>
          <w:szCs w:val="18"/>
        </w:rPr>
        <w:t>a</w:t>
      </w:r>
      <w:r w:rsidRPr="00904E32">
        <w:rPr>
          <w:rFonts w:ascii="Verdana" w:hAnsi="Verdana"/>
          <w:b/>
          <w:sz w:val="18"/>
          <w:szCs w:val="18"/>
        </w:rPr>
        <w:t>genda Europese Raad 19 en 20 maart 2026</w:t>
      </w:r>
    </w:p>
    <w:p w:rsidR="00DA6375" w:rsidP="00DA6375" w:rsidRDefault="00DA6375" w14:paraId="7759A056" w14:textId="77777777">
      <w:pPr>
        <w:spacing w:after="0"/>
        <w:rPr>
          <w:rFonts w:ascii="Verdana" w:hAnsi="Verdana"/>
          <w:sz w:val="18"/>
          <w:szCs w:val="18"/>
        </w:rPr>
      </w:pPr>
    </w:p>
    <w:p w:rsidR="00DA6375" w:rsidP="00DA6375" w:rsidRDefault="00DA6375" w14:paraId="4468FA74" w14:textId="77777777">
      <w:pPr>
        <w:spacing w:after="0"/>
        <w:rPr>
          <w:rFonts w:ascii="Verdana" w:hAnsi="Verdana"/>
          <w:i/>
          <w:iCs/>
          <w:sz w:val="18"/>
          <w:szCs w:val="18"/>
        </w:rPr>
      </w:pPr>
      <w:r>
        <w:rPr>
          <w:rFonts w:ascii="Verdana" w:hAnsi="Verdana"/>
          <w:i/>
          <w:iCs/>
          <w:sz w:val="18"/>
          <w:szCs w:val="18"/>
        </w:rPr>
        <w:t>Introductie</w:t>
      </w:r>
    </w:p>
    <w:p w:rsidRPr="00764AA4" w:rsidR="00DA6375" w:rsidP="00DA6375" w:rsidRDefault="00DA6375" w14:paraId="0A5D0DAF" w14:textId="1EBC6C7F">
      <w:pPr>
        <w:spacing w:after="0"/>
      </w:pPr>
      <w:r>
        <w:rPr>
          <w:rFonts w:ascii="Verdana" w:hAnsi="Verdana"/>
          <w:sz w:val="18"/>
          <w:szCs w:val="18"/>
        </w:rPr>
        <w:t>Op 19 en 20 maart a.s. vindt de Europese Raad (ER) plaats in Brussel. Op de agenda staan Oekraïne, het Midden-Oosten, concurrentievermogen en de interne markt, het meerjarig financieel kader, veiligheid en defensie, migratie en een lunch met de secretaris-</w:t>
      </w:r>
      <w:r w:rsidR="00E90440">
        <w:rPr>
          <w:rFonts w:ascii="Verdana" w:hAnsi="Verdana"/>
          <w:sz w:val="18"/>
          <w:szCs w:val="18"/>
        </w:rPr>
        <w:t>g</w:t>
      </w:r>
      <w:r>
        <w:rPr>
          <w:rFonts w:ascii="Verdana" w:hAnsi="Verdana"/>
          <w:sz w:val="18"/>
          <w:szCs w:val="18"/>
        </w:rPr>
        <w:t xml:space="preserve">eneraal van de Verenigde Naties. En marge van </w:t>
      </w:r>
      <w:r w:rsidRPr="003F7614">
        <w:rPr>
          <w:rFonts w:ascii="Verdana" w:hAnsi="Verdana"/>
          <w:sz w:val="18"/>
          <w:szCs w:val="18"/>
        </w:rPr>
        <w:t>de ER zal er een Eurozonetop zijn. De minister-president is voornemens deel te nemen aan de ER en de Eurozonetop.</w:t>
      </w:r>
      <w:r>
        <w:rPr>
          <w:rFonts w:ascii="Verdana" w:hAnsi="Verdana"/>
          <w:sz w:val="18"/>
          <w:szCs w:val="18"/>
        </w:rPr>
        <w:t xml:space="preserve"> Voorafgaand aan de ER zal de minister-president deelnemen aan een ontbijtsessie over migratie.</w:t>
      </w:r>
    </w:p>
    <w:p w:rsidR="00DA6375" w:rsidP="00DA6375" w:rsidRDefault="00DA6375" w14:paraId="2EE2A860" w14:textId="77777777">
      <w:pPr>
        <w:spacing w:after="0"/>
        <w:rPr>
          <w:rFonts w:ascii="Verdana" w:hAnsi="Verdana"/>
          <w:i/>
          <w:iCs/>
          <w:sz w:val="18"/>
          <w:szCs w:val="18"/>
        </w:rPr>
      </w:pPr>
    </w:p>
    <w:p w:rsidR="00DA6375" w:rsidP="00DA6375" w:rsidRDefault="00DA6375" w14:paraId="48622E63" w14:textId="77777777">
      <w:pPr>
        <w:spacing w:after="0"/>
        <w:rPr>
          <w:rFonts w:ascii="Verdana" w:hAnsi="Verdana"/>
          <w:i/>
          <w:iCs/>
          <w:sz w:val="18"/>
          <w:szCs w:val="18"/>
        </w:rPr>
      </w:pPr>
      <w:r>
        <w:rPr>
          <w:rFonts w:ascii="Verdana" w:hAnsi="Verdana"/>
          <w:i/>
          <w:iCs/>
          <w:sz w:val="18"/>
          <w:szCs w:val="18"/>
        </w:rPr>
        <w:t xml:space="preserve">Oekraïne  </w:t>
      </w:r>
    </w:p>
    <w:p w:rsidRPr="005B3135" w:rsidR="00DA6375" w:rsidP="00DA6375" w:rsidRDefault="00DA6375" w14:paraId="799A58B0" w14:textId="77777777">
      <w:pPr>
        <w:spacing w:after="0"/>
        <w:rPr>
          <w:rFonts w:ascii="Verdana" w:hAnsi="Verdana"/>
          <w:sz w:val="18"/>
          <w:szCs w:val="18"/>
        </w:rPr>
      </w:pPr>
      <w:r>
        <w:rPr>
          <w:rFonts w:ascii="Verdana" w:hAnsi="Verdana"/>
          <w:sz w:val="18"/>
          <w:szCs w:val="18"/>
        </w:rPr>
        <w:t>D</w:t>
      </w:r>
      <w:r w:rsidRPr="007B2398">
        <w:rPr>
          <w:rFonts w:ascii="Verdana" w:hAnsi="Verdana"/>
          <w:sz w:val="18"/>
          <w:szCs w:val="18"/>
        </w:rPr>
        <w:t xml:space="preserve">e </w:t>
      </w:r>
      <w:r>
        <w:rPr>
          <w:rFonts w:ascii="Verdana" w:hAnsi="Verdana"/>
          <w:sz w:val="18"/>
          <w:szCs w:val="18"/>
        </w:rPr>
        <w:t>ER</w:t>
      </w:r>
      <w:r w:rsidRPr="007B2398">
        <w:rPr>
          <w:rFonts w:ascii="Verdana" w:hAnsi="Verdana"/>
          <w:sz w:val="18"/>
          <w:szCs w:val="18"/>
        </w:rPr>
        <w:t xml:space="preserve"> zal </w:t>
      </w:r>
      <w:r>
        <w:rPr>
          <w:rFonts w:ascii="Verdana" w:hAnsi="Verdana"/>
          <w:sz w:val="18"/>
          <w:szCs w:val="18"/>
        </w:rPr>
        <w:t xml:space="preserve">spreken over </w:t>
      </w:r>
      <w:r w:rsidRPr="007B2398">
        <w:rPr>
          <w:rFonts w:ascii="Verdana" w:hAnsi="Verdana"/>
          <w:sz w:val="18"/>
          <w:szCs w:val="18"/>
        </w:rPr>
        <w:t>de</w:t>
      </w:r>
      <w:r>
        <w:rPr>
          <w:rFonts w:ascii="Verdana" w:hAnsi="Verdana"/>
          <w:sz w:val="18"/>
          <w:szCs w:val="18"/>
        </w:rPr>
        <w:t xml:space="preserve"> voortdurende Russische</w:t>
      </w:r>
      <w:r w:rsidRPr="007B2398">
        <w:rPr>
          <w:rFonts w:ascii="Verdana" w:hAnsi="Verdana"/>
          <w:sz w:val="18"/>
          <w:szCs w:val="18"/>
        </w:rPr>
        <w:t xml:space="preserve"> agressieoorlog tegen Oekraïne</w:t>
      </w:r>
      <w:r>
        <w:rPr>
          <w:rFonts w:ascii="Verdana" w:hAnsi="Verdana"/>
          <w:sz w:val="18"/>
          <w:szCs w:val="18"/>
        </w:rPr>
        <w:t>. Hierbij zal de ER naar verwachting stilstaan bij</w:t>
      </w:r>
      <w:r w:rsidRPr="007B2398">
        <w:rPr>
          <w:rFonts w:ascii="Verdana" w:hAnsi="Verdana"/>
          <w:sz w:val="18"/>
          <w:szCs w:val="18"/>
        </w:rPr>
        <w:t xml:space="preserve"> de lopende vredesinspanningen en </w:t>
      </w:r>
      <w:r>
        <w:rPr>
          <w:rFonts w:ascii="Verdana" w:hAnsi="Verdana"/>
          <w:sz w:val="18"/>
          <w:szCs w:val="18"/>
        </w:rPr>
        <w:t xml:space="preserve">de urgentie van </w:t>
      </w:r>
      <w:r w:rsidRPr="005D3868">
        <w:rPr>
          <w:rFonts w:ascii="Verdana" w:hAnsi="Verdana"/>
          <w:sz w:val="18"/>
          <w:szCs w:val="18"/>
        </w:rPr>
        <w:t>voortgezette militaire en niet-militaire steun aan Oekraïne</w:t>
      </w:r>
      <w:r w:rsidRPr="007B2398">
        <w:rPr>
          <w:rFonts w:ascii="Verdana" w:hAnsi="Verdana"/>
          <w:sz w:val="18"/>
          <w:szCs w:val="18"/>
        </w:rPr>
        <w:t>.</w:t>
      </w:r>
      <w:r>
        <w:rPr>
          <w:rFonts w:ascii="Verdana" w:hAnsi="Verdana"/>
          <w:sz w:val="18"/>
          <w:szCs w:val="18"/>
        </w:rPr>
        <w:t xml:space="preserve"> In dit licht zal</w:t>
      </w:r>
      <w:r w:rsidRPr="002054DF">
        <w:rPr>
          <w:rFonts w:ascii="Verdana" w:hAnsi="Verdana"/>
          <w:sz w:val="18"/>
          <w:szCs w:val="18"/>
        </w:rPr>
        <w:t xml:space="preserve"> het kabinet </w:t>
      </w:r>
      <w:r>
        <w:rPr>
          <w:rFonts w:ascii="Verdana" w:hAnsi="Verdana"/>
          <w:sz w:val="18"/>
          <w:szCs w:val="18"/>
        </w:rPr>
        <w:t xml:space="preserve">oproepen tot een snel formeel akkoord op </w:t>
      </w:r>
      <w:r w:rsidRPr="00051C4E">
        <w:rPr>
          <w:rFonts w:ascii="Verdana" w:hAnsi="Verdana"/>
          <w:sz w:val="18"/>
          <w:szCs w:val="18"/>
        </w:rPr>
        <w:t xml:space="preserve">de </w:t>
      </w:r>
      <w:r>
        <w:rPr>
          <w:rFonts w:ascii="Verdana" w:hAnsi="Verdana"/>
          <w:sz w:val="18"/>
          <w:szCs w:val="18"/>
        </w:rPr>
        <w:t>EU-steun</w:t>
      </w:r>
      <w:r w:rsidRPr="00051C4E">
        <w:rPr>
          <w:rFonts w:ascii="Verdana" w:hAnsi="Verdana"/>
          <w:sz w:val="18"/>
          <w:szCs w:val="18"/>
        </w:rPr>
        <w:t>lening</w:t>
      </w:r>
      <w:r>
        <w:rPr>
          <w:rFonts w:ascii="Verdana" w:hAnsi="Verdana"/>
          <w:sz w:val="18"/>
          <w:szCs w:val="18"/>
        </w:rPr>
        <w:t xml:space="preserve"> van EUR 90 miljard aan Oekraïne en voorspoedige implementatie ervan. Alle lidstaten dienen hieraan mee te werken. Ook</w:t>
      </w:r>
      <w:r w:rsidRPr="00A72BE5">
        <w:rPr>
          <w:rFonts w:ascii="Verdana" w:hAnsi="Verdana"/>
          <w:sz w:val="18"/>
          <w:szCs w:val="18"/>
        </w:rPr>
        <w:t xml:space="preserve"> </w:t>
      </w:r>
      <w:r>
        <w:rPr>
          <w:rFonts w:ascii="Verdana" w:hAnsi="Verdana"/>
          <w:sz w:val="18"/>
          <w:szCs w:val="18"/>
        </w:rPr>
        <w:t>zal het kabinet benadrukken</w:t>
      </w:r>
      <w:r w:rsidRPr="00A72BE5">
        <w:rPr>
          <w:rFonts w:ascii="Verdana" w:hAnsi="Verdana"/>
          <w:sz w:val="18"/>
          <w:szCs w:val="18"/>
        </w:rPr>
        <w:t xml:space="preserve"> dat de lening op zichzelf niet voldoende is om </w:t>
      </w:r>
      <w:r>
        <w:rPr>
          <w:rFonts w:ascii="Verdana" w:hAnsi="Verdana"/>
          <w:sz w:val="18"/>
          <w:szCs w:val="18"/>
        </w:rPr>
        <w:t xml:space="preserve">tegemoet te komen aan alle noden van </w:t>
      </w:r>
      <w:r w:rsidRPr="00A72BE5">
        <w:rPr>
          <w:rFonts w:ascii="Verdana" w:hAnsi="Verdana"/>
          <w:sz w:val="18"/>
          <w:szCs w:val="18"/>
        </w:rPr>
        <w:t xml:space="preserve">Oekraïne. </w:t>
      </w:r>
      <w:r>
        <w:rPr>
          <w:rFonts w:ascii="Verdana" w:hAnsi="Verdana"/>
          <w:sz w:val="18"/>
          <w:szCs w:val="18"/>
        </w:rPr>
        <w:t>Het kabinet</w:t>
      </w:r>
      <w:r w:rsidRPr="00A72BE5">
        <w:rPr>
          <w:rFonts w:ascii="Verdana" w:hAnsi="Verdana"/>
          <w:sz w:val="18"/>
          <w:szCs w:val="18"/>
        </w:rPr>
        <w:t xml:space="preserve"> </w:t>
      </w:r>
      <w:r>
        <w:rPr>
          <w:rFonts w:ascii="Verdana" w:hAnsi="Verdana"/>
          <w:sz w:val="18"/>
          <w:szCs w:val="18"/>
        </w:rPr>
        <w:t>zal</w:t>
      </w:r>
      <w:r w:rsidRPr="00A72BE5">
        <w:rPr>
          <w:rFonts w:ascii="Verdana" w:hAnsi="Verdana"/>
          <w:sz w:val="18"/>
          <w:szCs w:val="18"/>
        </w:rPr>
        <w:t xml:space="preserve"> andere lidstaten </w:t>
      </w:r>
      <w:r>
        <w:rPr>
          <w:rFonts w:ascii="Verdana" w:hAnsi="Verdana"/>
          <w:sz w:val="18"/>
          <w:szCs w:val="18"/>
        </w:rPr>
        <w:t xml:space="preserve">oproepen </w:t>
      </w:r>
      <w:r w:rsidRPr="00A72BE5">
        <w:rPr>
          <w:rFonts w:ascii="Verdana" w:hAnsi="Verdana"/>
          <w:sz w:val="18"/>
          <w:szCs w:val="18"/>
        </w:rPr>
        <w:t xml:space="preserve">hun </w:t>
      </w:r>
      <w:r>
        <w:rPr>
          <w:rFonts w:ascii="Verdana" w:hAnsi="Verdana"/>
          <w:sz w:val="18"/>
          <w:szCs w:val="18"/>
        </w:rPr>
        <w:t>militaire en niet-militaire</w:t>
      </w:r>
      <w:r w:rsidRPr="00A72BE5">
        <w:rPr>
          <w:rFonts w:ascii="Verdana" w:hAnsi="Verdana"/>
          <w:sz w:val="18"/>
          <w:szCs w:val="18"/>
        </w:rPr>
        <w:t xml:space="preserve"> steun te intensivere</w:t>
      </w:r>
      <w:r>
        <w:rPr>
          <w:rFonts w:ascii="Verdana" w:hAnsi="Verdana"/>
          <w:sz w:val="18"/>
          <w:szCs w:val="18"/>
        </w:rPr>
        <w:t>n, ook in het kader van een eerlijke lastenverdeling</w:t>
      </w:r>
      <w:r w:rsidRPr="00051C4E">
        <w:rPr>
          <w:rFonts w:ascii="Verdana" w:hAnsi="Verdana"/>
          <w:sz w:val="18"/>
          <w:szCs w:val="18"/>
        </w:rPr>
        <w:t>.</w:t>
      </w:r>
      <w:r>
        <w:rPr>
          <w:rFonts w:ascii="Verdana" w:hAnsi="Verdana"/>
          <w:sz w:val="18"/>
          <w:szCs w:val="18"/>
        </w:rPr>
        <w:t xml:space="preserve"> Het</w:t>
      </w:r>
      <w:r w:rsidRPr="002054DF">
        <w:rPr>
          <w:rFonts w:ascii="Verdana" w:hAnsi="Verdana"/>
          <w:sz w:val="18"/>
          <w:szCs w:val="18"/>
        </w:rPr>
        <w:t xml:space="preserve"> kabinet </w:t>
      </w:r>
      <w:r>
        <w:rPr>
          <w:rFonts w:ascii="Verdana" w:hAnsi="Verdana"/>
          <w:sz w:val="18"/>
          <w:szCs w:val="18"/>
        </w:rPr>
        <w:t>zal benadrukken dat het de brede Nederlandse steun aan Oekraïne onverminderd en meerjarig blijft voortzetten. Daarnaast zal het kabinet benadrukken dat het belangrijk is om de druk op Rusland verder op te voeren, onder meer door een snel akkoord op het twintigste sanctiepakket en door voortvarend te werken aan aanvullende maatregelen. H</w:t>
      </w:r>
      <w:r w:rsidRPr="00CF514C">
        <w:rPr>
          <w:rFonts w:ascii="Verdana" w:hAnsi="Verdana"/>
          <w:sz w:val="18"/>
          <w:szCs w:val="18"/>
        </w:rPr>
        <w:t xml:space="preserve">et kabinet </w:t>
      </w:r>
      <w:r>
        <w:rPr>
          <w:rFonts w:ascii="Verdana" w:hAnsi="Verdana"/>
          <w:sz w:val="18"/>
          <w:szCs w:val="18"/>
        </w:rPr>
        <w:t xml:space="preserve">zal </w:t>
      </w:r>
      <w:r w:rsidRPr="00CF514C">
        <w:rPr>
          <w:rFonts w:ascii="Verdana" w:hAnsi="Verdana"/>
          <w:sz w:val="18"/>
          <w:szCs w:val="18"/>
        </w:rPr>
        <w:t>de inspanningen van de Commissie steunen om de onacceptabele blokkade</w:t>
      </w:r>
      <w:r>
        <w:rPr>
          <w:rFonts w:ascii="Verdana" w:hAnsi="Verdana"/>
          <w:sz w:val="18"/>
          <w:szCs w:val="18"/>
        </w:rPr>
        <w:t>s</w:t>
      </w:r>
      <w:r w:rsidRPr="00CF514C">
        <w:rPr>
          <w:rFonts w:ascii="Verdana" w:hAnsi="Verdana"/>
          <w:sz w:val="18"/>
          <w:szCs w:val="18"/>
        </w:rPr>
        <w:t xml:space="preserve"> op de lening, het </w:t>
      </w:r>
      <w:r>
        <w:rPr>
          <w:rFonts w:ascii="Verdana" w:hAnsi="Verdana"/>
          <w:sz w:val="18"/>
          <w:szCs w:val="18"/>
        </w:rPr>
        <w:t xml:space="preserve">twintigste </w:t>
      </w:r>
      <w:r w:rsidRPr="00CF514C">
        <w:rPr>
          <w:rFonts w:ascii="Verdana" w:hAnsi="Verdana"/>
          <w:sz w:val="18"/>
          <w:szCs w:val="18"/>
        </w:rPr>
        <w:t xml:space="preserve">sanctiepakket en de </w:t>
      </w:r>
      <w:r w:rsidRPr="00367B17">
        <w:rPr>
          <w:rFonts w:ascii="Verdana" w:hAnsi="Verdana"/>
          <w:i/>
          <w:iCs/>
          <w:sz w:val="18"/>
          <w:szCs w:val="18"/>
        </w:rPr>
        <w:t xml:space="preserve">European Union Assistance Mission </w:t>
      </w:r>
      <w:r>
        <w:rPr>
          <w:rFonts w:ascii="Verdana" w:hAnsi="Verdana"/>
          <w:i/>
          <w:iCs/>
          <w:sz w:val="18"/>
          <w:szCs w:val="18"/>
        </w:rPr>
        <w:t>(</w:t>
      </w:r>
      <w:r w:rsidRPr="00367B17">
        <w:rPr>
          <w:rFonts w:ascii="Verdana" w:hAnsi="Verdana"/>
          <w:i/>
          <w:iCs/>
          <w:sz w:val="18"/>
          <w:szCs w:val="18"/>
        </w:rPr>
        <w:t>EUAM</w:t>
      </w:r>
      <w:r>
        <w:rPr>
          <w:rFonts w:ascii="Verdana" w:hAnsi="Verdana"/>
          <w:i/>
          <w:iCs/>
          <w:sz w:val="18"/>
          <w:szCs w:val="18"/>
        </w:rPr>
        <w:t>)</w:t>
      </w:r>
      <w:r w:rsidRPr="00367B17">
        <w:rPr>
          <w:rFonts w:ascii="Verdana" w:hAnsi="Verdana"/>
          <w:i/>
          <w:iCs/>
          <w:sz w:val="18"/>
          <w:szCs w:val="18"/>
        </w:rPr>
        <w:t xml:space="preserve"> </w:t>
      </w:r>
      <w:r>
        <w:rPr>
          <w:rFonts w:ascii="Verdana" w:hAnsi="Verdana"/>
          <w:sz w:val="18"/>
          <w:szCs w:val="18"/>
        </w:rPr>
        <w:t>onverwijld</w:t>
      </w:r>
      <w:r w:rsidRPr="00CF514C">
        <w:rPr>
          <w:rFonts w:ascii="Verdana" w:hAnsi="Verdana"/>
          <w:sz w:val="18"/>
          <w:szCs w:val="18"/>
        </w:rPr>
        <w:t xml:space="preserve"> op te lossen.</w:t>
      </w:r>
    </w:p>
    <w:p w:rsidR="00DA6375" w:rsidP="00DA6375" w:rsidRDefault="00DA6375" w14:paraId="31495824" w14:textId="77777777">
      <w:pPr>
        <w:spacing w:after="0"/>
        <w:rPr>
          <w:rFonts w:ascii="Verdana" w:hAnsi="Verdana"/>
          <w:i/>
          <w:iCs/>
          <w:sz w:val="18"/>
          <w:szCs w:val="18"/>
        </w:rPr>
      </w:pPr>
    </w:p>
    <w:p w:rsidR="00DA6375" w:rsidP="00DA6375" w:rsidRDefault="00DA6375" w14:paraId="65C72ED3" w14:textId="77777777">
      <w:pPr>
        <w:spacing w:after="0"/>
        <w:rPr>
          <w:rFonts w:ascii="Verdana" w:hAnsi="Verdana"/>
          <w:i/>
          <w:iCs/>
          <w:sz w:val="18"/>
          <w:szCs w:val="18"/>
        </w:rPr>
      </w:pPr>
      <w:r>
        <w:rPr>
          <w:rFonts w:ascii="Verdana" w:hAnsi="Verdana"/>
          <w:i/>
          <w:iCs/>
          <w:sz w:val="18"/>
          <w:szCs w:val="18"/>
        </w:rPr>
        <w:t xml:space="preserve">Midden-Oosten </w:t>
      </w:r>
    </w:p>
    <w:p w:rsidRPr="006F24D2" w:rsidR="00DA6375" w:rsidP="00DA6375" w:rsidRDefault="00DA6375" w14:paraId="255C3503" w14:textId="77FB4EC5">
      <w:pPr>
        <w:spacing w:after="0"/>
      </w:pPr>
      <w:r w:rsidRPr="000F61C0">
        <w:rPr>
          <w:rFonts w:ascii="Verdana" w:hAnsi="Verdana"/>
          <w:sz w:val="18"/>
          <w:szCs w:val="18"/>
        </w:rPr>
        <w:t xml:space="preserve">De </w:t>
      </w:r>
      <w:r>
        <w:rPr>
          <w:rFonts w:ascii="Verdana" w:hAnsi="Verdana"/>
          <w:sz w:val="18"/>
          <w:szCs w:val="18"/>
        </w:rPr>
        <w:t>ER</w:t>
      </w:r>
      <w:r w:rsidRPr="000F61C0">
        <w:rPr>
          <w:rFonts w:ascii="Verdana" w:hAnsi="Verdana"/>
          <w:sz w:val="18"/>
          <w:szCs w:val="18"/>
        </w:rPr>
        <w:t xml:space="preserve"> </w:t>
      </w:r>
      <w:r>
        <w:rPr>
          <w:rFonts w:ascii="Verdana" w:hAnsi="Verdana"/>
          <w:sz w:val="18"/>
          <w:szCs w:val="18"/>
        </w:rPr>
        <w:t xml:space="preserve">zal </w:t>
      </w:r>
      <w:r w:rsidRPr="006F24D2">
        <w:rPr>
          <w:rFonts w:ascii="Verdana" w:hAnsi="Verdana"/>
          <w:sz w:val="18"/>
          <w:szCs w:val="18"/>
        </w:rPr>
        <w:t>spreken over het gewapend conflict in het Midden-Oosten. Nederland maakt zich ernstige zorgen over het gewapend conflict in het Midden-Oosten.</w:t>
      </w:r>
      <w:r w:rsidRPr="006F24D2">
        <w:t xml:space="preserve"> </w:t>
      </w:r>
      <w:r w:rsidRPr="006F24D2">
        <w:rPr>
          <w:rFonts w:ascii="Verdana" w:hAnsi="Verdana"/>
          <w:sz w:val="18"/>
          <w:szCs w:val="18"/>
        </w:rPr>
        <w:t xml:space="preserve">De veiligheid van Nederlanders in het Midden-Oosten heeft voor het kabinet de hoogste prioriteit. Het kabinet zet zich daarom </w:t>
      </w:r>
      <w:r w:rsidRPr="006F24D2" w:rsidR="00BB527A">
        <w:rPr>
          <w:rFonts w:ascii="Verdana" w:hAnsi="Verdana"/>
          <w:sz w:val="18"/>
          <w:szCs w:val="18"/>
        </w:rPr>
        <w:t xml:space="preserve">ook </w:t>
      </w:r>
      <w:r w:rsidRPr="006F24D2">
        <w:rPr>
          <w:rFonts w:ascii="Verdana" w:hAnsi="Verdana"/>
          <w:sz w:val="18"/>
          <w:szCs w:val="18"/>
        </w:rPr>
        <w:t>in om Nederlanders te ondersteunen bij vertrek door meer vluchten te organiseren waarmee Nederlanders kunnen worden gerepatrieerd. Daarbij zet het kabinet in op samenwerking met (EU-)partnerlanden om extra capaciteit op repatriëringsvluchten uit de regio waar mogelijk uit te wisselen</w:t>
      </w:r>
    </w:p>
    <w:p w:rsidRPr="006F24D2" w:rsidR="00DA6375" w:rsidP="00DA6375" w:rsidRDefault="00DA6375" w14:paraId="5D6A7E31" w14:textId="77777777">
      <w:pPr>
        <w:spacing w:after="0"/>
      </w:pPr>
    </w:p>
    <w:p w:rsidRPr="004B7E25" w:rsidR="00DA6375" w:rsidP="00DA6375" w:rsidRDefault="00DA6375" w14:paraId="5978104A" w14:textId="77777777">
      <w:pPr>
        <w:spacing w:after="0"/>
        <w:rPr>
          <w:rFonts w:ascii="Verdana" w:hAnsi="Verdana"/>
          <w:sz w:val="18"/>
          <w:szCs w:val="18"/>
        </w:rPr>
      </w:pPr>
      <w:r w:rsidRPr="006F24D2">
        <w:rPr>
          <w:rFonts w:ascii="Verdana" w:hAnsi="Verdana"/>
          <w:sz w:val="18"/>
          <w:szCs w:val="18"/>
        </w:rPr>
        <w:t xml:space="preserve">Het kabinet is solidair met partners in de regio die worden geraakt door Iraanse aanvallen, o.a. op civiele infrastructuur. Het kabinet veroordeelt met klem deze Iraanse aanvallen en onderstreept dat deze moeten stoppen. Het is essentieel dat de EU solidariteit richting de getroffen partners blijft uitdragen. Nederland verwelkomt in dit licht de door de EU Hoge Vertegenwoordiger </w:t>
      </w:r>
      <w:proofErr w:type="spellStart"/>
      <w:r w:rsidRPr="006F24D2">
        <w:rPr>
          <w:rFonts w:ascii="Verdana" w:hAnsi="Verdana"/>
          <w:sz w:val="18"/>
          <w:szCs w:val="18"/>
        </w:rPr>
        <w:t>Kallas</w:t>
      </w:r>
      <w:proofErr w:type="spellEnd"/>
      <w:r w:rsidRPr="006F24D2">
        <w:rPr>
          <w:rFonts w:ascii="Verdana" w:hAnsi="Verdana"/>
          <w:sz w:val="18"/>
          <w:szCs w:val="18"/>
        </w:rPr>
        <w:t xml:space="preserve"> ingelaste bijeenkomst met GCC-landen. Het kabinet ziet daarnaast dat het conflict ook leidde tot een aanval van Hezbollah op Israël en in reactie daarop bombardementen van Israël op Hezbollah in Libanon. Het kabinet maakt zich zorgen over de situatie in Libanon die hiermee verder onder druk staat. Het kabinet verwelkomt het verbod van de Libanese regering op militaire activiteit van Hezbollah.</w:t>
      </w:r>
    </w:p>
    <w:p w:rsidRPr="00F46379" w:rsidR="00DA6375" w:rsidP="00DA6375" w:rsidRDefault="00DA6375" w14:paraId="6E15D5B3" w14:textId="77777777">
      <w:pPr>
        <w:spacing w:after="0"/>
        <w:rPr>
          <w:rFonts w:ascii="Verdana" w:hAnsi="Verdana"/>
          <w:sz w:val="18"/>
          <w:szCs w:val="18"/>
        </w:rPr>
      </w:pPr>
    </w:p>
    <w:p w:rsidR="00DA6375" w:rsidP="00DA6375" w:rsidRDefault="00DA6375" w14:paraId="56B426AB" w14:textId="77777777">
      <w:pPr>
        <w:spacing w:after="0"/>
        <w:rPr>
          <w:rFonts w:ascii="Verdana" w:hAnsi="Verdana"/>
          <w:sz w:val="18"/>
          <w:szCs w:val="18"/>
        </w:rPr>
      </w:pPr>
      <w:r w:rsidRPr="00FE5E04">
        <w:rPr>
          <w:rFonts w:ascii="Verdana" w:hAnsi="Verdana"/>
          <w:sz w:val="18"/>
          <w:szCs w:val="18"/>
        </w:rPr>
        <w:t>Nederland onderstreept ook in EU-verband het belang van een gecoördineerde aanpak om te zorgen voor de-escalatie, een diplomatieke oplossing te bevorderen en de gevolgen van het conflict voor Nederland zoveel als mogelijk te beperken</w:t>
      </w:r>
      <w:r>
        <w:t xml:space="preserve">. </w:t>
      </w:r>
      <w:r>
        <w:rPr>
          <w:rFonts w:ascii="Verdana" w:hAnsi="Verdana"/>
          <w:sz w:val="18"/>
          <w:szCs w:val="18"/>
        </w:rPr>
        <w:t xml:space="preserve">Nederland blijft tevens in EU-verband het belang onderstrepen van aandacht voor de secundaire effecten van de escalatie, die ook gedeelde Europese belangen raken, bijvoorbeeld op het gebied van veiligheid, energie, economie, migratie en scheepvaart. </w:t>
      </w:r>
      <w:r w:rsidRPr="00BD062C">
        <w:rPr>
          <w:rFonts w:ascii="Verdana" w:hAnsi="Verdana"/>
          <w:sz w:val="18"/>
          <w:szCs w:val="18"/>
        </w:rPr>
        <w:t>Het kabinet blijft alle partijen oproepen zich te houden aan het internationaal recht.</w:t>
      </w:r>
    </w:p>
    <w:p w:rsidR="00DA6375" w:rsidP="00DA6375" w:rsidRDefault="00DA6375" w14:paraId="583C44AA" w14:textId="77777777">
      <w:pPr>
        <w:spacing w:after="0"/>
        <w:rPr>
          <w:rFonts w:ascii="Verdana" w:hAnsi="Verdana"/>
          <w:sz w:val="18"/>
          <w:szCs w:val="18"/>
        </w:rPr>
      </w:pPr>
    </w:p>
    <w:p w:rsidR="00DA6375" w:rsidP="00DA6375" w:rsidRDefault="00DA6375" w14:paraId="1B22FFBB" w14:textId="77777777">
      <w:pPr>
        <w:spacing w:after="0"/>
        <w:rPr>
          <w:rFonts w:ascii="Verdana" w:hAnsi="Verdana"/>
          <w:sz w:val="18"/>
          <w:szCs w:val="18"/>
        </w:rPr>
      </w:pPr>
      <w:r>
        <w:rPr>
          <w:rFonts w:ascii="Verdana" w:hAnsi="Verdana"/>
          <w:sz w:val="18"/>
          <w:szCs w:val="18"/>
        </w:rPr>
        <w:t xml:space="preserve">De ER zal daarnaast </w:t>
      </w:r>
      <w:r w:rsidRPr="00F363C5">
        <w:rPr>
          <w:rFonts w:ascii="Verdana" w:hAnsi="Verdana"/>
          <w:sz w:val="18"/>
          <w:szCs w:val="18"/>
        </w:rPr>
        <w:t xml:space="preserve">ingaan op de voortgang van de implementatie van het plan van president </w:t>
      </w:r>
      <w:proofErr w:type="spellStart"/>
      <w:r w:rsidRPr="00F363C5">
        <w:rPr>
          <w:rFonts w:ascii="Verdana" w:hAnsi="Verdana"/>
          <w:sz w:val="18"/>
          <w:szCs w:val="18"/>
        </w:rPr>
        <w:t>Trump</w:t>
      </w:r>
      <w:proofErr w:type="spellEnd"/>
      <w:r w:rsidRPr="00F363C5">
        <w:rPr>
          <w:rFonts w:ascii="Verdana" w:hAnsi="Verdana"/>
          <w:sz w:val="18"/>
          <w:szCs w:val="18"/>
        </w:rPr>
        <w:t xml:space="preserve"> voor de </w:t>
      </w:r>
      <w:r>
        <w:rPr>
          <w:rFonts w:ascii="Verdana" w:hAnsi="Verdana"/>
          <w:sz w:val="18"/>
          <w:szCs w:val="18"/>
        </w:rPr>
        <w:t xml:space="preserve">beëindiging van het conflict in de </w:t>
      </w:r>
      <w:r w:rsidRPr="00BA49A0">
        <w:rPr>
          <w:rFonts w:ascii="Verdana" w:hAnsi="Verdana"/>
          <w:sz w:val="18"/>
          <w:szCs w:val="18"/>
        </w:rPr>
        <w:t>Gazastrook</w:t>
      </w:r>
      <w:r>
        <w:rPr>
          <w:rFonts w:ascii="Verdana" w:hAnsi="Verdana"/>
          <w:sz w:val="18"/>
          <w:szCs w:val="18"/>
        </w:rPr>
        <w:t xml:space="preserve"> en </w:t>
      </w:r>
      <w:r w:rsidRPr="00F363C5">
        <w:rPr>
          <w:rFonts w:ascii="Verdana" w:hAnsi="Verdana"/>
          <w:sz w:val="18"/>
          <w:szCs w:val="18"/>
        </w:rPr>
        <w:t>spreken over de situatie op de Westelijke Jordaanoever.</w:t>
      </w:r>
      <w:r>
        <w:rPr>
          <w:rFonts w:ascii="Verdana" w:hAnsi="Verdana"/>
          <w:sz w:val="18"/>
          <w:szCs w:val="18"/>
        </w:rPr>
        <w:t xml:space="preserve"> Met de gewelddadige escalatie staat ook de situatie in Gaza en de Westelijke Jordaanoever verder onder druk. Nederland zal hier aandacht voor vragen en in het bijzonder voor de nijpende humanitaire situatie, o.a. door de </w:t>
      </w:r>
      <w:proofErr w:type="spellStart"/>
      <w:r>
        <w:rPr>
          <w:rFonts w:ascii="Verdana" w:hAnsi="Verdana"/>
          <w:sz w:val="18"/>
          <w:szCs w:val="18"/>
        </w:rPr>
        <w:t>iNGO</w:t>
      </w:r>
      <w:proofErr w:type="spellEnd"/>
      <w:r>
        <w:rPr>
          <w:rFonts w:ascii="Verdana" w:hAnsi="Verdana"/>
          <w:sz w:val="18"/>
          <w:szCs w:val="18"/>
        </w:rPr>
        <w:t xml:space="preserve"> registratiewetgeving en </w:t>
      </w:r>
      <w:r>
        <w:rPr>
          <w:rFonts w:ascii="Verdana" w:hAnsi="Verdana"/>
          <w:sz w:val="18"/>
          <w:szCs w:val="18"/>
        </w:rPr>
        <w:lastRenderedPageBreak/>
        <w:t xml:space="preserve">gesloten grensovergangen. </w:t>
      </w:r>
      <w:r w:rsidRPr="00BA49A0">
        <w:rPr>
          <w:rFonts w:ascii="Verdana" w:hAnsi="Verdana"/>
          <w:sz w:val="18"/>
          <w:szCs w:val="18"/>
        </w:rPr>
        <w:t xml:space="preserve">De kabinetsinzet blijft gericht op </w:t>
      </w:r>
      <w:r>
        <w:rPr>
          <w:rFonts w:ascii="Verdana" w:hAnsi="Verdana"/>
          <w:sz w:val="18"/>
          <w:szCs w:val="18"/>
        </w:rPr>
        <w:t xml:space="preserve">een duurzame oplossing voor het Israëlisch-Palestijnse conflict. Dat betekent o.a. concreet dat het kabinet zich inzet voor verdere uitwerking en implementatie van het vredesplan van president </w:t>
      </w:r>
      <w:proofErr w:type="spellStart"/>
      <w:r>
        <w:rPr>
          <w:rFonts w:ascii="Verdana" w:hAnsi="Verdana"/>
          <w:sz w:val="18"/>
          <w:szCs w:val="18"/>
        </w:rPr>
        <w:t>Trump</w:t>
      </w:r>
      <w:proofErr w:type="spellEnd"/>
      <w:r>
        <w:rPr>
          <w:rFonts w:ascii="Verdana" w:hAnsi="Verdana"/>
          <w:sz w:val="18"/>
          <w:szCs w:val="18"/>
        </w:rPr>
        <w:t xml:space="preserve"> zodat het vechten duurzaam stopt, Hamas ontmantelt, de humanitaire noden worden gebezigd en de Palestijnse Autoriteit kan terugkeren naar Gaza en verenigd wordt met de Westelijke Jordaanoever. Hiervoor is duidelijke Europese betrokkenheid van belang,</w:t>
      </w:r>
      <w:r w:rsidRPr="00BA49A0">
        <w:rPr>
          <w:rFonts w:ascii="Verdana" w:hAnsi="Verdana"/>
          <w:sz w:val="18"/>
          <w:szCs w:val="18"/>
        </w:rPr>
        <w:t xml:space="preserve"> onder andere via bestaande GVDB-missies</w:t>
      </w:r>
      <w:r>
        <w:rPr>
          <w:rFonts w:ascii="Verdana" w:hAnsi="Verdana"/>
          <w:sz w:val="18"/>
          <w:szCs w:val="18"/>
        </w:rPr>
        <w:t>, steun aan de Palestijnse Autoriteit en steun aan de wederopbouw van Gaza</w:t>
      </w:r>
      <w:r w:rsidRPr="00BA49A0">
        <w:rPr>
          <w:rFonts w:ascii="Verdana" w:hAnsi="Verdana"/>
          <w:sz w:val="18"/>
          <w:szCs w:val="18"/>
        </w:rPr>
        <w:t xml:space="preserve">. Ook zal Nederland aandacht vragen voor de zorgelijke situatie op de Westelijke Jordaanoever en oproepen een blijvende EU-inzet te tonen op het gebied van sancties tegen gewelddadige kolonisten, naast de sancties gericht op Hamas en de </w:t>
      </w:r>
      <w:proofErr w:type="spellStart"/>
      <w:r w:rsidRPr="00655379">
        <w:rPr>
          <w:rFonts w:ascii="Verdana" w:hAnsi="Verdana"/>
          <w:i/>
          <w:sz w:val="18"/>
          <w:szCs w:val="18"/>
        </w:rPr>
        <w:t>Palestinian</w:t>
      </w:r>
      <w:proofErr w:type="spellEnd"/>
      <w:r w:rsidRPr="00655379">
        <w:rPr>
          <w:rFonts w:ascii="Verdana" w:hAnsi="Verdana"/>
          <w:i/>
          <w:sz w:val="18"/>
          <w:szCs w:val="18"/>
        </w:rPr>
        <w:t xml:space="preserve"> </w:t>
      </w:r>
      <w:proofErr w:type="spellStart"/>
      <w:r w:rsidRPr="00655379">
        <w:rPr>
          <w:rFonts w:ascii="Verdana" w:hAnsi="Verdana"/>
          <w:i/>
          <w:sz w:val="18"/>
          <w:szCs w:val="18"/>
        </w:rPr>
        <w:t>Islamic</w:t>
      </w:r>
      <w:proofErr w:type="spellEnd"/>
      <w:r w:rsidRPr="00655379">
        <w:rPr>
          <w:rFonts w:ascii="Verdana" w:hAnsi="Verdana"/>
          <w:i/>
          <w:sz w:val="18"/>
          <w:szCs w:val="18"/>
        </w:rPr>
        <w:t xml:space="preserve"> Jihad.</w:t>
      </w:r>
    </w:p>
    <w:p w:rsidRPr="008544FA" w:rsidR="00DA6375" w:rsidP="00DA6375" w:rsidRDefault="00DA6375" w14:paraId="28B977D6" w14:textId="77777777">
      <w:pPr>
        <w:spacing w:after="0"/>
        <w:rPr>
          <w:rFonts w:ascii="Verdana" w:hAnsi="Verdana"/>
          <w:sz w:val="18"/>
          <w:szCs w:val="18"/>
        </w:rPr>
      </w:pPr>
    </w:p>
    <w:p w:rsidR="00DA6375" w:rsidP="00DA6375" w:rsidRDefault="00DA6375" w14:paraId="6E370A7B" w14:textId="77777777">
      <w:pPr>
        <w:spacing w:after="0"/>
        <w:rPr>
          <w:rFonts w:ascii="Verdana" w:hAnsi="Verdana"/>
          <w:sz w:val="18"/>
          <w:szCs w:val="18"/>
        </w:rPr>
      </w:pPr>
      <w:r>
        <w:rPr>
          <w:rFonts w:ascii="Verdana" w:hAnsi="Verdana"/>
          <w:i/>
          <w:iCs/>
          <w:sz w:val="18"/>
          <w:szCs w:val="18"/>
        </w:rPr>
        <w:t>Concurrentievermogen en interne markt</w:t>
      </w:r>
      <w:r>
        <w:rPr>
          <w:rFonts w:ascii="Verdana" w:hAnsi="Verdana"/>
          <w:i/>
          <w:iCs/>
          <w:sz w:val="18"/>
          <w:szCs w:val="18"/>
        </w:rPr>
        <w:br/>
      </w:r>
      <w:r w:rsidRPr="001563B1">
        <w:rPr>
          <w:rFonts w:ascii="Verdana" w:hAnsi="Verdana"/>
          <w:sz w:val="18"/>
          <w:szCs w:val="18"/>
        </w:rPr>
        <w:t>De ER zal van gedachten wisselen over concurrentievermogen en de interne markt, voortbouwend op de uitkomsten van de buitengewone ER van 12 februari jl. en de ER van 18 en 19 december jl.</w:t>
      </w:r>
    </w:p>
    <w:p w:rsidR="00DA6375" w:rsidP="00DA6375" w:rsidRDefault="00DA6375" w14:paraId="509A044C" w14:textId="77777777">
      <w:pPr>
        <w:spacing w:after="0"/>
        <w:rPr>
          <w:rFonts w:ascii="Verdana" w:hAnsi="Verdana"/>
          <w:sz w:val="18"/>
          <w:szCs w:val="18"/>
        </w:rPr>
      </w:pPr>
    </w:p>
    <w:p w:rsidR="00DA6375" w:rsidP="00DA6375" w:rsidRDefault="00DA6375" w14:paraId="3FA3BBF0" w14:textId="77777777">
      <w:pPr>
        <w:rPr>
          <w:rFonts w:ascii="Verdana" w:hAnsi="Verdana"/>
          <w:sz w:val="18"/>
          <w:szCs w:val="18"/>
        </w:rPr>
      </w:pPr>
      <w:r w:rsidRPr="00E62578">
        <w:rPr>
          <w:rFonts w:ascii="Verdana" w:hAnsi="Verdana"/>
          <w:sz w:val="18"/>
          <w:szCs w:val="18"/>
        </w:rPr>
        <w:t xml:space="preserve">De Commissie heeft aangekondigd voorafgaand aan de ER een Interne Markt </w:t>
      </w:r>
      <w:proofErr w:type="spellStart"/>
      <w:r w:rsidRPr="002B72E0">
        <w:rPr>
          <w:rFonts w:ascii="Verdana" w:hAnsi="Verdana"/>
          <w:i/>
          <w:sz w:val="18"/>
          <w:szCs w:val="18"/>
        </w:rPr>
        <w:t>Roadmap</w:t>
      </w:r>
      <w:proofErr w:type="spellEnd"/>
      <w:r w:rsidRPr="00E62578">
        <w:rPr>
          <w:rFonts w:ascii="Verdana" w:hAnsi="Verdana"/>
          <w:sz w:val="18"/>
          <w:szCs w:val="18"/>
        </w:rPr>
        <w:t xml:space="preserve"> te publiceren met concrete acties en tijdslijnen voor voortgang op de interne markt. De nadruk van de</w:t>
      </w:r>
      <w:r>
        <w:rPr>
          <w:rFonts w:ascii="Verdana" w:hAnsi="Verdana"/>
          <w:sz w:val="18"/>
          <w:szCs w:val="18"/>
        </w:rPr>
        <w:t xml:space="preserve"> kabinets</w:t>
      </w:r>
      <w:r w:rsidRPr="00E62578">
        <w:rPr>
          <w:rFonts w:ascii="Verdana" w:hAnsi="Verdana"/>
          <w:sz w:val="18"/>
          <w:szCs w:val="18"/>
        </w:rPr>
        <w:t>inzet</w:t>
      </w:r>
      <w:r>
        <w:rPr>
          <w:rFonts w:ascii="Verdana" w:hAnsi="Verdana"/>
          <w:sz w:val="18"/>
          <w:szCs w:val="18"/>
        </w:rPr>
        <w:t xml:space="preserve"> zal </w:t>
      </w:r>
      <w:r w:rsidRPr="00E62578">
        <w:rPr>
          <w:rFonts w:ascii="Verdana" w:hAnsi="Verdana"/>
          <w:sz w:val="18"/>
          <w:szCs w:val="18"/>
        </w:rPr>
        <w:t>tijdens de ER liggen op 1) het aanpakken van structurele ongerechtvaardigde belemmeringen op de interne markt en regeldruk; 2) het stimuleren van Europees technologisch leiderschap; 3) verbinding van EU concurrentievermogen, weerbaarheid</w:t>
      </w:r>
      <w:r>
        <w:rPr>
          <w:rFonts w:ascii="Verdana" w:hAnsi="Verdana"/>
          <w:sz w:val="18"/>
          <w:szCs w:val="18"/>
        </w:rPr>
        <w:t>,</w:t>
      </w:r>
      <w:r w:rsidRPr="00E62578" w:rsidDel="00A73060">
        <w:rPr>
          <w:rFonts w:ascii="Verdana" w:hAnsi="Verdana"/>
          <w:sz w:val="18"/>
          <w:szCs w:val="18"/>
        </w:rPr>
        <w:t xml:space="preserve"> en</w:t>
      </w:r>
      <w:r w:rsidRPr="00E62578">
        <w:rPr>
          <w:rFonts w:ascii="Verdana" w:hAnsi="Verdana"/>
          <w:sz w:val="18"/>
          <w:szCs w:val="18"/>
        </w:rPr>
        <w:t xml:space="preserve"> </w:t>
      </w:r>
      <w:proofErr w:type="spellStart"/>
      <w:r w:rsidRPr="00E62578">
        <w:rPr>
          <w:rFonts w:ascii="Verdana" w:hAnsi="Verdana"/>
          <w:sz w:val="18"/>
          <w:szCs w:val="18"/>
        </w:rPr>
        <w:t>decarbonisatie</w:t>
      </w:r>
      <w:proofErr w:type="spellEnd"/>
      <w:r w:rsidRPr="00E62578">
        <w:rPr>
          <w:rFonts w:ascii="Verdana" w:hAnsi="Verdana"/>
          <w:sz w:val="18"/>
          <w:szCs w:val="18"/>
        </w:rPr>
        <w:t xml:space="preserve"> en</w:t>
      </w:r>
      <w:r>
        <w:rPr>
          <w:rFonts w:ascii="Verdana" w:hAnsi="Verdana"/>
          <w:sz w:val="18"/>
          <w:szCs w:val="18"/>
        </w:rPr>
        <w:t xml:space="preserve"> energieprijzen</w:t>
      </w:r>
      <w:r w:rsidRPr="00E62578">
        <w:rPr>
          <w:rFonts w:ascii="Verdana" w:hAnsi="Verdana"/>
          <w:sz w:val="18"/>
          <w:szCs w:val="18"/>
        </w:rPr>
        <w:t xml:space="preserve"> 4) versterking van het concurrentievermogen door een coherent economisch buitenlandbeleid gestoeld op economische veiligheid, open handel en partnerschappen. </w:t>
      </w:r>
    </w:p>
    <w:p w:rsidRPr="006F6361" w:rsidR="00DA6375" w:rsidP="00DA6375" w:rsidRDefault="00DA6375" w14:paraId="076DC859" w14:textId="77777777">
      <w:pPr>
        <w:rPr>
          <w:rFonts w:ascii="Verdana" w:hAnsi="Verdana"/>
          <w:iCs/>
          <w:sz w:val="18"/>
          <w:szCs w:val="18"/>
        </w:rPr>
      </w:pPr>
      <w:r>
        <w:rPr>
          <w:rFonts w:ascii="Verdana" w:hAnsi="Verdana"/>
          <w:iCs/>
          <w:sz w:val="18"/>
          <w:szCs w:val="18"/>
        </w:rPr>
        <w:t>V</w:t>
      </w:r>
      <w:r w:rsidRPr="006F6361">
        <w:rPr>
          <w:rFonts w:ascii="Verdana" w:hAnsi="Verdana"/>
          <w:iCs/>
          <w:sz w:val="18"/>
          <w:szCs w:val="18"/>
        </w:rPr>
        <w:t>erdieping van de Europese kapitaalmarktunie</w:t>
      </w:r>
      <w:r>
        <w:rPr>
          <w:rFonts w:ascii="Verdana" w:hAnsi="Verdana"/>
          <w:iCs/>
          <w:sz w:val="18"/>
          <w:szCs w:val="18"/>
        </w:rPr>
        <w:t xml:space="preserve"> blijft prioritair. Het kabinet pleit daarom onder andere ook voor snelle aanname van </w:t>
      </w:r>
      <w:r w:rsidRPr="006F6361">
        <w:rPr>
          <w:rFonts w:ascii="Verdana" w:hAnsi="Verdana"/>
          <w:iCs/>
          <w:sz w:val="18"/>
          <w:szCs w:val="18"/>
        </w:rPr>
        <w:t xml:space="preserve">het kapitaalmarktintegratie- en </w:t>
      </w:r>
      <w:proofErr w:type="spellStart"/>
      <w:r w:rsidRPr="006F6361">
        <w:rPr>
          <w:rFonts w:ascii="Verdana" w:hAnsi="Verdana"/>
          <w:iCs/>
          <w:sz w:val="18"/>
          <w:szCs w:val="18"/>
        </w:rPr>
        <w:t>toezichtscentralisatiepakket</w:t>
      </w:r>
      <w:proofErr w:type="spellEnd"/>
      <w:r>
        <w:rPr>
          <w:rFonts w:ascii="Verdana" w:hAnsi="Verdana"/>
          <w:iCs/>
          <w:sz w:val="18"/>
          <w:szCs w:val="18"/>
        </w:rPr>
        <w:t xml:space="preserve"> (KTP Pakket)</w:t>
      </w:r>
      <w:r w:rsidRPr="006F6361">
        <w:rPr>
          <w:rFonts w:ascii="Verdana" w:hAnsi="Verdana"/>
          <w:iCs/>
          <w:sz w:val="18"/>
          <w:szCs w:val="18"/>
        </w:rPr>
        <w:t>.</w:t>
      </w:r>
    </w:p>
    <w:p w:rsidR="00DA6375" w:rsidP="00DA6375" w:rsidRDefault="00DA6375" w14:paraId="19ABAFDD" w14:textId="77777777">
      <w:pPr>
        <w:rPr>
          <w:rFonts w:ascii="Verdana" w:hAnsi="Verdana"/>
          <w:sz w:val="18"/>
          <w:szCs w:val="18"/>
        </w:rPr>
      </w:pPr>
      <w:r w:rsidRPr="00E62578">
        <w:rPr>
          <w:rFonts w:ascii="Verdana" w:hAnsi="Verdana"/>
          <w:sz w:val="18"/>
          <w:szCs w:val="18"/>
        </w:rPr>
        <w:t>Er is binnen de ER brede overeenstemming over de urgentie van het versterken van het EU-concurrentievermogen en vervolmaken van de interne markt. Tegelijkertijd bestaan er tussen de lidstaten verschillende opvattingen over de onderliggende instrumenten die hiervoor ingezet kunnen worden</w:t>
      </w:r>
      <w:r>
        <w:rPr>
          <w:rFonts w:ascii="Verdana" w:hAnsi="Verdana"/>
          <w:sz w:val="18"/>
          <w:szCs w:val="18"/>
        </w:rPr>
        <w:t>, zoals een Europees voorkeursprincipe. Het kabinet is in beginsel terughoudend: een EU-</w:t>
      </w:r>
      <w:r w:rsidRPr="004A6B4F">
        <w:rPr>
          <w:rFonts w:ascii="Verdana" w:hAnsi="Verdana"/>
          <w:sz w:val="18"/>
          <w:szCs w:val="18"/>
        </w:rPr>
        <w:t xml:space="preserve">voorkeursprincipe kan </w:t>
      </w:r>
      <w:r>
        <w:rPr>
          <w:rFonts w:ascii="Verdana" w:hAnsi="Verdana"/>
          <w:sz w:val="18"/>
          <w:szCs w:val="18"/>
        </w:rPr>
        <w:t>waar nodig</w:t>
      </w:r>
      <w:r w:rsidRPr="004A6B4F">
        <w:rPr>
          <w:rFonts w:ascii="Verdana" w:hAnsi="Verdana"/>
          <w:sz w:val="18"/>
          <w:szCs w:val="18"/>
        </w:rPr>
        <w:t xml:space="preserve"> worden ingezet om de weerbaarheid van de Unie te versterken en, wanneer minder ingrijpende maatregelen of inzet van bestaande handelsinstrumenten ontoereikend zijn, om strategische markten te stimuleren die essentieel zijn voor de lange termijn weerbaarheid van de Unie, waarbij per sector, waardeketen of industrie zorgvuldig de baten afgewogen moeten worden tegen de koste</w:t>
      </w:r>
      <w:r>
        <w:rPr>
          <w:rFonts w:ascii="Verdana" w:hAnsi="Verdana"/>
          <w:sz w:val="18"/>
          <w:szCs w:val="18"/>
        </w:rPr>
        <w:t>n.</w:t>
      </w:r>
    </w:p>
    <w:p w:rsidRPr="00E62578" w:rsidR="00DA6375" w:rsidP="00DA6375" w:rsidRDefault="00DA6375" w14:paraId="6A86673B" w14:textId="77777777">
      <w:pPr>
        <w:rPr>
          <w:rFonts w:ascii="Verdana" w:hAnsi="Verdana"/>
          <w:sz w:val="18"/>
          <w:szCs w:val="18"/>
        </w:rPr>
      </w:pPr>
      <w:r>
        <w:rPr>
          <w:rFonts w:ascii="Verdana" w:hAnsi="Verdana"/>
          <w:sz w:val="18"/>
          <w:szCs w:val="18"/>
        </w:rPr>
        <w:t xml:space="preserve">Verschillende lidstaten hebben zorgen over de betaalbaarheid van energie. De geopolitieke situatie heeft die zorgen versterkt. Deze lidstaten zien in uitstel of afzwakking van bestaande klimaatregelgeving zoals het ETS een oplossing. Ook pleiten sommige lidstaten voor vergaande ingrepen in het elektriciteitsmarktontwerp. Het kabinet is geen voorstander van deze maatregelen maar ziet een goed functionerende, geïntegreerde Europese energiemarkt juist als randvoorwaarde voor leveringszekerheid en betaalbare prijzen. Ook beschouwt het kabinet ETS juist als kerninstrument voor kostenefficiënte </w:t>
      </w:r>
      <w:proofErr w:type="spellStart"/>
      <w:r>
        <w:rPr>
          <w:rFonts w:ascii="Verdana" w:hAnsi="Verdana"/>
          <w:sz w:val="18"/>
          <w:szCs w:val="18"/>
        </w:rPr>
        <w:t>decarbonisatie</w:t>
      </w:r>
      <w:proofErr w:type="spellEnd"/>
      <w:r>
        <w:rPr>
          <w:rFonts w:ascii="Verdana" w:hAnsi="Verdana"/>
          <w:sz w:val="18"/>
          <w:szCs w:val="18"/>
        </w:rPr>
        <w:t>. Nederland zet daarom in op voorspelbare en stabiele randvoorwaarden voor industrie.</w:t>
      </w:r>
    </w:p>
    <w:p w:rsidR="00DA6375" w:rsidP="00DA6375" w:rsidRDefault="00DA6375" w14:paraId="41333A3F" w14:textId="77777777">
      <w:pPr>
        <w:spacing w:after="0"/>
        <w:rPr>
          <w:rFonts w:ascii="Verdana" w:hAnsi="Verdana"/>
          <w:i/>
          <w:iCs/>
          <w:sz w:val="18"/>
          <w:szCs w:val="18"/>
        </w:rPr>
      </w:pPr>
      <w:r>
        <w:rPr>
          <w:rFonts w:ascii="Verdana" w:hAnsi="Verdana"/>
          <w:i/>
          <w:iCs/>
          <w:sz w:val="18"/>
          <w:szCs w:val="18"/>
        </w:rPr>
        <w:t>Meerjarig Financieel Kader</w:t>
      </w:r>
    </w:p>
    <w:p w:rsidR="00DA6375" w:rsidP="00DA6375" w:rsidRDefault="00DA6375" w14:paraId="654E475F" w14:textId="77777777">
      <w:pPr>
        <w:spacing w:after="0"/>
        <w:rPr>
          <w:rFonts w:ascii="Verdana" w:hAnsi="Verdana"/>
          <w:sz w:val="18"/>
          <w:szCs w:val="18"/>
        </w:rPr>
      </w:pPr>
      <w:r w:rsidRPr="00000F03">
        <w:rPr>
          <w:rFonts w:ascii="Verdana" w:hAnsi="Verdana"/>
          <w:sz w:val="18"/>
          <w:szCs w:val="18"/>
        </w:rPr>
        <w:t xml:space="preserve">Tijdens de </w:t>
      </w:r>
      <w:r>
        <w:rPr>
          <w:rFonts w:ascii="Verdana" w:hAnsi="Verdana"/>
          <w:sz w:val="18"/>
          <w:szCs w:val="18"/>
        </w:rPr>
        <w:t xml:space="preserve">Europese </w:t>
      </w:r>
      <w:r w:rsidRPr="00000F03">
        <w:rPr>
          <w:rFonts w:ascii="Verdana" w:hAnsi="Verdana"/>
          <w:sz w:val="18"/>
          <w:szCs w:val="18"/>
        </w:rPr>
        <w:t xml:space="preserve">Raad </w:t>
      </w:r>
      <w:r>
        <w:rPr>
          <w:rFonts w:ascii="Verdana" w:hAnsi="Verdana"/>
          <w:sz w:val="18"/>
          <w:szCs w:val="18"/>
        </w:rPr>
        <w:t xml:space="preserve">(ER) in maart </w:t>
      </w:r>
      <w:r w:rsidRPr="00000F03">
        <w:rPr>
          <w:rFonts w:ascii="Verdana" w:hAnsi="Verdana"/>
          <w:sz w:val="18"/>
          <w:szCs w:val="18"/>
        </w:rPr>
        <w:t>zal een gedachtewisseling plaatsvinden over het volgend</w:t>
      </w:r>
      <w:r>
        <w:rPr>
          <w:rFonts w:ascii="Verdana" w:hAnsi="Verdana"/>
          <w:sz w:val="18"/>
          <w:szCs w:val="18"/>
        </w:rPr>
        <w:t>e</w:t>
      </w:r>
      <w:r w:rsidRPr="00000F03">
        <w:rPr>
          <w:rFonts w:ascii="Verdana" w:hAnsi="Verdana"/>
          <w:sz w:val="18"/>
          <w:szCs w:val="18"/>
        </w:rPr>
        <w:t xml:space="preserve"> Meerjarig Financieel Kader (MFK). </w:t>
      </w:r>
      <w:r>
        <w:rPr>
          <w:rFonts w:ascii="Verdana" w:hAnsi="Verdana"/>
          <w:sz w:val="18"/>
          <w:szCs w:val="18"/>
        </w:rPr>
        <w:t xml:space="preserve">De ER zal stilstaan bij </w:t>
      </w:r>
      <w:r w:rsidRPr="00000F03">
        <w:rPr>
          <w:rFonts w:ascii="Verdana" w:hAnsi="Verdana"/>
          <w:sz w:val="18"/>
          <w:szCs w:val="18"/>
        </w:rPr>
        <w:t xml:space="preserve">de voortgang van de onderhandelingen over het MFK en </w:t>
      </w:r>
      <w:r>
        <w:rPr>
          <w:rFonts w:ascii="Verdana" w:hAnsi="Verdana"/>
          <w:sz w:val="18"/>
          <w:szCs w:val="18"/>
        </w:rPr>
        <w:t>het</w:t>
      </w:r>
      <w:r w:rsidRPr="00000F03">
        <w:rPr>
          <w:rFonts w:ascii="Verdana" w:hAnsi="Verdana"/>
          <w:sz w:val="18"/>
          <w:szCs w:val="18"/>
        </w:rPr>
        <w:t xml:space="preserve"> </w:t>
      </w:r>
      <w:r>
        <w:rPr>
          <w:rFonts w:ascii="Verdana" w:hAnsi="Verdana"/>
          <w:sz w:val="18"/>
          <w:szCs w:val="18"/>
        </w:rPr>
        <w:t>e</w:t>
      </w:r>
      <w:r w:rsidRPr="00000F03">
        <w:rPr>
          <w:rFonts w:ascii="Verdana" w:hAnsi="Verdana"/>
          <w:sz w:val="18"/>
          <w:szCs w:val="18"/>
        </w:rPr>
        <w:t>igen</w:t>
      </w:r>
      <w:r>
        <w:rPr>
          <w:rFonts w:ascii="Verdana" w:hAnsi="Verdana"/>
          <w:sz w:val="18"/>
          <w:szCs w:val="18"/>
        </w:rPr>
        <w:t>m</w:t>
      </w:r>
      <w:r w:rsidRPr="00000F03">
        <w:rPr>
          <w:rFonts w:ascii="Verdana" w:hAnsi="Verdana"/>
          <w:sz w:val="18"/>
          <w:szCs w:val="18"/>
        </w:rPr>
        <w:t xml:space="preserve">iddelen </w:t>
      </w:r>
      <w:r>
        <w:rPr>
          <w:rFonts w:ascii="Verdana" w:hAnsi="Verdana"/>
          <w:sz w:val="18"/>
          <w:szCs w:val="18"/>
        </w:rPr>
        <w:t>besluit</w:t>
      </w:r>
      <w:r w:rsidRPr="00000F03">
        <w:rPr>
          <w:rFonts w:ascii="Verdana" w:hAnsi="Verdana"/>
          <w:sz w:val="18"/>
          <w:szCs w:val="18"/>
        </w:rPr>
        <w:t xml:space="preserve"> (EMB)</w:t>
      </w:r>
      <w:r>
        <w:rPr>
          <w:rFonts w:ascii="Verdana" w:hAnsi="Verdana"/>
          <w:sz w:val="18"/>
          <w:szCs w:val="18"/>
        </w:rPr>
        <w:t>.</w:t>
      </w:r>
      <w:r w:rsidRPr="00000F03">
        <w:rPr>
          <w:rFonts w:ascii="Verdana" w:hAnsi="Verdana"/>
          <w:sz w:val="18"/>
          <w:szCs w:val="18"/>
        </w:rPr>
        <w:t xml:space="preserve"> Naar verwachting zal daarbij in het bijzonder aandacht uitgaan naar </w:t>
      </w:r>
      <w:r>
        <w:rPr>
          <w:rFonts w:ascii="Verdana" w:hAnsi="Verdana"/>
          <w:sz w:val="18"/>
          <w:szCs w:val="18"/>
        </w:rPr>
        <w:t xml:space="preserve">het Europees Concurrentievermogen Fonds (ECF), financiering en </w:t>
      </w:r>
      <w:r w:rsidRPr="00000F03">
        <w:rPr>
          <w:rFonts w:ascii="Verdana" w:hAnsi="Verdana"/>
          <w:sz w:val="18"/>
          <w:szCs w:val="18"/>
        </w:rPr>
        <w:t xml:space="preserve">de </w:t>
      </w:r>
      <w:proofErr w:type="spellStart"/>
      <w:r w:rsidRPr="00EE69B1">
        <w:rPr>
          <w:rFonts w:ascii="Verdana" w:hAnsi="Verdana"/>
          <w:i/>
          <w:iCs/>
          <w:sz w:val="18"/>
          <w:szCs w:val="18"/>
        </w:rPr>
        <w:t>governance</w:t>
      </w:r>
      <w:proofErr w:type="spellEnd"/>
      <w:r w:rsidRPr="00000F03">
        <w:rPr>
          <w:rFonts w:ascii="Verdana" w:hAnsi="Verdana"/>
          <w:sz w:val="18"/>
          <w:szCs w:val="18"/>
        </w:rPr>
        <w:t xml:space="preserve"> van het MFK.</w:t>
      </w:r>
      <w:r>
        <w:rPr>
          <w:rFonts w:ascii="Verdana" w:hAnsi="Verdana"/>
          <w:sz w:val="18"/>
          <w:szCs w:val="18"/>
        </w:rPr>
        <w:t xml:space="preserve"> </w:t>
      </w:r>
      <w:r w:rsidRPr="00000F03">
        <w:rPr>
          <w:rFonts w:ascii="Verdana" w:hAnsi="Verdana"/>
          <w:sz w:val="18"/>
          <w:szCs w:val="18"/>
        </w:rPr>
        <w:t xml:space="preserve">Het kabinet zet in op een </w:t>
      </w:r>
      <w:r>
        <w:rPr>
          <w:rFonts w:ascii="Verdana" w:hAnsi="Verdana"/>
          <w:sz w:val="18"/>
          <w:szCs w:val="18"/>
        </w:rPr>
        <w:t xml:space="preserve">sterk, </w:t>
      </w:r>
      <w:r w:rsidRPr="00000F03">
        <w:rPr>
          <w:rFonts w:ascii="Verdana" w:hAnsi="Verdana"/>
          <w:sz w:val="18"/>
          <w:szCs w:val="18"/>
        </w:rPr>
        <w:t>toekomstbestendig en gemoderniseerd MFK</w:t>
      </w:r>
      <w:r>
        <w:rPr>
          <w:rFonts w:ascii="Verdana" w:hAnsi="Verdana"/>
          <w:sz w:val="18"/>
          <w:szCs w:val="18"/>
        </w:rPr>
        <w:t xml:space="preserve"> dat bijdraagt aan de strategische doelen van Europa, in het bijzonder op gebied van</w:t>
      </w:r>
      <w:r w:rsidRPr="00000F03">
        <w:rPr>
          <w:rFonts w:ascii="Verdana" w:hAnsi="Verdana"/>
          <w:sz w:val="18"/>
          <w:szCs w:val="18"/>
        </w:rPr>
        <w:t xml:space="preserve"> concurrentievermogen, innovatie, asiel en migratie, en veiligheid en defensie. </w:t>
      </w:r>
      <w:r>
        <w:rPr>
          <w:rFonts w:ascii="Verdana" w:hAnsi="Verdana"/>
          <w:sz w:val="18"/>
          <w:szCs w:val="18"/>
        </w:rPr>
        <w:t xml:space="preserve">Het kabinet zet zich in voor een acceptabele omvang van de Nederlandse afdrachten aan de EU inclusief </w:t>
      </w:r>
      <w:r w:rsidRPr="00000F03">
        <w:rPr>
          <w:rFonts w:ascii="Verdana" w:hAnsi="Verdana"/>
          <w:sz w:val="18"/>
          <w:szCs w:val="18"/>
        </w:rPr>
        <w:t xml:space="preserve">behoud van </w:t>
      </w:r>
      <w:r w:rsidRPr="00221F5B">
        <w:rPr>
          <w:rFonts w:ascii="Verdana" w:hAnsi="Verdana"/>
          <w:sz w:val="18"/>
          <w:szCs w:val="18"/>
        </w:rPr>
        <w:t xml:space="preserve">de </w:t>
      </w:r>
      <w:proofErr w:type="spellStart"/>
      <w:r w:rsidRPr="00221F5B">
        <w:rPr>
          <w:rFonts w:ascii="Verdana" w:hAnsi="Verdana"/>
          <w:sz w:val="18"/>
          <w:szCs w:val="18"/>
        </w:rPr>
        <w:t>bni</w:t>
      </w:r>
      <w:proofErr w:type="spellEnd"/>
      <w:r w:rsidRPr="00221F5B">
        <w:rPr>
          <w:rFonts w:ascii="Verdana" w:hAnsi="Verdana"/>
          <w:sz w:val="18"/>
          <w:szCs w:val="18"/>
        </w:rPr>
        <w:t>-correctie</w:t>
      </w:r>
      <w:r>
        <w:rPr>
          <w:rFonts w:ascii="Verdana" w:hAnsi="Verdana"/>
          <w:sz w:val="18"/>
          <w:szCs w:val="18"/>
        </w:rPr>
        <w:t xml:space="preserve">. </w:t>
      </w:r>
    </w:p>
    <w:p w:rsidR="00DA6375" w:rsidP="00DA6375" w:rsidRDefault="00DA6375" w14:paraId="0714E21B" w14:textId="77777777">
      <w:pPr>
        <w:spacing w:after="0"/>
        <w:rPr>
          <w:rFonts w:ascii="Verdana" w:hAnsi="Verdana"/>
          <w:sz w:val="18"/>
          <w:szCs w:val="18"/>
        </w:rPr>
      </w:pPr>
    </w:p>
    <w:p w:rsidRPr="00000F03" w:rsidR="00DA6375" w:rsidP="00DA6375" w:rsidRDefault="00DA6375" w14:paraId="4732CA13" w14:textId="77777777">
      <w:pPr>
        <w:spacing w:after="0"/>
        <w:rPr>
          <w:rFonts w:ascii="Verdana" w:hAnsi="Verdana"/>
          <w:sz w:val="18"/>
          <w:szCs w:val="18"/>
        </w:rPr>
      </w:pPr>
      <w:r>
        <w:rPr>
          <w:rFonts w:ascii="Verdana" w:hAnsi="Verdana"/>
          <w:sz w:val="18"/>
          <w:szCs w:val="18"/>
        </w:rPr>
        <w:t xml:space="preserve">Bij </w:t>
      </w:r>
      <w:r w:rsidRPr="00000F03">
        <w:rPr>
          <w:rFonts w:ascii="Verdana" w:hAnsi="Verdana"/>
          <w:sz w:val="18"/>
          <w:szCs w:val="18"/>
        </w:rPr>
        <w:t xml:space="preserve">het </w:t>
      </w:r>
      <w:r>
        <w:rPr>
          <w:rFonts w:ascii="Verdana" w:hAnsi="Verdana"/>
          <w:sz w:val="18"/>
          <w:szCs w:val="18"/>
        </w:rPr>
        <w:t>ECF</w:t>
      </w:r>
      <w:r w:rsidRPr="009D5D23">
        <w:rPr>
          <w:rFonts w:ascii="Verdana" w:hAnsi="Verdana"/>
          <w:sz w:val="18"/>
          <w:szCs w:val="18"/>
        </w:rPr>
        <w:t xml:space="preserve"> </w:t>
      </w:r>
      <w:r>
        <w:rPr>
          <w:rFonts w:ascii="Verdana" w:hAnsi="Verdana"/>
          <w:sz w:val="18"/>
          <w:szCs w:val="18"/>
        </w:rPr>
        <w:t xml:space="preserve">is het </w:t>
      </w:r>
      <w:r w:rsidRPr="009D5D23">
        <w:rPr>
          <w:rFonts w:ascii="Verdana" w:hAnsi="Verdana"/>
          <w:sz w:val="18"/>
          <w:szCs w:val="18"/>
        </w:rPr>
        <w:t>van belang dat waar mogelijk wordt gefocust</w:t>
      </w:r>
      <w:r w:rsidRPr="00000F03">
        <w:rPr>
          <w:rFonts w:ascii="Verdana" w:hAnsi="Verdana"/>
          <w:sz w:val="18"/>
          <w:szCs w:val="18"/>
        </w:rPr>
        <w:t xml:space="preserve"> op de </w:t>
      </w:r>
      <w:r w:rsidRPr="009D5D23">
        <w:rPr>
          <w:rFonts w:ascii="Verdana" w:hAnsi="Verdana"/>
          <w:sz w:val="18"/>
          <w:szCs w:val="18"/>
        </w:rPr>
        <w:t>meest strategische technologieën en sectoren. Middelen binnen het ECF moeten zoveel mogelijk op basis van excellentie en impact worden ingezet, via open en competitieve procedures</w:t>
      </w:r>
      <w:r>
        <w:rPr>
          <w:rFonts w:ascii="Verdana" w:hAnsi="Verdana"/>
          <w:sz w:val="18"/>
          <w:szCs w:val="18"/>
        </w:rPr>
        <w:t xml:space="preserve">. Ten aanzien van de </w:t>
      </w:r>
      <w:proofErr w:type="spellStart"/>
      <w:r w:rsidRPr="009D5D23">
        <w:rPr>
          <w:rFonts w:ascii="Verdana" w:hAnsi="Verdana"/>
          <w:i/>
          <w:iCs/>
          <w:sz w:val="18"/>
          <w:szCs w:val="18"/>
        </w:rPr>
        <w:lastRenderedPageBreak/>
        <w:t>governance</w:t>
      </w:r>
      <w:proofErr w:type="spellEnd"/>
      <w:r>
        <w:rPr>
          <w:rFonts w:ascii="Verdana" w:hAnsi="Verdana"/>
          <w:sz w:val="18"/>
          <w:szCs w:val="18"/>
        </w:rPr>
        <w:t xml:space="preserve"> van het MFK</w:t>
      </w:r>
      <w:r w:rsidRPr="00000F03">
        <w:rPr>
          <w:rFonts w:ascii="Verdana" w:hAnsi="Verdana"/>
          <w:sz w:val="18"/>
          <w:szCs w:val="18"/>
        </w:rPr>
        <w:t xml:space="preserve"> pleit het kabinet voor een versterkte rol van de </w:t>
      </w:r>
      <w:r>
        <w:rPr>
          <w:rFonts w:ascii="Verdana" w:hAnsi="Verdana"/>
          <w:sz w:val="18"/>
          <w:szCs w:val="18"/>
        </w:rPr>
        <w:t>ER</w:t>
      </w:r>
      <w:r w:rsidRPr="00000F03">
        <w:rPr>
          <w:rFonts w:ascii="Verdana" w:hAnsi="Verdana"/>
          <w:sz w:val="18"/>
          <w:szCs w:val="18"/>
        </w:rPr>
        <w:t xml:space="preserve"> en de lidstaten in de vormgeving en uitvoering van het volgend MFK. Tegelijkertijd dient te worden gewaarborgd dat administratieve processen doelmatig blijven en niet onnodig worden verzwaard.</w:t>
      </w:r>
    </w:p>
    <w:p w:rsidR="00DA6375" w:rsidP="00DA6375" w:rsidRDefault="00DA6375" w14:paraId="027F1173" w14:textId="77777777">
      <w:pPr>
        <w:spacing w:after="0"/>
        <w:rPr>
          <w:rFonts w:ascii="Verdana" w:hAnsi="Verdana"/>
          <w:i/>
          <w:iCs/>
          <w:sz w:val="18"/>
          <w:szCs w:val="18"/>
        </w:rPr>
      </w:pPr>
    </w:p>
    <w:p w:rsidR="00DA6375" w:rsidP="00DA6375" w:rsidRDefault="00DA6375" w14:paraId="5FCD1462" w14:textId="77777777">
      <w:pPr>
        <w:spacing w:after="0"/>
        <w:rPr>
          <w:rFonts w:ascii="Verdana" w:hAnsi="Verdana"/>
          <w:i/>
          <w:iCs/>
          <w:sz w:val="18"/>
          <w:szCs w:val="18"/>
        </w:rPr>
      </w:pPr>
      <w:r>
        <w:rPr>
          <w:rFonts w:ascii="Verdana" w:hAnsi="Verdana"/>
          <w:i/>
          <w:iCs/>
          <w:sz w:val="18"/>
          <w:szCs w:val="18"/>
        </w:rPr>
        <w:t>Europese defensie en veiligheid</w:t>
      </w:r>
    </w:p>
    <w:p w:rsidRPr="00604C9F" w:rsidR="00DA6375" w:rsidP="00DA6375" w:rsidRDefault="00DA6375" w14:paraId="5993E8DE" w14:textId="17D09772">
      <w:pPr>
        <w:spacing w:after="0"/>
        <w:rPr>
          <w:rFonts w:ascii="Verdana" w:hAnsi="Verdana"/>
          <w:sz w:val="18"/>
          <w:szCs w:val="18"/>
        </w:rPr>
      </w:pPr>
      <w:r>
        <w:rPr>
          <w:rFonts w:ascii="Verdana" w:hAnsi="Verdana"/>
          <w:sz w:val="18"/>
          <w:szCs w:val="18"/>
        </w:rPr>
        <w:t>De ER zal stilstaan bij alle lopende sporen op het gebied van Europese defensie en veiligheid. Leidend hierbij zijn het Witboek Europese defensiegereedheid 2030 van maart 2025</w:t>
      </w:r>
      <w:r>
        <w:rPr>
          <w:rStyle w:val="FootnoteReference"/>
          <w:rFonts w:ascii="Verdana" w:hAnsi="Verdana"/>
          <w:sz w:val="18"/>
          <w:szCs w:val="18"/>
        </w:rPr>
        <w:footnoteReference w:id="2"/>
      </w:r>
      <w:r>
        <w:rPr>
          <w:rFonts w:ascii="Verdana" w:hAnsi="Verdana"/>
          <w:sz w:val="18"/>
          <w:szCs w:val="18"/>
        </w:rPr>
        <w:t xml:space="preserve"> en de hierop volgende Routekaart defensiegereedheid van oktober 2025. Het kabinet verwelkomt in het algemeen de toenemende rol van de EU op dit thema in de vorm van financiering, wetgeving en co</w:t>
      </w:r>
      <w:r w:rsidRPr="00846273">
        <w:rPr>
          <w:rFonts w:ascii="Verdana" w:hAnsi="Verdana"/>
          <w:sz w:val="18"/>
          <w:szCs w:val="18"/>
        </w:rPr>
        <w:t>ö</w:t>
      </w:r>
      <w:r>
        <w:rPr>
          <w:rFonts w:ascii="Verdana" w:hAnsi="Verdana"/>
          <w:sz w:val="18"/>
          <w:szCs w:val="18"/>
        </w:rPr>
        <w:t>rdinatie. De NAVO blijft voor Nederland de hoeksteen van de collectieve afschrikking en verdediging van het continent. Nederland zal het belang benadrukken van de afbouw van risicovolle afhankelijkheden op het gebied van defensie en veiligheid</w:t>
      </w:r>
      <w:r w:rsidRPr="00DA6375">
        <w:rPr>
          <w:rFonts w:ascii="Verdana" w:hAnsi="Verdana"/>
          <w:sz w:val="18"/>
          <w:szCs w:val="18"/>
        </w:rPr>
        <w:t xml:space="preserve"> </w:t>
      </w:r>
      <w:r>
        <w:rPr>
          <w:rFonts w:ascii="Verdana" w:hAnsi="Verdana"/>
          <w:sz w:val="18"/>
          <w:szCs w:val="18"/>
        </w:rPr>
        <w:t xml:space="preserve">Nederland zal uitdragen dat het streeft naar 40 procent gezamenlijke aanbestedingen en 50 procent defensieaankopen binnen Europa en andere EU-lidstaten hier ook toe oproepen. Samenwerking met derde landen blijft cruciaal, in het bijzonder ten behoeve van steun aan Oekraïne, en Nederland zal ertoe oproepen dat EU-instrumenten hier voldoende mogelijkheden voor bieden. Tot slot is voor het kabinet van belang dat de </w:t>
      </w:r>
      <w:r>
        <w:rPr>
          <w:rFonts w:ascii="Verdana" w:hAnsi="Verdana"/>
          <w:i/>
          <w:iCs/>
          <w:sz w:val="18"/>
          <w:szCs w:val="18"/>
        </w:rPr>
        <w:t xml:space="preserve">Priority </w:t>
      </w:r>
      <w:proofErr w:type="spellStart"/>
      <w:r>
        <w:rPr>
          <w:rFonts w:ascii="Verdana" w:hAnsi="Verdana"/>
          <w:i/>
          <w:iCs/>
          <w:sz w:val="18"/>
          <w:szCs w:val="18"/>
        </w:rPr>
        <w:t>Capability</w:t>
      </w:r>
      <w:proofErr w:type="spellEnd"/>
      <w:r>
        <w:rPr>
          <w:rFonts w:ascii="Verdana" w:hAnsi="Verdana"/>
          <w:i/>
          <w:iCs/>
          <w:sz w:val="18"/>
          <w:szCs w:val="18"/>
        </w:rPr>
        <w:t xml:space="preserve"> </w:t>
      </w:r>
      <w:proofErr w:type="spellStart"/>
      <w:r>
        <w:rPr>
          <w:rFonts w:ascii="Verdana" w:hAnsi="Verdana"/>
          <w:i/>
          <w:iCs/>
          <w:sz w:val="18"/>
          <w:szCs w:val="18"/>
        </w:rPr>
        <w:t>Areas</w:t>
      </w:r>
      <w:proofErr w:type="spellEnd"/>
      <w:r>
        <w:rPr>
          <w:rFonts w:ascii="Verdana" w:hAnsi="Verdana"/>
          <w:sz w:val="18"/>
          <w:szCs w:val="18"/>
        </w:rPr>
        <w:t xml:space="preserve"> (</w:t>
      </w:r>
      <w:proofErr w:type="spellStart"/>
      <w:r>
        <w:rPr>
          <w:rFonts w:ascii="Verdana" w:hAnsi="Verdana"/>
          <w:sz w:val="18"/>
          <w:szCs w:val="18"/>
        </w:rPr>
        <w:t>PCA’s</w:t>
      </w:r>
      <w:proofErr w:type="spellEnd"/>
      <w:r>
        <w:rPr>
          <w:rFonts w:ascii="Verdana" w:hAnsi="Verdana"/>
          <w:sz w:val="18"/>
          <w:szCs w:val="18"/>
        </w:rPr>
        <w:t>) met urgentie concrete invulling krijgen, waarbij Nederland met een aantal andere EU-lidstaten het goede voorbeeld geeft met de PCA drones en counter-drones systemen.</w:t>
      </w:r>
    </w:p>
    <w:p w:rsidR="00DA6375" w:rsidP="00DA6375" w:rsidRDefault="00DA6375" w14:paraId="1A596165" w14:textId="77777777">
      <w:pPr>
        <w:spacing w:after="0"/>
        <w:rPr>
          <w:rFonts w:ascii="Verdana" w:hAnsi="Verdana"/>
          <w:i/>
          <w:iCs/>
          <w:sz w:val="18"/>
          <w:szCs w:val="18"/>
        </w:rPr>
      </w:pPr>
      <w:r>
        <w:rPr>
          <w:rFonts w:ascii="Verdana" w:hAnsi="Verdana"/>
          <w:i/>
          <w:iCs/>
          <w:sz w:val="18"/>
          <w:szCs w:val="18"/>
        </w:rPr>
        <w:br/>
        <w:t>Migratie</w:t>
      </w:r>
    </w:p>
    <w:p w:rsidRPr="00604C9F" w:rsidR="00DA6375" w:rsidP="00DA6375" w:rsidRDefault="00DA6375" w14:paraId="71FA23E0" w14:textId="77777777">
      <w:pPr>
        <w:spacing w:after="0"/>
        <w:rPr>
          <w:rFonts w:ascii="Verdana" w:hAnsi="Verdana"/>
          <w:sz w:val="18"/>
          <w:szCs w:val="18"/>
        </w:rPr>
      </w:pPr>
      <w:r w:rsidRPr="006F0CBA">
        <w:rPr>
          <w:rFonts w:ascii="Verdana" w:hAnsi="Verdana"/>
          <w:sz w:val="18"/>
          <w:szCs w:val="18"/>
        </w:rPr>
        <w:t xml:space="preserve">Het kabinet ziet uit naar de reguliere voortgangsbrief van de Commissie over de EU-inzet op migratie. Voor het kabinet is het essentieel dat de </w:t>
      </w:r>
      <w:r>
        <w:rPr>
          <w:rFonts w:ascii="Verdana" w:hAnsi="Verdana"/>
          <w:sz w:val="18"/>
          <w:szCs w:val="18"/>
        </w:rPr>
        <w:t xml:space="preserve">ER </w:t>
      </w:r>
      <w:r w:rsidRPr="006F0CBA">
        <w:rPr>
          <w:rFonts w:ascii="Verdana" w:hAnsi="Verdana"/>
          <w:sz w:val="18"/>
          <w:szCs w:val="18"/>
        </w:rPr>
        <w:t xml:space="preserve">zowel de interne als de externe aspecten van migratie binnen de EU adresseert. Prioriteiten hierbij zijn het tegengaan van irreguliere migratie, de bescherming van migranten en het bevorderen van terugkeer. Hierbij wordt ingezet op voortgang in de snelle implementatie van het Asiel- en Migratiepact, de naleving van de Dublin-verordening en de (door)ontwikkeling van brede partnerschappen. Voorafgaand aan de </w:t>
      </w:r>
      <w:r>
        <w:rPr>
          <w:rFonts w:ascii="Verdana" w:hAnsi="Verdana"/>
          <w:sz w:val="18"/>
          <w:szCs w:val="18"/>
        </w:rPr>
        <w:t>ER</w:t>
      </w:r>
      <w:r w:rsidRPr="006F0CBA">
        <w:rPr>
          <w:rFonts w:ascii="Verdana" w:hAnsi="Verdana"/>
          <w:sz w:val="18"/>
          <w:szCs w:val="18"/>
        </w:rPr>
        <w:t xml:space="preserve"> zal het kabinet met gelijkgezinde lidstaten en de Commissie in gesprek gaan over innovatieve vormen van migratiesamenwerking. Het kabinet blijft een voortrekkersrol spelen bij de doorontwikkeling van nieuwe oplossingen.</w:t>
      </w:r>
    </w:p>
    <w:p w:rsidR="00DA6375" w:rsidP="00DA6375" w:rsidRDefault="00DA6375" w14:paraId="243F2D75" w14:textId="77777777">
      <w:pPr>
        <w:spacing w:after="0"/>
        <w:rPr>
          <w:rFonts w:ascii="Verdana" w:hAnsi="Verdana"/>
          <w:i/>
          <w:iCs/>
          <w:sz w:val="18"/>
          <w:szCs w:val="18"/>
        </w:rPr>
      </w:pPr>
    </w:p>
    <w:p w:rsidR="00DA6375" w:rsidP="00DA6375" w:rsidRDefault="00DA6375" w14:paraId="26BF9655" w14:textId="77777777">
      <w:pPr>
        <w:spacing w:after="0"/>
        <w:rPr>
          <w:rFonts w:ascii="Verdana" w:hAnsi="Verdana"/>
          <w:sz w:val="18"/>
          <w:szCs w:val="18"/>
        </w:rPr>
      </w:pPr>
      <w:r w:rsidRPr="00337EDD">
        <w:rPr>
          <w:rFonts w:ascii="Verdana" w:hAnsi="Verdana"/>
          <w:i/>
          <w:iCs/>
          <w:sz w:val="18"/>
          <w:szCs w:val="18"/>
        </w:rPr>
        <w:t>Lunch met de Secretaris-Generaal van de Verenigde Naties</w:t>
      </w:r>
    </w:p>
    <w:p w:rsidR="00DA6375" w:rsidP="00DA6375" w:rsidRDefault="00DA6375" w14:paraId="1EF6F088" w14:textId="77777777">
      <w:pPr>
        <w:rPr>
          <w:rFonts w:ascii="Verdana" w:hAnsi="Verdana"/>
          <w:sz w:val="18"/>
          <w:szCs w:val="18"/>
        </w:rPr>
      </w:pPr>
      <w:r w:rsidRPr="008D4D76">
        <w:rPr>
          <w:rFonts w:ascii="Verdana" w:hAnsi="Verdana"/>
          <w:sz w:val="18"/>
          <w:szCs w:val="18"/>
        </w:rPr>
        <w:t xml:space="preserve">De Secretaris-Generaal van de Verenigde Naties, Antonio </w:t>
      </w:r>
      <w:proofErr w:type="spellStart"/>
      <w:r w:rsidRPr="008D4D76">
        <w:rPr>
          <w:rFonts w:ascii="Verdana" w:hAnsi="Verdana"/>
          <w:sz w:val="18"/>
          <w:szCs w:val="18"/>
        </w:rPr>
        <w:t>Guterres</w:t>
      </w:r>
      <w:proofErr w:type="spellEnd"/>
      <w:r w:rsidRPr="008D4D76">
        <w:rPr>
          <w:rFonts w:ascii="Verdana" w:hAnsi="Verdana"/>
          <w:sz w:val="18"/>
          <w:szCs w:val="18"/>
        </w:rPr>
        <w:t>, zal naar verwachting steun vragen voor het behoud van de VN als belangrijkste internationale platform en hoeder van het internationaal recht en internationale vrede en veiligheid, de precaire financiële situatie van de VN en de VN80-hervormingsagenda. Nederland blijft het belang van het naleven van het internationaal recht onderstrepen, inclusief de principes van het VN-Handvest, onder meer tijdens de viering dit jaar van het 80-jarige bestaan van het Internationaal Gerechtshof waarvan Nederland gastland is. Wat betreft de financiële situatie van de VN onderstreept Nederland de noodzaak dat alle lidstaten volledig en op tijd betalen. Ook verwelkomt Nederland de gerealiseerde en aangekondigde bezuinigingen binnen de VN. Ten slotte zal Nederland opnieuw steun uitspreken voor de VN80-hervormingen op de drie pijlers van de VN (vrede en veiligheid, ontwikkeling, mensenrechten) en hun onderlinge samenhang, om te komen tot een effectievere VN die zich meer richt op haar kernmandaten.</w:t>
      </w:r>
    </w:p>
    <w:p w:rsidR="00DA6375" w:rsidP="00DA6375" w:rsidRDefault="00DA6375" w14:paraId="027646FC" w14:textId="77777777">
      <w:pPr>
        <w:spacing w:after="0"/>
        <w:rPr>
          <w:rFonts w:ascii="Verdana" w:hAnsi="Verdana"/>
          <w:i/>
          <w:iCs/>
          <w:sz w:val="18"/>
          <w:szCs w:val="18"/>
        </w:rPr>
      </w:pPr>
      <w:r>
        <w:rPr>
          <w:rFonts w:ascii="Verdana" w:hAnsi="Verdana"/>
          <w:i/>
          <w:iCs/>
          <w:sz w:val="18"/>
          <w:szCs w:val="18"/>
        </w:rPr>
        <w:t>Eurozonetop</w:t>
      </w:r>
    </w:p>
    <w:p w:rsidR="00DA6375" w:rsidP="00DA6375" w:rsidRDefault="00DA6375" w14:paraId="0E8DE028" w14:textId="77777777">
      <w:pPr>
        <w:spacing w:after="0"/>
        <w:rPr>
          <w:rFonts w:ascii="Verdana" w:hAnsi="Verdana"/>
          <w:sz w:val="18"/>
          <w:szCs w:val="18"/>
        </w:rPr>
      </w:pPr>
      <w:r w:rsidRPr="009C221C">
        <w:rPr>
          <w:rFonts w:ascii="Verdana" w:hAnsi="Verdana"/>
          <w:sz w:val="18"/>
          <w:szCs w:val="18"/>
        </w:rPr>
        <w:t xml:space="preserve">En marge van de </w:t>
      </w:r>
      <w:r>
        <w:rPr>
          <w:rFonts w:ascii="Verdana" w:hAnsi="Verdana"/>
          <w:sz w:val="18"/>
          <w:szCs w:val="18"/>
        </w:rPr>
        <w:t>ER</w:t>
      </w:r>
      <w:r w:rsidRPr="009C221C">
        <w:rPr>
          <w:rFonts w:ascii="Verdana" w:hAnsi="Verdana"/>
          <w:sz w:val="18"/>
          <w:szCs w:val="18"/>
        </w:rPr>
        <w:t xml:space="preserve"> van maart zal een Euro</w:t>
      </w:r>
      <w:r>
        <w:rPr>
          <w:rFonts w:ascii="Verdana" w:hAnsi="Verdana"/>
          <w:sz w:val="18"/>
          <w:szCs w:val="18"/>
        </w:rPr>
        <w:t>zone</w:t>
      </w:r>
      <w:r w:rsidRPr="009C221C">
        <w:rPr>
          <w:rFonts w:ascii="Verdana" w:hAnsi="Verdana"/>
          <w:sz w:val="18"/>
          <w:szCs w:val="18"/>
        </w:rPr>
        <w:t xml:space="preserve">top plaatsvinden, een bijeenkomst van regeringsleiders van landen die de euro als munt hebben. Een formele agenda is nog niet bekend. De Eurogroep </w:t>
      </w:r>
      <w:r>
        <w:rPr>
          <w:rFonts w:ascii="Verdana" w:hAnsi="Verdana"/>
          <w:sz w:val="18"/>
          <w:szCs w:val="18"/>
        </w:rPr>
        <w:t xml:space="preserve">die bij elkaar komt op 9 maart </w:t>
      </w:r>
      <w:r w:rsidRPr="009C221C">
        <w:rPr>
          <w:rFonts w:ascii="Verdana" w:hAnsi="Verdana"/>
          <w:sz w:val="18"/>
          <w:szCs w:val="18"/>
        </w:rPr>
        <w:t xml:space="preserve">zal van gedachten wisselen over de invulling van deze </w:t>
      </w:r>
      <w:r>
        <w:rPr>
          <w:rFonts w:ascii="Verdana" w:hAnsi="Verdana"/>
          <w:sz w:val="18"/>
          <w:szCs w:val="18"/>
        </w:rPr>
        <w:t>top</w:t>
      </w:r>
      <w:r w:rsidRPr="009C221C">
        <w:rPr>
          <w:rFonts w:ascii="Verdana" w:hAnsi="Verdana"/>
          <w:sz w:val="18"/>
          <w:szCs w:val="18"/>
        </w:rPr>
        <w:t>. Naar verwachting zal de Euro</w:t>
      </w:r>
      <w:r>
        <w:rPr>
          <w:rFonts w:ascii="Verdana" w:hAnsi="Verdana"/>
          <w:sz w:val="18"/>
          <w:szCs w:val="18"/>
        </w:rPr>
        <w:t>zone</w:t>
      </w:r>
      <w:r w:rsidRPr="009C221C">
        <w:rPr>
          <w:rFonts w:ascii="Verdana" w:hAnsi="Verdana"/>
          <w:sz w:val="18"/>
          <w:szCs w:val="18"/>
        </w:rPr>
        <w:t xml:space="preserve">top onder andere spreken over de </w:t>
      </w:r>
      <w:r>
        <w:rPr>
          <w:rFonts w:ascii="Verdana" w:hAnsi="Verdana"/>
          <w:sz w:val="18"/>
          <w:szCs w:val="18"/>
        </w:rPr>
        <w:t xml:space="preserve">Economische en Monetaire Unie, de </w:t>
      </w:r>
      <w:r w:rsidRPr="009C221C">
        <w:rPr>
          <w:rFonts w:ascii="Verdana" w:hAnsi="Verdana"/>
          <w:sz w:val="18"/>
          <w:szCs w:val="18"/>
        </w:rPr>
        <w:t>internationale rol van de euro, en de jaarlijkse aanbevelingen voor het economisch beleid van de eurozone (</w:t>
      </w:r>
      <w:r w:rsidRPr="00EE69B1">
        <w:rPr>
          <w:rFonts w:ascii="Verdana" w:hAnsi="Verdana"/>
          <w:i/>
          <w:sz w:val="18"/>
          <w:szCs w:val="18"/>
        </w:rPr>
        <w:t xml:space="preserve">euro area </w:t>
      </w:r>
      <w:proofErr w:type="spellStart"/>
      <w:r w:rsidRPr="00EE69B1">
        <w:rPr>
          <w:rFonts w:ascii="Verdana" w:hAnsi="Verdana"/>
          <w:i/>
          <w:sz w:val="18"/>
          <w:szCs w:val="18"/>
        </w:rPr>
        <w:t>recommendations</w:t>
      </w:r>
      <w:proofErr w:type="spellEnd"/>
      <w:r w:rsidRPr="009C221C">
        <w:rPr>
          <w:rFonts w:ascii="Verdana" w:hAnsi="Verdana"/>
          <w:sz w:val="18"/>
          <w:szCs w:val="18"/>
        </w:rPr>
        <w:t>, EAR).</w:t>
      </w:r>
    </w:p>
    <w:p w:rsidR="00DA6375" w:rsidP="00DA6375" w:rsidRDefault="00DA6375" w14:paraId="73DD1142" w14:textId="77777777">
      <w:pPr>
        <w:spacing w:after="0"/>
        <w:rPr>
          <w:rFonts w:ascii="Verdana" w:hAnsi="Verdana"/>
          <w:i/>
          <w:iCs/>
          <w:sz w:val="18"/>
          <w:szCs w:val="18"/>
        </w:rPr>
      </w:pPr>
    </w:p>
    <w:p w:rsidRPr="00FF648F" w:rsidR="00DA6375" w:rsidP="00DA6375" w:rsidRDefault="00DA6375" w14:paraId="02EC00B3" w14:textId="77777777"/>
    <w:bookmarkEnd w:id="0"/>
    <w:p w:rsidRPr="00F24025" w:rsidR="00BA49A0" w:rsidP="009735B3" w:rsidRDefault="00BA49A0" w14:paraId="3A543763" w14:textId="351D258C">
      <w:pPr>
        <w:spacing w:after="0"/>
        <w:rPr>
          <w:rFonts w:ascii="Verdana" w:hAnsi="Verdana"/>
          <w:sz w:val="18"/>
          <w:szCs w:val="18"/>
        </w:rPr>
      </w:pPr>
    </w:p>
    <w:sectPr w:rsidRPr="00F24025" w:rsidR="00BA49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F5E0" w14:textId="77777777" w:rsidR="00BA1FEE" w:rsidRDefault="00BA1FEE">
      <w:pPr>
        <w:spacing w:after="0" w:line="240" w:lineRule="auto"/>
      </w:pPr>
      <w:r>
        <w:separator/>
      </w:r>
    </w:p>
  </w:endnote>
  <w:endnote w:type="continuationSeparator" w:id="0">
    <w:p w14:paraId="4AE1BD92" w14:textId="77777777" w:rsidR="00BA1FEE" w:rsidRDefault="00BA1FEE">
      <w:pPr>
        <w:spacing w:after="0" w:line="240" w:lineRule="auto"/>
      </w:pPr>
      <w:r>
        <w:continuationSeparator/>
      </w:r>
    </w:p>
  </w:endnote>
  <w:endnote w:type="continuationNotice" w:id="1">
    <w:p w14:paraId="17C96269" w14:textId="77777777" w:rsidR="008441A2" w:rsidRDefault="00844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2FCF" w14:textId="77777777" w:rsidR="00C078D9" w:rsidRDefault="00C0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40775"/>
      <w:docPartObj>
        <w:docPartGallery w:val="Page Numbers (Bottom of Page)"/>
        <w:docPartUnique/>
      </w:docPartObj>
    </w:sdtPr>
    <w:sdtEndPr/>
    <w:sdtContent>
      <w:p w14:paraId="2BFCA0D7" w14:textId="15D7EADE" w:rsidR="00C078D9" w:rsidRDefault="00C078D9">
        <w:pPr>
          <w:pStyle w:val="Footer"/>
          <w:jc w:val="center"/>
        </w:pPr>
        <w:r>
          <w:fldChar w:fldCharType="begin"/>
        </w:r>
        <w:r>
          <w:instrText>PAGE   \* MERGEFORMAT</w:instrText>
        </w:r>
        <w:r>
          <w:fldChar w:fldCharType="separate"/>
        </w:r>
        <w:r>
          <w:t>2</w:t>
        </w:r>
        <w:r>
          <w:fldChar w:fldCharType="end"/>
        </w:r>
      </w:p>
    </w:sdtContent>
  </w:sdt>
  <w:p w14:paraId="0E74681E" w14:textId="77777777" w:rsidR="00C078D9" w:rsidRDefault="00C07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46CF" w14:textId="77777777" w:rsidR="00C078D9" w:rsidRDefault="00C0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BE8E" w14:textId="77777777" w:rsidR="00BA1FEE" w:rsidRDefault="00BA1FEE">
      <w:pPr>
        <w:spacing w:after="0" w:line="240" w:lineRule="auto"/>
      </w:pPr>
      <w:r>
        <w:separator/>
      </w:r>
    </w:p>
  </w:footnote>
  <w:footnote w:type="continuationSeparator" w:id="0">
    <w:p w14:paraId="60A46F3D" w14:textId="77777777" w:rsidR="00BA1FEE" w:rsidRDefault="00BA1FEE">
      <w:pPr>
        <w:spacing w:after="0" w:line="240" w:lineRule="auto"/>
      </w:pPr>
      <w:r>
        <w:continuationSeparator/>
      </w:r>
    </w:p>
  </w:footnote>
  <w:footnote w:type="continuationNotice" w:id="1">
    <w:p w14:paraId="4E16FB4F" w14:textId="77777777" w:rsidR="008441A2" w:rsidRDefault="008441A2">
      <w:pPr>
        <w:spacing w:after="0" w:line="240" w:lineRule="auto"/>
      </w:pPr>
    </w:p>
  </w:footnote>
  <w:footnote w:id="2">
    <w:p w14:paraId="3BD115C9" w14:textId="77777777" w:rsidR="00DA6375" w:rsidRPr="002C4538" w:rsidRDefault="00DA6375" w:rsidP="00DA6375">
      <w:pPr>
        <w:pStyle w:val="FootnoteText"/>
        <w:rPr>
          <w:rFonts w:ascii="Verdana" w:hAnsi="Verdana"/>
          <w:sz w:val="16"/>
          <w:szCs w:val="16"/>
          <w:lang w:val="en-US"/>
        </w:rPr>
      </w:pPr>
      <w:r w:rsidRPr="002C4538">
        <w:rPr>
          <w:rStyle w:val="FootnoteReference"/>
          <w:rFonts w:ascii="Verdana" w:hAnsi="Verdana"/>
          <w:sz w:val="16"/>
          <w:szCs w:val="16"/>
        </w:rPr>
        <w:footnoteRef/>
      </w:r>
      <w:r w:rsidRPr="002C4538">
        <w:rPr>
          <w:rFonts w:ascii="Verdana" w:hAnsi="Verdana"/>
          <w:sz w:val="16"/>
          <w:szCs w:val="16"/>
        </w:rPr>
        <w:t xml:space="preserve"> Zie Kamerstuk </w:t>
      </w:r>
      <w:r w:rsidRPr="002C4538">
        <w:rPr>
          <w:rFonts w:ascii="Verdana" w:hAnsi="Verdana"/>
          <w:sz w:val="16"/>
          <w:szCs w:val="16"/>
          <w:lang w:val="en-US"/>
        </w:rPr>
        <w:t>22112, nr. 4027</w:t>
      </w:r>
      <w:r>
        <w:rPr>
          <w:rFonts w:ascii="Verdana" w:hAnsi="Verdan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568" w14:textId="77777777" w:rsidR="00C078D9" w:rsidRDefault="00C07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3B47" w14:textId="77777777" w:rsidR="00C078D9" w:rsidRDefault="00C07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FC22" w14:textId="77777777" w:rsidR="00C078D9" w:rsidRDefault="00C0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1B0"/>
    <w:multiLevelType w:val="hybridMultilevel"/>
    <w:tmpl w:val="3C74B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A331812"/>
    <w:multiLevelType w:val="hybridMultilevel"/>
    <w:tmpl w:val="5A3E66A8"/>
    <w:lvl w:ilvl="0" w:tplc="A0AC7F84">
      <w:start w:val="1"/>
      <w:numFmt w:val="bullet"/>
      <w:lvlText w:val=""/>
      <w:lvlJc w:val="left"/>
      <w:pPr>
        <w:ind w:left="720" w:hanging="360"/>
      </w:pPr>
      <w:rPr>
        <w:rFonts w:ascii="Symbol" w:hAnsi="Symbol"/>
      </w:rPr>
    </w:lvl>
    <w:lvl w:ilvl="1" w:tplc="5734D4D6">
      <w:start w:val="1"/>
      <w:numFmt w:val="bullet"/>
      <w:lvlText w:val=""/>
      <w:lvlJc w:val="left"/>
      <w:pPr>
        <w:ind w:left="720" w:hanging="360"/>
      </w:pPr>
      <w:rPr>
        <w:rFonts w:ascii="Symbol" w:hAnsi="Symbol"/>
      </w:rPr>
    </w:lvl>
    <w:lvl w:ilvl="2" w:tplc="A8B4AEEE">
      <w:start w:val="1"/>
      <w:numFmt w:val="bullet"/>
      <w:lvlText w:val=""/>
      <w:lvlJc w:val="left"/>
      <w:pPr>
        <w:ind w:left="720" w:hanging="360"/>
      </w:pPr>
      <w:rPr>
        <w:rFonts w:ascii="Symbol" w:hAnsi="Symbol"/>
      </w:rPr>
    </w:lvl>
    <w:lvl w:ilvl="3" w:tplc="76200B96">
      <w:start w:val="1"/>
      <w:numFmt w:val="bullet"/>
      <w:lvlText w:val=""/>
      <w:lvlJc w:val="left"/>
      <w:pPr>
        <w:ind w:left="720" w:hanging="360"/>
      </w:pPr>
      <w:rPr>
        <w:rFonts w:ascii="Symbol" w:hAnsi="Symbol"/>
      </w:rPr>
    </w:lvl>
    <w:lvl w:ilvl="4" w:tplc="D6109DC8">
      <w:start w:val="1"/>
      <w:numFmt w:val="bullet"/>
      <w:lvlText w:val=""/>
      <w:lvlJc w:val="left"/>
      <w:pPr>
        <w:ind w:left="720" w:hanging="360"/>
      </w:pPr>
      <w:rPr>
        <w:rFonts w:ascii="Symbol" w:hAnsi="Symbol"/>
      </w:rPr>
    </w:lvl>
    <w:lvl w:ilvl="5" w:tplc="9A58BBBE">
      <w:start w:val="1"/>
      <w:numFmt w:val="bullet"/>
      <w:lvlText w:val=""/>
      <w:lvlJc w:val="left"/>
      <w:pPr>
        <w:ind w:left="720" w:hanging="360"/>
      </w:pPr>
      <w:rPr>
        <w:rFonts w:ascii="Symbol" w:hAnsi="Symbol"/>
      </w:rPr>
    </w:lvl>
    <w:lvl w:ilvl="6" w:tplc="13F054AE">
      <w:start w:val="1"/>
      <w:numFmt w:val="bullet"/>
      <w:lvlText w:val=""/>
      <w:lvlJc w:val="left"/>
      <w:pPr>
        <w:ind w:left="720" w:hanging="360"/>
      </w:pPr>
      <w:rPr>
        <w:rFonts w:ascii="Symbol" w:hAnsi="Symbol"/>
      </w:rPr>
    </w:lvl>
    <w:lvl w:ilvl="7" w:tplc="EC60AC18">
      <w:start w:val="1"/>
      <w:numFmt w:val="bullet"/>
      <w:lvlText w:val=""/>
      <w:lvlJc w:val="left"/>
      <w:pPr>
        <w:ind w:left="720" w:hanging="360"/>
      </w:pPr>
      <w:rPr>
        <w:rFonts w:ascii="Symbol" w:hAnsi="Symbol"/>
      </w:rPr>
    </w:lvl>
    <w:lvl w:ilvl="8" w:tplc="9EE068D6">
      <w:start w:val="1"/>
      <w:numFmt w:val="bullet"/>
      <w:lvlText w:val=""/>
      <w:lvlJc w:val="left"/>
      <w:pPr>
        <w:ind w:left="720" w:hanging="360"/>
      </w:pPr>
      <w:rPr>
        <w:rFonts w:ascii="Symbol" w:hAnsi="Symbol"/>
      </w:rPr>
    </w:lvl>
  </w:abstractNum>
  <w:abstractNum w:abstractNumId="2" w15:restartNumberingAfterBreak="0">
    <w:nsid w:val="64613145"/>
    <w:multiLevelType w:val="hybridMultilevel"/>
    <w:tmpl w:val="A0C07B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E38350F"/>
    <w:multiLevelType w:val="hybridMultilevel"/>
    <w:tmpl w:val="8612C7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99748755">
    <w:abstractNumId w:val="0"/>
  </w:num>
  <w:num w:numId="2" w16cid:durableId="1219711449">
    <w:abstractNumId w:val="3"/>
  </w:num>
  <w:num w:numId="3" w16cid:durableId="1610576868">
    <w:abstractNumId w:val="2"/>
  </w:num>
  <w:num w:numId="4" w16cid:durableId="64378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B3"/>
    <w:rsid w:val="00000F03"/>
    <w:rsid w:val="00003C47"/>
    <w:rsid w:val="00010A7F"/>
    <w:rsid w:val="00013A60"/>
    <w:rsid w:val="00017C7E"/>
    <w:rsid w:val="0002127F"/>
    <w:rsid w:val="00027D79"/>
    <w:rsid w:val="000322EF"/>
    <w:rsid w:val="000409C3"/>
    <w:rsid w:val="00044B3C"/>
    <w:rsid w:val="00044F82"/>
    <w:rsid w:val="00047816"/>
    <w:rsid w:val="00051C4E"/>
    <w:rsid w:val="0005508E"/>
    <w:rsid w:val="0005516E"/>
    <w:rsid w:val="0005607F"/>
    <w:rsid w:val="000561E5"/>
    <w:rsid w:val="00076719"/>
    <w:rsid w:val="0007740B"/>
    <w:rsid w:val="00085FBE"/>
    <w:rsid w:val="00097211"/>
    <w:rsid w:val="000A16EB"/>
    <w:rsid w:val="000B0BE4"/>
    <w:rsid w:val="000B1DD2"/>
    <w:rsid w:val="000B4621"/>
    <w:rsid w:val="000D0B02"/>
    <w:rsid w:val="000D3C4B"/>
    <w:rsid w:val="000D614E"/>
    <w:rsid w:val="000E010B"/>
    <w:rsid w:val="000E16C6"/>
    <w:rsid w:val="000E5ED6"/>
    <w:rsid w:val="000E6A81"/>
    <w:rsid w:val="000F157F"/>
    <w:rsid w:val="000F2B31"/>
    <w:rsid w:val="000F3978"/>
    <w:rsid w:val="000F476A"/>
    <w:rsid w:val="000F4FD2"/>
    <w:rsid w:val="000F61C0"/>
    <w:rsid w:val="00103E80"/>
    <w:rsid w:val="0011247B"/>
    <w:rsid w:val="00113169"/>
    <w:rsid w:val="00114812"/>
    <w:rsid w:val="001206AF"/>
    <w:rsid w:val="001272AE"/>
    <w:rsid w:val="001464EE"/>
    <w:rsid w:val="00147B0A"/>
    <w:rsid w:val="0015499B"/>
    <w:rsid w:val="001563B1"/>
    <w:rsid w:val="00156CFC"/>
    <w:rsid w:val="0016444F"/>
    <w:rsid w:val="001659A4"/>
    <w:rsid w:val="001761C1"/>
    <w:rsid w:val="00176494"/>
    <w:rsid w:val="001771F3"/>
    <w:rsid w:val="00184DBC"/>
    <w:rsid w:val="0019420B"/>
    <w:rsid w:val="001A048E"/>
    <w:rsid w:val="001A1F6A"/>
    <w:rsid w:val="001A5F96"/>
    <w:rsid w:val="001A7559"/>
    <w:rsid w:val="001B3568"/>
    <w:rsid w:val="001B6C4A"/>
    <w:rsid w:val="001C3523"/>
    <w:rsid w:val="001C471B"/>
    <w:rsid w:val="001D0DF7"/>
    <w:rsid w:val="001D298F"/>
    <w:rsid w:val="001D3524"/>
    <w:rsid w:val="001D7F82"/>
    <w:rsid w:val="001E1EA9"/>
    <w:rsid w:val="002054DF"/>
    <w:rsid w:val="00221F5B"/>
    <w:rsid w:val="00225025"/>
    <w:rsid w:val="00251C91"/>
    <w:rsid w:val="00252CA0"/>
    <w:rsid w:val="00260B50"/>
    <w:rsid w:val="0026104D"/>
    <w:rsid w:val="002669E1"/>
    <w:rsid w:val="00272C88"/>
    <w:rsid w:val="00274D9B"/>
    <w:rsid w:val="0029222C"/>
    <w:rsid w:val="00292AFD"/>
    <w:rsid w:val="0029557C"/>
    <w:rsid w:val="002A0AAC"/>
    <w:rsid w:val="002A7D28"/>
    <w:rsid w:val="002B50C4"/>
    <w:rsid w:val="002B5EE2"/>
    <w:rsid w:val="002B72E0"/>
    <w:rsid w:val="002C4538"/>
    <w:rsid w:val="002F0C2D"/>
    <w:rsid w:val="002F1277"/>
    <w:rsid w:val="002F408D"/>
    <w:rsid w:val="003004E2"/>
    <w:rsid w:val="00301972"/>
    <w:rsid w:val="0030708A"/>
    <w:rsid w:val="003108C8"/>
    <w:rsid w:val="00314B83"/>
    <w:rsid w:val="00321D73"/>
    <w:rsid w:val="00326736"/>
    <w:rsid w:val="0032676D"/>
    <w:rsid w:val="00337770"/>
    <w:rsid w:val="0033798E"/>
    <w:rsid w:val="00337BE4"/>
    <w:rsid w:val="00337EDD"/>
    <w:rsid w:val="00364947"/>
    <w:rsid w:val="00367382"/>
    <w:rsid w:val="00367B17"/>
    <w:rsid w:val="00380B59"/>
    <w:rsid w:val="003842CE"/>
    <w:rsid w:val="00392789"/>
    <w:rsid w:val="00392F57"/>
    <w:rsid w:val="003C3833"/>
    <w:rsid w:val="003C67DF"/>
    <w:rsid w:val="003D31E7"/>
    <w:rsid w:val="003D4514"/>
    <w:rsid w:val="003D470E"/>
    <w:rsid w:val="003E1359"/>
    <w:rsid w:val="003E4AA2"/>
    <w:rsid w:val="003E661F"/>
    <w:rsid w:val="003F29DF"/>
    <w:rsid w:val="003F3548"/>
    <w:rsid w:val="003F7614"/>
    <w:rsid w:val="004121DD"/>
    <w:rsid w:val="00413901"/>
    <w:rsid w:val="00414317"/>
    <w:rsid w:val="00430255"/>
    <w:rsid w:val="004338A6"/>
    <w:rsid w:val="0043786A"/>
    <w:rsid w:val="00441382"/>
    <w:rsid w:val="0046624D"/>
    <w:rsid w:val="00473FB7"/>
    <w:rsid w:val="00476D93"/>
    <w:rsid w:val="00485494"/>
    <w:rsid w:val="0049767A"/>
    <w:rsid w:val="004A2F9C"/>
    <w:rsid w:val="004A4634"/>
    <w:rsid w:val="004A50CF"/>
    <w:rsid w:val="004A6B4F"/>
    <w:rsid w:val="004B44A1"/>
    <w:rsid w:val="004B7CFD"/>
    <w:rsid w:val="004E6FBB"/>
    <w:rsid w:val="005068CF"/>
    <w:rsid w:val="00510CDE"/>
    <w:rsid w:val="0051282A"/>
    <w:rsid w:val="00535539"/>
    <w:rsid w:val="0053626F"/>
    <w:rsid w:val="00540228"/>
    <w:rsid w:val="00544B54"/>
    <w:rsid w:val="005459A8"/>
    <w:rsid w:val="00545DBA"/>
    <w:rsid w:val="00545E91"/>
    <w:rsid w:val="00552B67"/>
    <w:rsid w:val="00553802"/>
    <w:rsid w:val="00560B72"/>
    <w:rsid w:val="0057749F"/>
    <w:rsid w:val="00577B49"/>
    <w:rsid w:val="00583747"/>
    <w:rsid w:val="00590E97"/>
    <w:rsid w:val="00594DAC"/>
    <w:rsid w:val="005B2E36"/>
    <w:rsid w:val="005B3135"/>
    <w:rsid w:val="005C17AB"/>
    <w:rsid w:val="005C17E3"/>
    <w:rsid w:val="005C34A8"/>
    <w:rsid w:val="005C4FE5"/>
    <w:rsid w:val="005D0CF2"/>
    <w:rsid w:val="005D3868"/>
    <w:rsid w:val="005D472A"/>
    <w:rsid w:val="005E4F63"/>
    <w:rsid w:val="005F446C"/>
    <w:rsid w:val="0060133D"/>
    <w:rsid w:val="00604C9F"/>
    <w:rsid w:val="00605D16"/>
    <w:rsid w:val="006074F7"/>
    <w:rsid w:val="00615B94"/>
    <w:rsid w:val="00631A29"/>
    <w:rsid w:val="006476E5"/>
    <w:rsid w:val="006508F1"/>
    <w:rsid w:val="0065427B"/>
    <w:rsid w:val="00655379"/>
    <w:rsid w:val="006556E4"/>
    <w:rsid w:val="00655CCA"/>
    <w:rsid w:val="006637DD"/>
    <w:rsid w:val="0067135A"/>
    <w:rsid w:val="0068097D"/>
    <w:rsid w:val="00683E7D"/>
    <w:rsid w:val="00691991"/>
    <w:rsid w:val="00691C84"/>
    <w:rsid w:val="006936AC"/>
    <w:rsid w:val="006A3479"/>
    <w:rsid w:val="006B00B6"/>
    <w:rsid w:val="006C27C2"/>
    <w:rsid w:val="006C2BEF"/>
    <w:rsid w:val="006C3BC6"/>
    <w:rsid w:val="006D043A"/>
    <w:rsid w:val="006D3B65"/>
    <w:rsid w:val="006D6537"/>
    <w:rsid w:val="006E176A"/>
    <w:rsid w:val="006F0CBA"/>
    <w:rsid w:val="006F24D2"/>
    <w:rsid w:val="006F2761"/>
    <w:rsid w:val="006F43E9"/>
    <w:rsid w:val="006F6361"/>
    <w:rsid w:val="007027E5"/>
    <w:rsid w:val="0070316F"/>
    <w:rsid w:val="00706205"/>
    <w:rsid w:val="007110EF"/>
    <w:rsid w:val="007174A6"/>
    <w:rsid w:val="00723720"/>
    <w:rsid w:val="00725C6C"/>
    <w:rsid w:val="00734739"/>
    <w:rsid w:val="00750D6C"/>
    <w:rsid w:val="0075165D"/>
    <w:rsid w:val="00764AA4"/>
    <w:rsid w:val="007810CB"/>
    <w:rsid w:val="007857A2"/>
    <w:rsid w:val="0079584F"/>
    <w:rsid w:val="007973BA"/>
    <w:rsid w:val="007A0283"/>
    <w:rsid w:val="007A149F"/>
    <w:rsid w:val="007A4899"/>
    <w:rsid w:val="007B2398"/>
    <w:rsid w:val="007B2548"/>
    <w:rsid w:val="007B6332"/>
    <w:rsid w:val="007C2089"/>
    <w:rsid w:val="007C4FA0"/>
    <w:rsid w:val="007D1F13"/>
    <w:rsid w:val="007D63E8"/>
    <w:rsid w:val="007E5480"/>
    <w:rsid w:val="007E62F5"/>
    <w:rsid w:val="007E6545"/>
    <w:rsid w:val="007E7268"/>
    <w:rsid w:val="007F56FE"/>
    <w:rsid w:val="007F7F4C"/>
    <w:rsid w:val="00800B00"/>
    <w:rsid w:val="008133E9"/>
    <w:rsid w:val="00815830"/>
    <w:rsid w:val="00826C9A"/>
    <w:rsid w:val="00830ED0"/>
    <w:rsid w:val="00832206"/>
    <w:rsid w:val="0083567C"/>
    <w:rsid w:val="008417EB"/>
    <w:rsid w:val="008441A2"/>
    <w:rsid w:val="00846273"/>
    <w:rsid w:val="008462FA"/>
    <w:rsid w:val="00850EAB"/>
    <w:rsid w:val="008544FA"/>
    <w:rsid w:val="00860B5E"/>
    <w:rsid w:val="00862E83"/>
    <w:rsid w:val="00875D25"/>
    <w:rsid w:val="008843E5"/>
    <w:rsid w:val="00885F26"/>
    <w:rsid w:val="00886A83"/>
    <w:rsid w:val="00893434"/>
    <w:rsid w:val="00897786"/>
    <w:rsid w:val="00897E34"/>
    <w:rsid w:val="008A4609"/>
    <w:rsid w:val="008A59C6"/>
    <w:rsid w:val="008B07DB"/>
    <w:rsid w:val="008B621A"/>
    <w:rsid w:val="008C3BF0"/>
    <w:rsid w:val="008D34A7"/>
    <w:rsid w:val="008D4D76"/>
    <w:rsid w:val="008D5FED"/>
    <w:rsid w:val="008E6026"/>
    <w:rsid w:val="008E669E"/>
    <w:rsid w:val="008F715F"/>
    <w:rsid w:val="00901339"/>
    <w:rsid w:val="00903E21"/>
    <w:rsid w:val="00904E32"/>
    <w:rsid w:val="0092193B"/>
    <w:rsid w:val="00923C6D"/>
    <w:rsid w:val="0092591A"/>
    <w:rsid w:val="00931EFD"/>
    <w:rsid w:val="009332A4"/>
    <w:rsid w:val="00933A71"/>
    <w:rsid w:val="00941B1C"/>
    <w:rsid w:val="00942A84"/>
    <w:rsid w:val="009446ED"/>
    <w:rsid w:val="00951B57"/>
    <w:rsid w:val="00961926"/>
    <w:rsid w:val="00966095"/>
    <w:rsid w:val="009735B3"/>
    <w:rsid w:val="00976A05"/>
    <w:rsid w:val="009848B0"/>
    <w:rsid w:val="00990908"/>
    <w:rsid w:val="00990DF2"/>
    <w:rsid w:val="00992006"/>
    <w:rsid w:val="00992A01"/>
    <w:rsid w:val="0099473A"/>
    <w:rsid w:val="00994B9E"/>
    <w:rsid w:val="009972AA"/>
    <w:rsid w:val="009A01D7"/>
    <w:rsid w:val="009A0488"/>
    <w:rsid w:val="009A29FD"/>
    <w:rsid w:val="009B7DF5"/>
    <w:rsid w:val="009C221C"/>
    <w:rsid w:val="009C39A7"/>
    <w:rsid w:val="009D038D"/>
    <w:rsid w:val="009D10F2"/>
    <w:rsid w:val="009D363D"/>
    <w:rsid w:val="009D5D23"/>
    <w:rsid w:val="009E1727"/>
    <w:rsid w:val="009E45E2"/>
    <w:rsid w:val="009F29F2"/>
    <w:rsid w:val="009F541A"/>
    <w:rsid w:val="00A04994"/>
    <w:rsid w:val="00A14AC3"/>
    <w:rsid w:val="00A16585"/>
    <w:rsid w:val="00A236DE"/>
    <w:rsid w:val="00A32746"/>
    <w:rsid w:val="00A42AC5"/>
    <w:rsid w:val="00A52835"/>
    <w:rsid w:val="00A5514E"/>
    <w:rsid w:val="00A65003"/>
    <w:rsid w:val="00A66E50"/>
    <w:rsid w:val="00A72B66"/>
    <w:rsid w:val="00A72BE5"/>
    <w:rsid w:val="00A73060"/>
    <w:rsid w:val="00A748F4"/>
    <w:rsid w:val="00A81464"/>
    <w:rsid w:val="00A82488"/>
    <w:rsid w:val="00A829B2"/>
    <w:rsid w:val="00A8589A"/>
    <w:rsid w:val="00A935E9"/>
    <w:rsid w:val="00A97ACA"/>
    <w:rsid w:val="00AA1623"/>
    <w:rsid w:val="00AA7EE8"/>
    <w:rsid w:val="00AB1FC6"/>
    <w:rsid w:val="00AB2E2D"/>
    <w:rsid w:val="00AD3FEB"/>
    <w:rsid w:val="00AD5BC4"/>
    <w:rsid w:val="00AF317D"/>
    <w:rsid w:val="00AF36B8"/>
    <w:rsid w:val="00B0327A"/>
    <w:rsid w:val="00B03558"/>
    <w:rsid w:val="00B31A86"/>
    <w:rsid w:val="00B3243A"/>
    <w:rsid w:val="00B426B6"/>
    <w:rsid w:val="00B46E91"/>
    <w:rsid w:val="00B54B49"/>
    <w:rsid w:val="00B55C04"/>
    <w:rsid w:val="00B650F1"/>
    <w:rsid w:val="00B73A9C"/>
    <w:rsid w:val="00B811A6"/>
    <w:rsid w:val="00B82C11"/>
    <w:rsid w:val="00B8780C"/>
    <w:rsid w:val="00B90D20"/>
    <w:rsid w:val="00B92C15"/>
    <w:rsid w:val="00B959EF"/>
    <w:rsid w:val="00BA1C00"/>
    <w:rsid w:val="00BA1FEE"/>
    <w:rsid w:val="00BA245B"/>
    <w:rsid w:val="00BA49A0"/>
    <w:rsid w:val="00BB4451"/>
    <w:rsid w:val="00BB527A"/>
    <w:rsid w:val="00BC158F"/>
    <w:rsid w:val="00BD0233"/>
    <w:rsid w:val="00BD062C"/>
    <w:rsid w:val="00BE11BE"/>
    <w:rsid w:val="00BE2B4D"/>
    <w:rsid w:val="00C02630"/>
    <w:rsid w:val="00C050AD"/>
    <w:rsid w:val="00C0707F"/>
    <w:rsid w:val="00C078D9"/>
    <w:rsid w:val="00C1671D"/>
    <w:rsid w:val="00C20924"/>
    <w:rsid w:val="00C3289B"/>
    <w:rsid w:val="00C340EB"/>
    <w:rsid w:val="00C404E2"/>
    <w:rsid w:val="00C407C4"/>
    <w:rsid w:val="00C43776"/>
    <w:rsid w:val="00C51675"/>
    <w:rsid w:val="00C67744"/>
    <w:rsid w:val="00C74FCC"/>
    <w:rsid w:val="00C74FE7"/>
    <w:rsid w:val="00C76709"/>
    <w:rsid w:val="00C76A4D"/>
    <w:rsid w:val="00C7789C"/>
    <w:rsid w:val="00C80E77"/>
    <w:rsid w:val="00C81B60"/>
    <w:rsid w:val="00C94B3D"/>
    <w:rsid w:val="00CA41E5"/>
    <w:rsid w:val="00CA5302"/>
    <w:rsid w:val="00CB0042"/>
    <w:rsid w:val="00CB5786"/>
    <w:rsid w:val="00CC3382"/>
    <w:rsid w:val="00CC52A8"/>
    <w:rsid w:val="00CC5EF6"/>
    <w:rsid w:val="00CC7669"/>
    <w:rsid w:val="00CD2E06"/>
    <w:rsid w:val="00CD4144"/>
    <w:rsid w:val="00CD7255"/>
    <w:rsid w:val="00CE2784"/>
    <w:rsid w:val="00CF514C"/>
    <w:rsid w:val="00D016C6"/>
    <w:rsid w:val="00D033DE"/>
    <w:rsid w:val="00D0455C"/>
    <w:rsid w:val="00D05EC2"/>
    <w:rsid w:val="00D13EA5"/>
    <w:rsid w:val="00D27B90"/>
    <w:rsid w:val="00D3430D"/>
    <w:rsid w:val="00D36140"/>
    <w:rsid w:val="00D40EA5"/>
    <w:rsid w:val="00D50C0A"/>
    <w:rsid w:val="00D520CC"/>
    <w:rsid w:val="00D57B5F"/>
    <w:rsid w:val="00D63F6C"/>
    <w:rsid w:val="00D723FB"/>
    <w:rsid w:val="00D725BC"/>
    <w:rsid w:val="00D75DF8"/>
    <w:rsid w:val="00D81863"/>
    <w:rsid w:val="00D9089C"/>
    <w:rsid w:val="00D90B4D"/>
    <w:rsid w:val="00D90D51"/>
    <w:rsid w:val="00D932AE"/>
    <w:rsid w:val="00D97FFA"/>
    <w:rsid w:val="00DA04CD"/>
    <w:rsid w:val="00DA573A"/>
    <w:rsid w:val="00DA6375"/>
    <w:rsid w:val="00DB20B8"/>
    <w:rsid w:val="00DB750B"/>
    <w:rsid w:val="00DF206A"/>
    <w:rsid w:val="00DF365D"/>
    <w:rsid w:val="00DF44BA"/>
    <w:rsid w:val="00DF48E4"/>
    <w:rsid w:val="00DF4E20"/>
    <w:rsid w:val="00DF5344"/>
    <w:rsid w:val="00DF551D"/>
    <w:rsid w:val="00DF7B83"/>
    <w:rsid w:val="00E14914"/>
    <w:rsid w:val="00E178D1"/>
    <w:rsid w:val="00E22FCE"/>
    <w:rsid w:val="00E24218"/>
    <w:rsid w:val="00E309DD"/>
    <w:rsid w:val="00E45712"/>
    <w:rsid w:val="00E508DE"/>
    <w:rsid w:val="00E50EB1"/>
    <w:rsid w:val="00E5346C"/>
    <w:rsid w:val="00E62578"/>
    <w:rsid w:val="00E6670E"/>
    <w:rsid w:val="00E81293"/>
    <w:rsid w:val="00E81659"/>
    <w:rsid w:val="00E848F8"/>
    <w:rsid w:val="00E90440"/>
    <w:rsid w:val="00EB1945"/>
    <w:rsid w:val="00EB3411"/>
    <w:rsid w:val="00ED1248"/>
    <w:rsid w:val="00EE34C6"/>
    <w:rsid w:val="00EE69B1"/>
    <w:rsid w:val="00EF1120"/>
    <w:rsid w:val="00F00C6E"/>
    <w:rsid w:val="00F034C0"/>
    <w:rsid w:val="00F03F02"/>
    <w:rsid w:val="00F1181F"/>
    <w:rsid w:val="00F168FC"/>
    <w:rsid w:val="00F24025"/>
    <w:rsid w:val="00F2673A"/>
    <w:rsid w:val="00F363C5"/>
    <w:rsid w:val="00F4413F"/>
    <w:rsid w:val="00F46379"/>
    <w:rsid w:val="00F85866"/>
    <w:rsid w:val="00F86E19"/>
    <w:rsid w:val="00F872A5"/>
    <w:rsid w:val="00F877F9"/>
    <w:rsid w:val="00F95EE0"/>
    <w:rsid w:val="00FB2A8D"/>
    <w:rsid w:val="00FC5F69"/>
    <w:rsid w:val="00FC769A"/>
    <w:rsid w:val="00FC7A4A"/>
    <w:rsid w:val="00FD1E67"/>
    <w:rsid w:val="00FE1A4B"/>
    <w:rsid w:val="00FE212C"/>
    <w:rsid w:val="00FE5E04"/>
    <w:rsid w:val="00FF1DB2"/>
    <w:rsid w:val="00FF6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3276"/>
  <w15:chartTrackingRefBased/>
  <w15:docId w15:val="{D77B1A56-E385-4141-B73A-9B8AED5A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B3"/>
    <w:rPr>
      <w:rFonts w:eastAsiaTheme="majorEastAsia" w:cstheme="majorBidi"/>
      <w:color w:val="272727" w:themeColor="text1" w:themeTint="D8"/>
    </w:rPr>
  </w:style>
  <w:style w:type="paragraph" w:styleId="Title">
    <w:name w:val="Title"/>
    <w:basedOn w:val="Normal"/>
    <w:next w:val="Normal"/>
    <w:link w:val="TitleChar"/>
    <w:uiPriority w:val="10"/>
    <w:qFormat/>
    <w:rsid w:val="0097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B3"/>
    <w:pPr>
      <w:spacing w:before="160"/>
      <w:jc w:val="center"/>
    </w:pPr>
    <w:rPr>
      <w:i/>
      <w:iCs/>
      <w:color w:val="404040" w:themeColor="text1" w:themeTint="BF"/>
    </w:rPr>
  </w:style>
  <w:style w:type="character" w:customStyle="1" w:styleId="QuoteChar">
    <w:name w:val="Quote Char"/>
    <w:basedOn w:val="DefaultParagraphFont"/>
    <w:link w:val="Quote"/>
    <w:uiPriority w:val="29"/>
    <w:rsid w:val="009735B3"/>
    <w:rPr>
      <w:i/>
      <w:iCs/>
      <w:color w:val="404040" w:themeColor="text1" w:themeTint="BF"/>
    </w:rPr>
  </w:style>
  <w:style w:type="paragraph" w:styleId="ListParagraph">
    <w:name w:val="List Paragraph"/>
    <w:basedOn w:val="Normal"/>
    <w:uiPriority w:val="34"/>
    <w:qFormat/>
    <w:rsid w:val="009735B3"/>
    <w:pPr>
      <w:ind w:left="720"/>
      <w:contextualSpacing/>
    </w:pPr>
  </w:style>
  <w:style w:type="character" w:styleId="IntenseEmphasis">
    <w:name w:val="Intense Emphasis"/>
    <w:basedOn w:val="DefaultParagraphFont"/>
    <w:uiPriority w:val="21"/>
    <w:qFormat/>
    <w:rsid w:val="009735B3"/>
    <w:rPr>
      <w:i/>
      <w:iCs/>
      <w:color w:val="0F4761" w:themeColor="accent1" w:themeShade="BF"/>
    </w:rPr>
  </w:style>
  <w:style w:type="paragraph" w:styleId="IntenseQuote">
    <w:name w:val="Intense Quote"/>
    <w:basedOn w:val="Normal"/>
    <w:next w:val="Normal"/>
    <w:link w:val="IntenseQuoteChar"/>
    <w:uiPriority w:val="30"/>
    <w:qFormat/>
    <w:rsid w:val="0097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B3"/>
    <w:rPr>
      <w:i/>
      <w:iCs/>
      <w:color w:val="0F4761" w:themeColor="accent1" w:themeShade="BF"/>
    </w:rPr>
  </w:style>
  <w:style w:type="character" w:styleId="IntenseReference">
    <w:name w:val="Intense Reference"/>
    <w:basedOn w:val="DefaultParagraphFont"/>
    <w:uiPriority w:val="32"/>
    <w:qFormat/>
    <w:rsid w:val="009735B3"/>
    <w:rPr>
      <w:b/>
      <w:bCs/>
      <w:smallCaps/>
      <w:color w:val="0F4761" w:themeColor="accent1" w:themeShade="BF"/>
      <w:spacing w:val="5"/>
    </w:rPr>
  </w:style>
  <w:style w:type="character" w:styleId="CommentReference">
    <w:name w:val="annotation reference"/>
    <w:basedOn w:val="DefaultParagraphFont"/>
    <w:uiPriority w:val="99"/>
    <w:semiHidden/>
    <w:unhideWhenUsed/>
    <w:rsid w:val="00D36140"/>
    <w:rPr>
      <w:sz w:val="16"/>
      <w:szCs w:val="16"/>
    </w:rPr>
  </w:style>
  <w:style w:type="paragraph" w:styleId="CommentText">
    <w:name w:val="annotation text"/>
    <w:basedOn w:val="Normal"/>
    <w:link w:val="CommentTextChar"/>
    <w:uiPriority w:val="99"/>
    <w:unhideWhenUsed/>
    <w:rsid w:val="00D36140"/>
    <w:pPr>
      <w:spacing w:line="240" w:lineRule="auto"/>
    </w:pPr>
    <w:rPr>
      <w:sz w:val="20"/>
      <w:szCs w:val="20"/>
    </w:rPr>
  </w:style>
  <w:style w:type="character" w:customStyle="1" w:styleId="CommentTextChar">
    <w:name w:val="Comment Text Char"/>
    <w:basedOn w:val="DefaultParagraphFont"/>
    <w:link w:val="CommentText"/>
    <w:uiPriority w:val="99"/>
    <w:rsid w:val="00D36140"/>
    <w:rPr>
      <w:sz w:val="20"/>
      <w:szCs w:val="20"/>
    </w:rPr>
  </w:style>
  <w:style w:type="paragraph" w:styleId="CommentSubject">
    <w:name w:val="annotation subject"/>
    <w:basedOn w:val="CommentText"/>
    <w:next w:val="CommentText"/>
    <w:link w:val="CommentSubjectChar"/>
    <w:uiPriority w:val="99"/>
    <w:semiHidden/>
    <w:unhideWhenUsed/>
    <w:rsid w:val="00D36140"/>
    <w:rPr>
      <w:b/>
      <w:bCs/>
    </w:rPr>
  </w:style>
  <w:style w:type="character" w:customStyle="1" w:styleId="CommentSubjectChar">
    <w:name w:val="Comment Subject Char"/>
    <w:basedOn w:val="CommentTextChar"/>
    <w:link w:val="CommentSubject"/>
    <w:uiPriority w:val="99"/>
    <w:semiHidden/>
    <w:rsid w:val="00D36140"/>
    <w:rPr>
      <w:b/>
      <w:bCs/>
      <w:sz w:val="20"/>
      <w:szCs w:val="20"/>
    </w:rPr>
  </w:style>
  <w:style w:type="paragraph" w:styleId="Revision">
    <w:name w:val="Revision"/>
    <w:hidden/>
    <w:uiPriority w:val="99"/>
    <w:semiHidden/>
    <w:rsid w:val="007027E5"/>
    <w:pPr>
      <w:spacing w:after="0" w:line="240" w:lineRule="auto"/>
    </w:pPr>
  </w:style>
  <w:style w:type="paragraph" w:styleId="Header">
    <w:name w:val="header"/>
    <w:basedOn w:val="Normal"/>
    <w:link w:val="HeaderChar"/>
    <w:uiPriority w:val="99"/>
    <w:unhideWhenUsed/>
    <w:rsid w:val="0080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A2"/>
  </w:style>
  <w:style w:type="paragraph" w:styleId="Footer">
    <w:name w:val="footer"/>
    <w:basedOn w:val="Normal"/>
    <w:link w:val="FooterChar"/>
    <w:uiPriority w:val="99"/>
    <w:unhideWhenUsed/>
    <w:rsid w:val="0080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A2"/>
  </w:style>
  <w:style w:type="paragraph" w:styleId="FootnoteText">
    <w:name w:val="footnote text"/>
    <w:basedOn w:val="Normal"/>
    <w:link w:val="FootnoteTextChar"/>
    <w:uiPriority w:val="99"/>
    <w:semiHidden/>
    <w:unhideWhenUsed/>
    <w:rsid w:val="00844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1A2"/>
    <w:rPr>
      <w:sz w:val="20"/>
      <w:szCs w:val="20"/>
    </w:rPr>
  </w:style>
  <w:style w:type="character" w:styleId="FootnoteReference">
    <w:name w:val="footnote reference"/>
    <w:basedOn w:val="DefaultParagraphFont"/>
    <w:uiPriority w:val="99"/>
    <w:semiHidden/>
    <w:unhideWhenUsed/>
    <w:rsid w:val="00844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3150">
      <w:bodyDiv w:val="1"/>
      <w:marLeft w:val="0"/>
      <w:marRight w:val="0"/>
      <w:marTop w:val="0"/>
      <w:marBottom w:val="0"/>
      <w:divBdr>
        <w:top w:val="none" w:sz="0" w:space="0" w:color="auto"/>
        <w:left w:val="none" w:sz="0" w:space="0" w:color="auto"/>
        <w:bottom w:val="none" w:sz="0" w:space="0" w:color="auto"/>
        <w:right w:val="none" w:sz="0" w:space="0" w:color="auto"/>
      </w:divBdr>
    </w:div>
    <w:div w:id="415636965">
      <w:bodyDiv w:val="1"/>
      <w:marLeft w:val="0"/>
      <w:marRight w:val="0"/>
      <w:marTop w:val="0"/>
      <w:marBottom w:val="0"/>
      <w:divBdr>
        <w:top w:val="none" w:sz="0" w:space="0" w:color="auto"/>
        <w:left w:val="none" w:sz="0" w:space="0" w:color="auto"/>
        <w:bottom w:val="none" w:sz="0" w:space="0" w:color="auto"/>
        <w:right w:val="none" w:sz="0" w:space="0" w:color="auto"/>
      </w:divBdr>
    </w:div>
    <w:div w:id="442916666">
      <w:bodyDiv w:val="1"/>
      <w:marLeft w:val="0"/>
      <w:marRight w:val="0"/>
      <w:marTop w:val="0"/>
      <w:marBottom w:val="0"/>
      <w:divBdr>
        <w:top w:val="none" w:sz="0" w:space="0" w:color="auto"/>
        <w:left w:val="none" w:sz="0" w:space="0" w:color="auto"/>
        <w:bottom w:val="none" w:sz="0" w:space="0" w:color="auto"/>
        <w:right w:val="none" w:sz="0" w:space="0" w:color="auto"/>
      </w:divBdr>
    </w:div>
    <w:div w:id="732234578">
      <w:bodyDiv w:val="1"/>
      <w:marLeft w:val="0"/>
      <w:marRight w:val="0"/>
      <w:marTop w:val="0"/>
      <w:marBottom w:val="0"/>
      <w:divBdr>
        <w:top w:val="none" w:sz="0" w:space="0" w:color="auto"/>
        <w:left w:val="none" w:sz="0" w:space="0" w:color="auto"/>
        <w:bottom w:val="none" w:sz="0" w:space="0" w:color="auto"/>
        <w:right w:val="none" w:sz="0" w:space="0" w:color="auto"/>
      </w:divBdr>
    </w:div>
    <w:div w:id="770971375">
      <w:bodyDiv w:val="1"/>
      <w:marLeft w:val="0"/>
      <w:marRight w:val="0"/>
      <w:marTop w:val="0"/>
      <w:marBottom w:val="0"/>
      <w:divBdr>
        <w:top w:val="none" w:sz="0" w:space="0" w:color="auto"/>
        <w:left w:val="none" w:sz="0" w:space="0" w:color="auto"/>
        <w:bottom w:val="none" w:sz="0" w:space="0" w:color="auto"/>
        <w:right w:val="none" w:sz="0" w:space="0" w:color="auto"/>
      </w:divBdr>
    </w:div>
    <w:div w:id="870725303">
      <w:bodyDiv w:val="1"/>
      <w:marLeft w:val="0"/>
      <w:marRight w:val="0"/>
      <w:marTop w:val="0"/>
      <w:marBottom w:val="0"/>
      <w:divBdr>
        <w:top w:val="none" w:sz="0" w:space="0" w:color="auto"/>
        <w:left w:val="none" w:sz="0" w:space="0" w:color="auto"/>
        <w:bottom w:val="none" w:sz="0" w:space="0" w:color="auto"/>
        <w:right w:val="none" w:sz="0" w:space="0" w:color="auto"/>
      </w:divBdr>
    </w:div>
    <w:div w:id="985158962">
      <w:bodyDiv w:val="1"/>
      <w:marLeft w:val="0"/>
      <w:marRight w:val="0"/>
      <w:marTop w:val="0"/>
      <w:marBottom w:val="0"/>
      <w:divBdr>
        <w:top w:val="none" w:sz="0" w:space="0" w:color="auto"/>
        <w:left w:val="none" w:sz="0" w:space="0" w:color="auto"/>
        <w:bottom w:val="none" w:sz="0" w:space="0" w:color="auto"/>
        <w:right w:val="none" w:sz="0" w:space="0" w:color="auto"/>
      </w:divBdr>
    </w:div>
    <w:div w:id="1227571055">
      <w:bodyDiv w:val="1"/>
      <w:marLeft w:val="0"/>
      <w:marRight w:val="0"/>
      <w:marTop w:val="0"/>
      <w:marBottom w:val="0"/>
      <w:divBdr>
        <w:top w:val="none" w:sz="0" w:space="0" w:color="auto"/>
        <w:left w:val="none" w:sz="0" w:space="0" w:color="auto"/>
        <w:bottom w:val="none" w:sz="0" w:space="0" w:color="auto"/>
        <w:right w:val="none" w:sz="0" w:space="0" w:color="auto"/>
      </w:divBdr>
      <w:divsChild>
        <w:div w:id="2114784872">
          <w:marLeft w:val="0"/>
          <w:marRight w:val="0"/>
          <w:marTop w:val="0"/>
          <w:marBottom w:val="0"/>
          <w:divBdr>
            <w:top w:val="none" w:sz="0" w:space="0" w:color="auto"/>
            <w:left w:val="none" w:sz="0" w:space="0" w:color="auto"/>
            <w:bottom w:val="none" w:sz="0" w:space="0" w:color="auto"/>
            <w:right w:val="none" w:sz="0" w:space="0" w:color="auto"/>
          </w:divBdr>
          <w:divsChild>
            <w:div w:id="1576015370">
              <w:marLeft w:val="0"/>
              <w:marRight w:val="0"/>
              <w:marTop w:val="0"/>
              <w:marBottom w:val="0"/>
              <w:divBdr>
                <w:top w:val="none" w:sz="0" w:space="0" w:color="auto"/>
                <w:left w:val="none" w:sz="0" w:space="0" w:color="auto"/>
                <w:bottom w:val="none" w:sz="0" w:space="0" w:color="auto"/>
                <w:right w:val="none" w:sz="0" w:space="0" w:color="auto"/>
              </w:divBdr>
              <w:divsChild>
                <w:div w:id="1927109094">
                  <w:marLeft w:val="0"/>
                  <w:marRight w:val="0"/>
                  <w:marTop w:val="0"/>
                  <w:marBottom w:val="0"/>
                  <w:divBdr>
                    <w:top w:val="none" w:sz="0" w:space="0" w:color="auto"/>
                    <w:left w:val="none" w:sz="0" w:space="0" w:color="auto"/>
                    <w:bottom w:val="none" w:sz="0" w:space="0" w:color="auto"/>
                    <w:right w:val="none" w:sz="0" w:space="0" w:color="auto"/>
                  </w:divBdr>
                  <w:divsChild>
                    <w:div w:id="165096044">
                      <w:marLeft w:val="0"/>
                      <w:marRight w:val="0"/>
                      <w:marTop w:val="0"/>
                      <w:marBottom w:val="0"/>
                      <w:divBdr>
                        <w:top w:val="none" w:sz="0" w:space="0" w:color="auto"/>
                        <w:left w:val="none" w:sz="0" w:space="0" w:color="auto"/>
                        <w:bottom w:val="none" w:sz="0" w:space="0" w:color="auto"/>
                        <w:right w:val="none" w:sz="0" w:space="0" w:color="auto"/>
                      </w:divBdr>
                      <w:divsChild>
                        <w:div w:id="590545250">
                          <w:marLeft w:val="0"/>
                          <w:marRight w:val="0"/>
                          <w:marTop w:val="0"/>
                          <w:marBottom w:val="0"/>
                          <w:divBdr>
                            <w:top w:val="none" w:sz="0" w:space="0" w:color="auto"/>
                            <w:left w:val="none" w:sz="0" w:space="0" w:color="auto"/>
                            <w:bottom w:val="none" w:sz="0" w:space="0" w:color="auto"/>
                            <w:right w:val="none" w:sz="0" w:space="0" w:color="auto"/>
                          </w:divBdr>
                          <w:divsChild>
                            <w:div w:id="2115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02007">
      <w:bodyDiv w:val="1"/>
      <w:marLeft w:val="0"/>
      <w:marRight w:val="0"/>
      <w:marTop w:val="0"/>
      <w:marBottom w:val="0"/>
      <w:divBdr>
        <w:top w:val="none" w:sz="0" w:space="0" w:color="auto"/>
        <w:left w:val="none" w:sz="0" w:space="0" w:color="auto"/>
        <w:bottom w:val="none" w:sz="0" w:space="0" w:color="auto"/>
        <w:right w:val="none" w:sz="0" w:space="0" w:color="auto"/>
      </w:divBdr>
      <w:divsChild>
        <w:div w:id="1956861146">
          <w:marLeft w:val="0"/>
          <w:marRight w:val="0"/>
          <w:marTop w:val="0"/>
          <w:marBottom w:val="0"/>
          <w:divBdr>
            <w:top w:val="none" w:sz="0" w:space="0" w:color="auto"/>
            <w:left w:val="none" w:sz="0" w:space="0" w:color="auto"/>
            <w:bottom w:val="none" w:sz="0" w:space="0" w:color="auto"/>
            <w:right w:val="none" w:sz="0" w:space="0" w:color="auto"/>
          </w:divBdr>
          <w:divsChild>
            <w:div w:id="460657235">
              <w:marLeft w:val="0"/>
              <w:marRight w:val="0"/>
              <w:marTop w:val="0"/>
              <w:marBottom w:val="0"/>
              <w:divBdr>
                <w:top w:val="none" w:sz="0" w:space="0" w:color="auto"/>
                <w:left w:val="none" w:sz="0" w:space="0" w:color="auto"/>
                <w:bottom w:val="none" w:sz="0" w:space="0" w:color="auto"/>
                <w:right w:val="none" w:sz="0" w:space="0" w:color="auto"/>
              </w:divBdr>
              <w:divsChild>
                <w:div w:id="501772777">
                  <w:marLeft w:val="0"/>
                  <w:marRight w:val="0"/>
                  <w:marTop w:val="0"/>
                  <w:marBottom w:val="0"/>
                  <w:divBdr>
                    <w:top w:val="none" w:sz="0" w:space="0" w:color="auto"/>
                    <w:left w:val="none" w:sz="0" w:space="0" w:color="auto"/>
                    <w:bottom w:val="none" w:sz="0" w:space="0" w:color="auto"/>
                    <w:right w:val="none" w:sz="0" w:space="0" w:color="auto"/>
                  </w:divBdr>
                  <w:divsChild>
                    <w:div w:id="394667829">
                      <w:marLeft w:val="0"/>
                      <w:marRight w:val="0"/>
                      <w:marTop w:val="0"/>
                      <w:marBottom w:val="0"/>
                      <w:divBdr>
                        <w:top w:val="none" w:sz="0" w:space="0" w:color="auto"/>
                        <w:left w:val="none" w:sz="0" w:space="0" w:color="auto"/>
                        <w:bottom w:val="none" w:sz="0" w:space="0" w:color="auto"/>
                        <w:right w:val="none" w:sz="0" w:space="0" w:color="auto"/>
                      </w:divBdr>
                      <w:divsChild>
                        <w:div w:id="1543715334">
                          <w:marLeft w:val="0"/>
                          <w:marRight w:val="0"/>
                          <w:marTop w:val="0"/>
                          <w:marBottom w:val="0"/>
                          <w:divBdr>
                            <w:top w:val="none" w:sz="0" w:space="0" w:color="auto"/>
                            <w:left w:val="none" w:sz="0" w:space="0" w:color="auto"/>
                            <w:bottom w:val="none" w:sz="0" w:space="0" w:color="auto"/>
                            <w:right w:val="none" w:sz="0" w:space="0" w:color="auto"/>
                          </w:divBdr>
                          <w:divsChild>
                            <w:div w:id="6169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27547">
      <w:bodyDiv w:val="1"/>
      <w:marLeft w:val="0"/>
      <w:marRight w:val="0"/>
      <w:marTop w:val="0"/>
      <w:marBottom w:val="0"/>
      <w:divBdr>
        <w:top w:val="none" w:sz="0" w:space="0" w:color="auto"/>
        <w:left w:val="none" w:sz="0" w:space="0" w:color="auto"/>
        <w:bottom w:val="none" w:sz="0" w:space="0" w:color="auto"/>
        <w:right w:val="none" w:sz="0" w:space="0" w:color="auto"/>
      </w:divBdr>
    </w:div>
    <w:div w:id="1622766573">
      <w:bodyDiv w:val="1"/>
      <w:marLeft w:val="0"/>
      <w:marRight w:val="0"/>
      <w:marTop w:val="0"/>
      <w:marBottom w:val="0"/>
      <w:divBdr>
        <w:top w:val="none" w:sz="0" w:space="0" w:color="auto"/>
        <w:left w:val="none" w:sz="0" w:space="0" w:color="auto"/>
        <w:bottom w:val="none" w:sz="0" w:space="0" w:color="auto"/>
        <w:right w:val="none" w:sz="0" w:space="0" w:color="auto"/>
      </w:divBdr>
    </w:div>
    <w:div w:id="1830053884">
      <w:bodyDiv w:val="1"/>
      <w:marLeft w:val="0"/>
      <w:marRight w:val="0"/>
      <w:marTop w:val="0"/>
      <w:marBottom w:val="0"/>
      <w:divBdr>
        <w:top w:val="none" w:sz="0" w:space="0" w:color="auto"/>
        <w:left w:val="none" w:sz="0" w:space="0" w:color="auto"/>
        <w:bottom w:val="none" w:sz="0" w:space="0" w:color="auto"/>
        <w:right w:val="none" w:sz="0" w:space="0" w:color="auto"/>
      </w:divBdr>
    </w:div>
    <w:div w:id="1916161031">
      <w:bodyDiv w:val="1"/>
      <w:marLeft w:val="0"/>
      <w:marRight w:val="0"/>
      <w:marTop w:val="0"/>
      <w:marBottom w:val="0"/>
      <w:divBdr>
        <w:top w:val="none" w:sz="0" w:space="0" w:color="auto"/>
        <w:left w:val="none" w:sz="0" w:space="0" w:color="auto"/>
        <w:bottom w:val="none" w:sz="0" w:space="0" w:color="auto"/>
        <w:right w:val="none" w:sz="0" w:space="0" w:color="auto"/>
      </w:divBdr>
    </w:div>
    <w:div w:id="21200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1959</ap:Words>
  <ap:Characters>10777</ap:Characters>
  <ap:DocSecurity>0</ap:DocSecurity>
  <ap:Lines>89</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2026-03-05T13:51:00.0000000Z</dcterms:created>
  <dcterms:modified xsi:type="dcterms:W3CDTF">2026-03-05T13:51:00.0000000Z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ForumOrganisation">
    <vt:lpwstr>2;#Not applicable|0049e722-bfb1-4a3f-9d08-af7366a9af40</vt:lpwstr>
  </property>
  <property fmtid="{D5CDD505-2E9C-101B-9397-08002B2CF9AE}" pid="4" name="BZCountryState">
    <vt:lpwstr>3;#Not applicable|ec01d90b-9d0f-4785-8785-e1ea615196bf</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5bec8d3d-25bf-4981-862c-5a3324c42868</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ReguliereKamerbrief</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https://247.plaza.buzaservices.nl/subject/PV-RK2026012026/BZ2625593/Geannoteerde Agenda Europese Raad 19 en 20 maart 2026.docx</vt:lpwstr>
  </property>
  <property fmtid="{D5CDD505-2E9C-101B-9397-08002B2CF9AE}" pid="24" name="BZDossierBudgetManager">
    <vt:lpwstr/>
  </property>
  <property fmtid="{D5CDD505-2E9C-101B-9397-08002B2CF9AE}" pid="25" name="_docset_NoMedatataSyncRequired">
    <vt:lpwstr>False</vt:lpwstr>
  </property>
</Properties>
</file>