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1A49" w:rsidP="00021A49" w:rsidRDefault="00021A49" w14:paraId="3F39A68D" w14:textId="10CA4D37">
      <w:pPr>
        <w:contextualSpacing/>
        <w:rPr>
          <w:b/>
          <w:szCs w:val="18"/>
          <w:lang w:val="nl-NL"/>
        </w:rPr>
      </w:pPr>
      <w:bookmarkStart w:name="_Hlk108774585" w:id="0"/>
      <w:r>
        <w:rPr>
          <w:b/>
          <w:szCs w:val="18"/>
          <w:lang w:val="nl-NL"/>
        </w:rPr>
        <w:t xml:space="preserve">GEANNOTEERDE AGENDA RAAD </w:t>
      </w:r>
      <w:r w:rsidR="00E6324F">
        <w:rPr>
          <w:b/>
          <w:szCs w:val="18"/>
          <w:lang w:val="nl-NL"/>
        </w:rPr>
        <w:t xml:space="preserve">ALGEMENE </w:t>
      </w:r>
      <w:r>
        <w:rPr>
          <w:b/>
          <w:szCs w:val="18"/>
          <w:lang w:val="nl-NL"/>
        </w:rPr>
        <w:t xml:space="preserve">ZAKEN VAN </w:t>
      </w:r>
      <w:r w:rsidR="00C32912">
        <w:rPr>
          <w:b/>
          <w:szCs w:val="18"/>
          <w:lang w:val="nl-NL"/>
        </w:rPr>
        <w:t>17 MAART 2026</w:t>
      </w:r>
      <w:r>
        <w:rPr>
          <w:b/>
          <w:szCs w:val="18"/>
          <w:lang w:val="nl-NL"/>
        </w:rPr>
        <w:t xml:space="preserve"> </w:t>
      </w:r>
    </w:p>
    <w:p w:rsidR="00A26844" w:rsidP="00021A49" w:rsidRDefault="00A26844" w14:paraId="1E4E1626" w14:textId="77777777">
      <w:pPr>
        <w:contextualSpacing/>
        <w:rPr>
          <w:szCs w:val="18"/>
          <w:lang w:val="nl-NL" w:eastAsia="ja-JP"/>
        </w:rPr>
      </w:pPr>
    </w:p>
    <w:p w:rsidRPr="0072512A" w:rsidR="006534AD" w:rsidP="006534AD" w:rsidRDefault="006534AD" w14:paraId="6C9DE667" w14:textId="5059EF13">
      <w:pPr>
        <w:contextualSpacing/>
        <w:rPr>
          <w:szCs w:val="18"/>
          <w:lang w:val="nl-NL" w:eastAsia="ja-JP"/>
        </w:rPr>
      </w:pPr>
      <w:r w:rsidRPr="0072512A">
        <w:rPr>
          <w:szCs w:val="18"/>
          <w:lang w:val="nl-NL" w:eastAsia="ja-JP"/>
        </w:rPr>
        <w:t xml:space="preserve">Op </w:t>
      </w:r>
      <w:r w:rsidRPr="0072512A" w:rsidR="0072512A">
        <w:rPr>
          <w:szCs w:val="18"/>
          <w:lang w:val="nl-NL" w:eastAsia="ja-JP"/>
        </w:rPr>
        <w:t>17 maart</w:t>
      </w:r>
      <w:r w:rsidRPr="0072512A">
        <w:rPr>
          <w:szCs w:val="18"/>
          <w:lang w:val="nl-NL" w:eastAsia="ja-JP"/>
        </w:rPr>
        <w:t xml:space="preserve"> 2026 vindt de</w:t>
      </w:r>
      <w:r w:rsidRPr="0072512A" w:rsidR="0072512A">
        <w:rPr>
          <w:szCs w:val="18"/>
          <w:lang w:val="nl-NL" w:eastAsia="ja-JP"/>
        </w:rPr>
        <w:t xml:space="preserve"> </w:t>
      </w:r>
      <w:r w:rsidRPr="0072512A">
        <w:rPr>
          <w:szCs w:val="18"/>
          <w:lang w:val="nl-NL" w:eastAsia="ja-JP"/>
        </w:rPr>
        <w:t xml:space="preserve">Raad Algemene Zaken (RAZ) plaats </w:t>
      </w:r>
      <w:r w:rsidRPr="0072512A" w:rsidR="0072512A">
        <w:rPr>
          <w:szCs w:val="18"/>
          <w:lang w:val="nl-NL" w:eastAsia="ja-JP"/>
        </w:rPr>
        <w:t>in Brussel</w:t>
      </w:r>
      <w:r w:rsidRPr="0072512A">
        <w:rPr>
          <w:szCs w:val="18"/>
          <w:lang w:val="nl-NL" w:eastAsia="ja-JP"/>
        </w:rPr>
        <w:t xml:space="preserve">. Op </w:t>
      </w:r>
    </w:p>
    <w:p w:rsidRPr="00FD5E64" w:rsidR="00021A49" w:rsidP="006534AD" w:rsidRDefault="006534AD" w14:paraId="61417BA5" w14:textId="42352198">
      <w:pPr>
        <w:contextualSpacing/>
        <w:rPr>
          <w:szCs w:val="18"/>
          <w:lang w:val="nl-NL" w:eastAsia="ja-JP"/>
        </w:rPr>
      </w:pPr>
      <w:r w:rsidRPr="0072512A">
        <w:rPr>
          <w:szCs w:val="18"/>
          <w:lang w:val="nl-NL" w:eastAsia="ja-JP"/>
        </w:rPr>
        <w:t xml:space="preserve">de agenda staan het Meerjarig Financieel Kader (MFK), </w:t>
      </w:r>
      <w:r w:rsidRPr="0072512A" w:rsidR="0072512A">
        <w:rPr>
          <w:szCs w:val="18"/>
          <w:lang w:val="nl-NL" w:eastAsia="ja-JP"/>
        </w:rPr>
        <w:t>de v</w:t>
      </w:r>
      <w:r w:rsidRPr="0072512A" w:rsidR="0072512A">
        <w:rPr>
          <w:szCs w:val="18"/>
          <w:lang w:val="nl-NL"/>
        </w:rPr>
        <w:t xml:space="preserve">oorbereiding op de Europese Raad </w:t>
      </w:r>
      <w:r w:rsidR="00DC4A87">
        <w:rPr>
          <w:szCs w:val="18"/>
          <w:lang w:val="nl-NL"/>
        </w:rPr>
        <w:t xml:space="preserve">(ER) </w:t>
      </w:r>
      <w:r w:rsidRPr="0072512A" w:rsidR="0072512A">
        <w:rPr>
          <w:szCs w:val="18"/>
          <w:lang w:val="nl-NL"/>
        </w:rPr>
        <w:t xml:space="preserve">van 19 en 20 maart, de </w:t>
      </w:r>
      <w:r w:rsidRPr="0072512A" w:rsidR="0072512A">
        <w:rPr>
          <w:i/>
          <w:iCs/>
          <w:szCs w:val="18"/>
          <w:lang w:val="nl-NL"/>
        </w:rPr>
        <w:t xml:space="preserve">European </w:t>
      </w:r>
      <w:proofErr w:type="spellStart"/>
      <w:r w:rsidRPr="0072512A" w:rsidR="0072512A">
        <w:rPr>
          <w:i/>
          <w:iCs/>
          <w:szCs w:val="18"/>
          <w:lang w:val="nl-NL"/>
        </w:rPr>
        <w:t>Electoral</w:t>
      </w:r>
      <w:proofErr w:type="spellEnd"/>
      <w:r w:rsidRPr="0072512A" w:rsidR="0072512A">
        <w:rPr>
          <w:i/>
          <w:iCs/>
          <w:szCs w:val="18"/>
          <w:lang w:val="nl-NL"/>
        </w:rPr>
        <w:t xml:space="preserve"> act</w:t>
      </w:r>
      <w:r w:rsidRPr="00110280" w:rsidR="0072512A">
        <w:rPr>
          <w:szCs w:val="18"/>
          <w:lang w:val="nl-NL"/>
        </w:rPr>
        <w:t xml:space="preserve">, en het </w:t>
      </w:r>
      <w:r w:rsidRPr="0072512A" w:rsidR="0072512A">
        <w:rPr>
          <w:szCs w:val="18"/>
          <w:lang w:val="nl-NL"/>
        </w:rPr>
        <w:t>Europees Semester 2026.</w:t>
      </w:r>
      <w:r w:rsidR="0072512A">
        <w:rPr>
          <w:szCs w:val="18"/>
          <w:lang w:val="nl-NL"/>
        </w:rPr>
        <w:t xml:space="preserve"> </w:t>
      </w:r>
      <w:r w:rsidR="00DC4A87">
        <w:rPr>
          <w:szCs w:val="18"/>
          <w:lang w:val="nl-NL" w:eastAsia="ja-JP"/>
        </w:rPr>
        <w:t>De minister van Buitenlandse Zaken is voornemens deel te nemen aan deze Raad.</w:t>
      </w:r>
      <w:r w:rsidR="005D12B4">
        <w:rPr>
          <w:szCs w:val="18"/>
          <w:lang w:val="nl-NL" w:eastAsia="ja-JP"/>
        </w:rPr>
        <w:t xml:space="preserve"> Het kabinet maakt tevens gebruik van deze geannoteerde agenda om uw Kamer te informeren over de EU-toetredingsprocessen van Montenegro</w:t>
      </w:r>
      <w:r w:rsidR="00733140">
        <w:rPr>
          <w:szCs w:val="18"/>
          <w:lang w:val="nl-NL" w:eastAsia="ja-JP"/>
        </w:rPr>
        <w:t>,</w:t>
      </w:r>
      <w:r w:rsidR="005D12B4">
        <w:rPr>
          <w:szCs w:val="18"/>
          <w:lang w:val="nl-NL" w:eastAsia="ja-JP"/>
        </w:rPr>
        <w:t xml:space="preserve"> Oekraïne</w:t>
      </w:r>
      <w:r w:rsidR="00733140">
        <w:rPr>
          <w:szCs w:val="18"/>
          <w:lang w:val="nl-NL" w:eastAsia="ja-JP"/>
        </w:rPr>
        <w:t xml:space="preserve"> en Moldavië</w:t>
      </w:r>
      <w:r w:rsidR="005D12B4">
        <w:rPr>
          <w:szCs w:val="18"/>
          <w:lang w:val="nl-NL" w:eastAsia="ja-JP"/>
        </w:rPr>
        <w:t xml:space="preserve">. </w:t>
      </w:r>
    </w:p>
    <w:p w:rsidR="0072512A" w:rsidP="0072512A" w:rsidRDefault="0072512A" w14:paraId="1021997D" w14:textId="77777777">
      <w:pPr>
        <w:contextualSpacing/>
        <w:rPr>
          <w:b/>
          <w:bCs/>
          <w:szCs w:val="18"/>
          <w:lang w:val="nl-NL"/>
        </w:rPr>
      </w:pPr>
    </w:p>
    <w:p w:rsidR="0072512A" w:rsidP="0072512A" w:rsidRDefault="0072512A" w14:paraId="0CD37B00" w14:textId="5926C84B">
      <w:pPr>
        <w:contextualSpacing/>
        <w:rPr>
          <w:b/>
          <w:bCs/>
          <w:szCs w:val="18"/>
          <w:lang w:val="nl-NL"/>
        </w:rPr>
      </w:pPr>
      <w:r w:rsidRPr="0072512A">
        <w:rPr>
          <w:b/>
          <w:bCs/>
          <w:szCs w:val="18"/>
          <w:lang w:val="nl-NL"/>
        </w:rPr>
        <w:t>M</w:t>
      </w:r>
      <w:r>
        <w:rPr>
          <w:b/>
          <w:bCs/>
          <w:szCs w:val="18"/>
          <w:lang w:val="nl-NL"/>
        </w:rPr>
        <w:t>eerjarig Financieel Kader</w:t>
      </w:r>
    </w:p>
    <w:p w:rsidRPr="00237549" w:rsidR="0072512A" w:rsidP="0072512A" w:rsidRDefault="00CB1795" w14:paraId="055BB084" w14:textId="0FDA53FC">
      <w:pPr>
        <w:contextualSpacing/>
        <w:rPr>
          <w:rFonts w:cs="Times New Roman"/>
          <w:szCs w:val="18"/>
          <w:lang w:val="nl-NL" w:eastAsia="ja-JP"/>
        </w:rPr>
      </w:pPr>
      <w:r>
        <w:rPr>
          <w:rFonts w:cs="Times New Roman"/>
          <w:szCs w:val="18"/>
          <w:lang w:val="nl-NL" w:eastAsia="ja-JP"/>
        </w:rPr>
        <w:t xml:space="preserve">De Raad zal spreken over het Meerjarig Financieel Kader (2028-2034). Specifiek staat de </w:t>
      </w:r>
      <w:proofErr w:type="spellStart"/>
      <w:r w:rsidRPr="00CB1795">
        <w:rPr>
          <w:rFonts w:cs="Times New Roman"/>
          <w:i/>
          <w:iCs/>
          <w:szCs w:val="18"/>
          <w:lang w:val="nl-NL" w:eastAsia="ja-JP"/>
        </w:rPr>
        <w:t>governance</w:t>
      </w:r>
      <w:proofErr w:type="spellEnd"/>
      <w:r>
        <w:rPr>
          <w:rFonts w:cs="Times New Roman"/>
          <w:szCs w:val="18"/>
          <w:lang w:val="nl-NL" w:eastAsia="ja-JP"/>
        </w:rPr>
        <w:t xml:space="preserve"> van het MFK geagendeerd. Het kabinet is voorstander van een toekomstbestendig en gemoderniseerd MFK</w:t>
      </w:r>
      <w:r w:rsidR="00F66DC6">
        <w:rPr>
          <w:rFonts w:cs="Times New Roman"/>
          <w:szCs w:val="18"/>
          <w:lang w:val="nl-NL" w:eastAsia="ja-JP"/>
        </w:rPr>
        <w:t xml:space="preserve">, met een focus op concurrentievermogen, </w:t>
      </w:r>
      <w:r w:rsidR="00027B47">
        <w:rPr>
          <w:rFonts w:cs="Times New Roman"/>
          <w:szCs w:val="18"/>
          <w:lang w:val="nl-NL" w:eastAsia="ja-JP"/>
        </w:rPr>
        <w:t xml:space="preserve">innovatie, </w:t>
      </w:r>
      <w:r w:rsidR="00F66DC6">
        <w:rPr>
          <w:rFonts w:cs="Times New Roman"/>
          <w:szCs w:val="18"/>
          <w:lang w:val="nl-NL" w:eastAsia="ja-JP"/>
        </w:rPr>
        <w:t>asiel en migratie, en veiligheid en defensie</w:t>
      </w:r>
      <w:r>
        <w:rPr>
          <w:rFonts w:cs="Times New Roman"/>
          <w:szCs w:val="18"/>
          <w:lang w:val="nl-NL" w:eastAsia="ja-JP"/>
        </w:rPr>
        <w:t>.</w:t>
      </w:r>
      <w:r w:rsidR="00F66DC6">
        <w:rPr>
          <w:rFonts w:cs="Times New Roman"/>
          <w:szCs w:val="18"/>
          <w:lang w:val="nl-NL" w:eastAsia="ja-JP"/>
        </w:rPr>
        <w:t xml:space="preserve"> Het kabinet </w:t>
      </w:r>
      <w:r w:rsidR="0093264A">
        <w:rPr>
          <w:rFonts w:cs="Times New Roman"/>
          <w:szCs w:val="18"/>
          <w:lang w:val="nl-NL" w:eastAsia="ja-JP"/>
        </w:rPr>
        <w:t>zet zich in voor</w:t>
      </w:r>
      <w:r w:rsidR="00F66DC6">
        <w:rPr>
          <w:rFonts w:cs="Times New Roman"/>
          <w:szCs w:val="18"/>
          <w:lang w:val="nl-NL" w:eastAsia="ja-JP"/>
        </w:rPr>
        <w:t xml:space="preserve"> een realistisch EU-budget </w:t>
      </w:r>
      <w:r w:rsidR="0093264A">
        <w:rPr>
          <w:rFonts w:cs="Times New Roman"/>
          <w:szCs w:val="18"/>
          <w:lang w:val="nl-NL" w:eastAsia="ja-JP"/>
        </w:rPr>
        <w:t>en behoud</w:t>
      </w:r>
      <w:r w:rsidR="00F66DC6">
        <w:rPr>
          <w:rFonts w:cs="Times New Roman"/>
          <w:szCs w:val="18"/>
          <w:lang w:val="nl-NL" w:eastAsia="ja-JP"/>
        </w:rPr>
        <w:t xml:space="preserve"> </w:t>
      </w:r>
      <w:r w:rsidRPr="0093264A" w:rsidR="0093264A">
        <w:rPr>
          <w:rFonts w:cs="Times New Roman"/>
          <w:szCs w:val="18"/>
          <w:lang w:val="nl-NL" w:eastAsia="ja-JP"/>
        </w:rPr>
        <w:t xml:space="preserve">van het correctiemechanisme op de </w:t>
      </w:r>
      <w:proofErr w:type="spellStart"/>
      <w:r w:rsidRPr="0093264A" w:rsidR="0093264A">
        <w:rPr>
          <w:rFonts w:cs="Times New Roman"/>
          <w:szCs w:val="18"/>
          <w:lang w:val="nl-NL" w:eastAsia="ja-JP"/>
        </w:rPr>
        <w:t>bni</w:t>
      </w:r>
      <w:proofErr w:type="spellEnd"/>
      <w:r w:rsidRPr="0093264A" w:rsidR="0093264A">
        <w:rPr>
          <w:rFonts w:cs="Times New Roman"/>
          <w:szCs w:val="18"/>
          <w:lang w:val="nl-NL" w:eastAsia="ja-JP"/>
        </w:rPr>
        <w:t>-afdracht (</w:t>
      </w:r>
      <w:proofErr w:type="spellStart"/>
      <w:r w:rsidRPr="0093264A" w:rsidR="0093264A">
        <w:rPr>
          <w:rFonts w:cs="Times New Roman"/>
          <w:szCs w:val="18"/>
          <w:lang w:val="nl-NL" w:eastAsia="ja-JP"/>
        </w:rPr>
        <w:t>bni</w:t>
      </w:r>
      <w:proofErr w:type="spellEnd"/>
      <w:r w:rsidRPr="0093264A" w:rsidR="0093264A">
        <w:rPr>
          <w:rFonts w:cs="Times New Roman"/>
          <w:szCs w:val="18"/>
          <w:lang w:val="nl-NL" w:eastAsia="ja-JP"/>
        </w:rPr>
        <w:t>-korting)</w:t>
      </w:r>
      <w:r w:rsidR="0093264A">
        <w:rPr>
          <w:rFonts w:cs="Times New Roman"/>
          <w:szCs w:val="18"/>
          <w:lang w:val="nl-NL" w:eastAsia="ja-JP"/>
        </w:rPr>
        <w:t xml:space="preserve">. </w:t>
      </w:r>
      <w:r w:rsidR="0008243D">
        <w:rPr>
          <w:rFonts w:cs="Times New Roman"/>
          <w:szCs w:val="18"/>
          <w:lang w:val="nl-NL" w:eastAsia="ja-JP"/>
        </w:rPr>
        <w:t xml:space="preserve">Het kabinet is voorstander van een grotere rol voor de Raad en de lidstaten in het volgend MFK ten opzichte van het Commissievoorstel. Tegelijkertijd moeten administratieve processen niet onnodig zwaar worden. </w:t>
      </w:r>
    </w:p>
    <w:p w:rsidRPr="0072512A" w:rsidR="0072512A" w:rsidP="0072512A" w:rsidRDefault="0072512A" w14:paraId="3F974963" w14:textId="77777777">
      <w:pPr>
        <w:contextualSpacing/>
        <w:rPr>
          <w:b/>
          <w:bCs/>
          <w:szCs w:val="18"/>
          <w:lang w:val="nl-NL"/>
        </w:rPr>
      </w:pPr>
    </w:p>
    <w:p w:rsidR="0072512A" w:rsidP="0072512A" w:rsidRDefault="0072512A" w14:paraId="28226088" w14:textId="6E8825FC">
      <w:pPr>
        <w:contextualSpacing/>
        <w:rPr>
          <w:b/>
          <w:bCs/>
          <w:szCs w:val="18"/>
          <w:lang w:val="nl-NL"/>
        </w:rPr>
      </w:pPr>
      <w:r w:rsidRPr="0072512A">
        <w:rPr>
          <w:b/>
          <w:bCs/>
          <w:szCs w:val="18"/>
          <w:lang w:val="nl-NL"/>
        </w:rPr>
        <w:t xml:space="preserve">Voorbereiding </w:t>
      </w:r>
      <w:r>
        <w:rPr>
          <w:b/>
          <w:bCs/>
          <w:szCs w:val="18"/>
          <w:lang w:val="nl-NL"/>
        </w:rPr>
        <w:t xml:space="preserve">Europese Raad van </w:t>
      </w:r>
      <w:r w:rsidRPr="0072512A">
        <w:rPr>
          <w:b/>
          <w:bCs/>
          <w:szCs w:val="18"/>
          <w:lang w:val="nl-NL"/>
        </w:rPr>
        <w:t>19</w:t>
      </w:r>
      <w:r>
        <w:rPr>
          <w:b/>
          <w:bCs/>
          <w:szCs w:val="18"/>
          <w:lang w:val="nl-NL"/>
        </w:rPr>
        <w:t xml:space="preserve"> en </w:t>
      </w:r>
      <w:r w:rsidRPr="0072512A">
        <w:rPr>
          <w:b/>
          <w:bCs/>
          <w:szCs w:val="18"/>
          <w:lang w:val="nl-NL"/>
        </w:rPr>
        <w:t>20 maart</w:t>
      </w:r>
    </w:p>
    <w:p w:rsidRPr="00237549" w:rsidR="0072512A" w:rsidP="0072512A" w:rsidRDefault="00DC4A87" w14:paraId="544565B5" w14:textId="087F3757">
      <w:pPr>
        <w:contextualSpacing/>
        <w:rPr>
          <w:rFonts w:cs="Times New Roman"/>
          <w:szCs w:val="18"/>
          <w:lang w:val="nl-NL" w:eastAsia="ja-JP"/>
        </w:rPr>
      </w:pPr>
      <w:r>
        <w:rPr>
          <w:rFonts w:cs="Times New Roman"/>
          <w:szCs w:val="18"/>
          <w:lang w:val="nl-NL" w:eastAsia="ja-JP"/>
        </w:rPr>
        <w:t xml:space="preserve">De Raad zal stilstaan bij de geannoteerde conceptagenda van de Europese Raad van 19 en 20 maart. De onderwerpen zijn onder meer: </w:t>
      </w:r>
      <w:r w:rsidR="005D12B4">
        <w:rPr>
          <w:rFonts w:cs="Times New Roman"/>
          <w:szCs w:val="18"/>
          <w:lang w:val="nl-NL" w:eastAsia="ja-JP"/>
        </w:rPr>
        <w:t>Oekraïne, het Midden Oosten, Concurrentievermogen en de interne markt, het Meerjarig Financieel Kader, Europese veiligheid en defensie en migratie</w:t>
      </w:r>
      <w:r>
        <w:rPr>
          <w:rFonts w:cs="Times New Roman"/>
          <w:szCs w:val="18"/>
          <w:lang w:val="nl-NL" w:eastAsia="ja-JP"/>
        </w:rPr>
        <w:t>. De kabinetsinzet wordt opgenomen in de geannoteerde agenda van de ER. Nederland zal</w:t>
      </w:r>
      <w:r w:rsidR="00E343AD">
        <w:rPr>
          <w:rFonts w:cs="Times New Roman"/>
          <w:szCs w:val="18"/>
          <w:lang w:val="nl-NL" w:eastAsia="ja-JP"/>
        </w:rPr>
        <w:t xml:space="preserve">, waar opportuun, </w:t>
      </w:r>
      <w:r>
        <w:rPr>
          <w:rFonts w:cs="Times New Roman"/>
          <w:szCs w:val="18"/>
          <w:lang w:val="nl-NL" w:eastAsia="ja-JP"/>
        </w:rPr>
        <w:t>conform de in de geannoteerde agenda geformuleerde inzet interveniëren tijdens de Raad.</w:t>
      </w:r>
    </w:p>
    <w:p w:rsidRPr="0072512A" w:rsidR="0072512A" w:rsidP="0072512A" w:rsidRDefault="0072512A" w14:paraId="25299CC9" w14:textId="77777777">
      <w:pPr>
        <w:contextualSpacing/>
        <w:rPr>
          <w:b/>
          <w:szCs w:val="18"/>
          <w:lang w:val="nl-NL"/>
        </w:rPr>
      </w:pPr>
    </w:p>
    <w:p w:rsidRPr="0072512A" w:rsidR="0072512A" w:rsidP="0072512A" w:rsidRDefault="0072512A" w14:paraId="49DDF75B" w14:textId="77777777">
      <w:pPr>
        <w:contextualSpacing/>
        <w:rPr>
          <w:b/>
          <w:bCs/>
          <w:i/>
          <w:iCs/>
          <w:szCs w:val="18"/>
          <w:lang w:val="nl-NL"/>
        </w:rPr>
      </w:pPr>
      <w:r w:rsidRPr="0072512A">
        <w:rPr>
          <w:b/>
          <w:bCs/>
          <w:i/>
          <w:iCs/>
          <w:szCs w:val="18"/>
          <w:lang w:val="nl-NL"/>
        </w:rPr>
        <w:t xml:space="preserve">European </w:t>
      </w:r>
      <w:proofErr w:type="spellStart"/>
      <w:r w:rsidRPr="0072512A">
        <w:rPr>
          <w:b/>
          <w:bCs/>
          <w:i/>
          <w:iCs/>
          <w:szCs w:val="18"/>
          <w:lang w:val="nl-NL"/>
        </w:rPr>
        <w:t>Electoral</w:t>
      </w:r>
      <w:proofErr w:type="spellEnd"/>
      <w:r w:rsidRPr="0072512A">
        <w:rPr>
          <w:b/>
          <w:bCs/>
          <w:i/>
          <w:iCs/>
          <w:szCs w:val="18"/>
          <w:lang w:val="nl-NL"/>
        </w:rPr>
        <w:t xml:space="preserve"> act </w:t>
      </w:r>
    </w:p>
    <w:p w:rsidRPr="007660B4" w:rsidR="00A77C7C" w:rsidP="007660B4" w:rsidRDefault="00A77C7C" w14:paraId="69732DB7" w14:textId="386AF284">
      <w:pPr>
        <w:contextualSpacing/>
        <w:rPr>
          <w:rFonts w:cs="Times New Roman"/>
          <w:szCs w:val="18"/>
          <w:lang w:val="nl-NL" w:eastAsia="ja-JP"/>
        </w:rPr>
      </w:pPr>
      <w:r w:rsidRPr="00A77C7C">
        <w:rPr>
          <w:rFonts w:cs="Times New Roman"/>
          <w:szCs w:val="18"/>
          <w:lang w:val="nl-NL" w:eastAsia="ja-JP"/>
        </w:rPr>
        <w:t xml:space="preserve">De Raad </w:t>
      </w:r>
      <w:r>
        <w:rPr>
          <w:rFonts w:cs="Times New Roman"/>
          <w:szCs w:val="18"/>
          <w:lang w:val="nl-NL" w:eastAsia="ja-JP"/>
        </w:rPr>
        <w:t xml:space="preserve">zal </w:t>
      </w:r>
      <w:r w:rsidRPr="00A77C7C">
        <w:rPr>
          <w:rFonts w:cs="Times New Roman"/>
          <w:szCs w:val="18"/>
          <w:lang w:val="nl-NL" w:eastAsia="ja-JP"/>
        </w:rPr>
        <w:t>een wijziging</w:t>
      </w:r>
      <w:r w:rsidR="00EE6418">
        <w:rPr>
          <w:rFonts w:cs="Times New Roman"/>
          <w:szCs w:val="18"/>
          <w:lang w:val="nl-NL" w:eastAsia="ja-JP"/>
        </w:rPr>
        <w:t>, op initiatief van het Europees Parlement,</w:t>
      </w:r>
      <w:r w:rsidRPr="00A77C7C">
        <w:rPr>
          <w:rFonts w:cs="Times New Roman"/>
          <w:szCs w:val="18"/>
          <w:lang w:val="nl-NL" w:eastAsia="ja-JP"/>
        </w:rPr>
        <w:t xml:space="preserve"> van de Kiesakte </w:t>
      </w:r>
      <w:r>
        <w:rPr>
          <w:rFonts w:cs="Times New Roman"/>
          <w:szCs w:val="18"/>
          <w:lang w:val="nl-NL" w:eastAsia="ja-JP"/>
        </w:rPr>
        <w:t>behandelen</w:t>
      </w:r>
      <w:r w:rsidRPr="00A77C7C">
        <w:rPr>
          <w:rFonts w:cs="Times New Roman"/>
          <w:szCs w:val="18"/>
          <w:lang w:val="nl-NL" w:eastAsia="ja-JP"/>
        </w:rPr>
        <w:t>. Daarin wordt geregeld dat stemoverdracht (</w:t>
      </w:r>
      <w:r w:rsidRPr="00A77C7C">
        <w:rPr>
          <w:rFonts w:cs="Times New Roman"/>
          <w:i/>
          <w:iCs/>
          <w:szCs w:val="18"/>
          <w:lang w:val="nl-NL" w:eastAsia="ja-JP"/>
        </w:rPr>
        <w:t xml:space="preserve">proxy </w:t>
      </w:r>
      <w:proofErr w:type="spellStart"/>
      <w:r w:rsidRPr="00A77C7C">
        <w:rPr>
          <w:rFonts w:cs="Times New Roman"/>
          <w:i/>
          <w:iCs/>
          <w:szCs w:val="18"/>
          <w:lang w:val="nl-NL" w:eastAsia="ja-JP"/>
        </w:rPr>
        <w:t>voting</w:t>
      </w:r>
      <w:proofErr w:type="spellEnd"/>
      <w:r w:rsidRPr="00A77C7C">
        <w:rPr>
          <w:rFonts w:cs="Times New Roman"/>
          <w:szCs w:val="18"/>
          <w:lang w:val="nl-NL" w:eastAsia="ja-JP"/>
        </w:rPr>
        <w:t xml:space="preserve">) mogelijk wordt </w:t>
      </w:r>
      <w:r w:rsidR="00EE6418">
        <w:rPr>
          <w:rFonts w:cs="Times New Roman"/>
          <w:szCs w:val="18"/>
          <w:lang w:val="nl-NL" w:eastAsia="ja-JP"/>
        </w:rPr>
        <w:t xml:space="preserve">voor leden van het Europees Parlement </w:t>
      </w:r>
      <w:r w:rsidRPr="00A77C7C">
        <w:rPr>
          <w:rFonts w:cs="Times New Roman"/>
          <w:szCs w:val="18"/>
          <w:lang w:val="nl-NL" w:eastAsia="ja-JP"/>
        </w:rPr>
        <w:t>tijdens zwangerschap en na geboorte.</w:t>
      </w:r>
      <w:r>
        <w:rPr>
          <w:rFonts w:cs="Times New Roman"/>
          <w:szCs w:val="18"/>
          <w:lang w:val="nl-NL" w:eastAsia="ja-JP"/>
        </w:rPr>
        <w:t xml:space="preserve"> Wat het kabinet betreft, moet het </w:t>
      </w:r>
      <w:r w:rsidRPr="00A77C7C">
        <w:rPr>
          <w:rFonts w:cs="Times New Roman"/>
          <w:szCs w:val="18"/>
          <w:lang w:val="nl-NL" w:eastAsia="ja-JP"/>
        </w:rPr>
        <w:t xml:space="preserve">voorstel voor stemoverdracht </w:t>
      </w:r>
      <w:r>
        <w:rPr>
          <w:rFonts w:cs="Times New Roman"/>
          <w:szCs w:val="18"/>
          <w:lang w:val="nl-NL" w:eastAsia="ja-JP"/>
        </w:rPr>
        <w:t xml:space="preserve">gezien </w:t>
      </w:r>
      <w:r w:rsidRPr="00A77C7C">
        <w:rPr>
          <w:rFonts w:cs="Times New Roman"/>
          <w:szCs w:val="18"/>
          <w:lang w:val="nl-NL" w:eastAsia="ja-JP"/>
        </w:rPr>
        <w:t xml:space="preserve">worden als opmaat naar een tijdelijke vervangingsregeling en/of </w:t>
      </w:r>
      <w:r>
        <w:rPr>
          <w:rFonts w:cs="Times New Roman"/>
          <w:szCs w:val="18"/>
          <w:lang w:val="nl-NL" w:eastAsia="ja-JP"/>
        </w:rPr>
        <w:t>een</w:t>
      </w:r>
      <w:r w:rsidRPr="00A77C7C">
        <w:rPr>
          <w:rFonts w:cs="Times New Roman"/>
          <w:szCs w:val="18"/>
          <w:lang w:val="nl-NL" w:eastAsia="ja-JP"/>
        </w:rPr>
        <w:t xml:space="preserve"> uitbreiding voor vaderschapsverlof en ziekteverlof</w:t>
      </w:r>
      <w:r w:rsidR="00EE6418">
        <w:rPr>
          <w:rFonts w:cs="Times New Roman"/>
          <w:szCs w:val="18"/>
          <w:lang w:val="nl-NL" w:eastAsia="ja-JP"/>
        </w:rPr>
        <w:t>.</w:t>
      </w:r>
      <w:r>
        <w:rPr>
          <w:rStyle w:val="FootnoteReference"/>
          <w:rFonts w:cs="Times New Roman"/>
          <w:szCs w:val="18"/>
          <w:lang w:val="nl-NL" w:eastAsia="ja-JP"/>
        </w:rPr>
        <w:footnoteReference w:id="2"/>
      </w:r>
      <w:r w:rsidR="00EE6418">
        <w:rPr>
          <w:rFonts w:cs="Times New Roman"/>
          <w:szCs w:val="18"/>
          <w:lang w:val="nl-NL" w:eastAsia="ja-JP"/>
        </w:rPr>
        <w:t xml:space="preserve"> </w:t>
      </w:r>
      <w:r w:rsidRPr="007660B4" w:rsidR="007660B4">
        <w:rPr>
          <w:rFonts w:cs="Times New Roman"/>
          <w:szCs w:val="18"/>
          <w:lang w:val="nl-NL" w:eastAsia="ja-JP"/>
        </w:rPr>
        <w:t xml:space="preserve">Nu binnen de Raad en het </w:t>
      </w:r>
      <w:r w:rsidR="00781FA9">
        <w:rPr>
          <w:rFonts w:cs="Times New Roman"/>
          <w:szCs w:val="18"/>
          <w:lang w:val="nl-NL" w:eastAsia="ja-JP"/>
        </w:rPr>
        <w:t>Europees Parlement</w:t>
      </w:r>
      <w:r w:rsidRPr="007660B4" w:rsidR="00781FA9">
        <w:rPr>
          <w:rFonts w:cs="Times New Roman"/>
          <w:szCs w:val="18"/>
          <w:lang w:val="nl-NL" w:eastAsia="ja-JP"/>
        </w:rPr>
        <w:t xml:space="preserve"> </w:t>
      </w:r>
      <w:r w:rsidRPr="007660B4" w:rsidR="007660B4">
        <w:rPr>
          <w:rFonts w:cs="Times New Roman"/>
          <w:szCs w:val="18"/>
          <w:lang w:val="nl-NL" w:eastAsia="ja-JP"/>
        </w:rPr>
        <w:t>geen draagvlak lijkt te bestaan voor een</w:t>
      </w:r>
      <w:r w:rsidR="007660B4">
        <w:rPr>
          <w:rFonts w:cs="Times New Roman"/>
          <w:szCs w:val="18"/>
          <w:lang w:val="nl-NL" w:eastAsia="ja-JP"/>
        </w:rPr>
        <w:t xml:space="preserve"> </w:t>
      </w:r>
      <w:r w:rsidR="00B4185F">
        <w:rPr>
          <w:rFonts w:cs="Times New Roman"/>
          <w:szCs w:val="18"/>
          <w:lang w:val="nl-NL" w:eastAsia="ja-JP"/>
        </w:rPr>
        <w:t xml:space="preserve">dergelijke </w:t>
      </w:r>
      <w:r w:rsidRPr="007660B4" w:rsidR="007660B4">
        <w:rPr>
          <w:rFonts w:cs="Times New Roman"/>
          <w:szCs w:val="18"/>
          <w:lang w:val="nl-NL" w:eastAsia="ja-JP"/>
        </w:rPr>
        <w:t xml:space="preserve">maatregel van tijdelijke vervanging, meent het kabinet dat het </w:t>
      </w:r>
      <w:r w:rsidR="007660B4">
        <w:rPr>
          <w:rFonts w:cs="Times New Roman"/>
          <w:szCs w:val="18"/>
          <w:lang w:val="nl-NL" w:eastAsia="ja-JP"/>
        </w:rPr>
        <w:t>v</w:t>
      </w:r>
      <w:r w:rsidRPr="007660B4" w:rsidR="007660B4">
        <w:rPr>
          <w:rFonts w:cs="Times New Roman"/>
          <w:szCs w:val="18"/>
          <w:lang w:val="nl-NL" w:eastAsia="ja-JP"/>
        </w:rPr>
        <w:t>erantwoord is om te opteren voor het alternatief van stemoverdracht</w:t>
      </w:r>
      <w:r w:rsidR="007660B4">
        <w:rPr>
          <w:rFonts w:cs="Times New Roman"/>
          <w:szCs w:val="18"/>
          <w:lang w:val="nl-NL" w:eastAsia="ja-JP"/>
        </w:rPr>
        <w:t>.</w:t>
      </w:r>
      <w:r w:rsidR="00EE6418">
        <w:rPr>
          <w:rFonts w:cs="Times New Roman"/>
          <w:szCs w:val="18"/>
          <w:lang w:val="nl-NL" w:eastAsia="ja-JP"/>
        </w:rPr>
        <w:t xml:space="preserve"> </w:t>
      </w:r>
      <w:r w:rsidRPr="00EE6418" w:rsidR="00EE6418">
        <w:rPr>
          <w:rFonts w:cs="Times New Roman"/>
          <w:szCs w:val="18"/>
          <w:lang w:val="nl-NL" w:eastAsia="ja-JP"/>
        </w:rPr>
        <w:t>Zoals aangegeven in het kabinetsstandpunt is het voornemen om in Raadsverband een nationale verklaring af te leggen waarin wordt aangegeven dat het voorstel voor stemoverdracht wat Nederland betreft gezien moet worden als opmaat naar een tijdelijke vervangingsregeling en/of een uitbreiding voor vaderschapsverlof en ziekteverlof, alsmede dat het beginsel van stemmen zonder last moet worden gewaarborgd.</w:t>
      </w:r>
    </w:p>
    <w:p w:rsidRPr="00A77C7C" w:rsidR="00A77C7C" w:rsidP="0072512A" w:rsidRDefault="00A77C7C" w14:paraId="02D4261F" w14:textId="77777777">
      <w:pPr>
        <w:contextualSpacing/>
        <w:rPr>
          <w:b/>
          <w:bCs/>
          <w:szCs w:val="18"/>
          <w:lang w:val="nl-NL"/>
        </w:rPr>
      </w:pPr>
    </w:p>
    <w:p w:rsidRPr="00C63E08" w:rsidR="0072512A" w:rsidP="0072512A" w:rsidRDefault="0072512A" w14:paraId="63672F81" w14:textId="0E12D077">
      <w:pPr>
        <w:contextualSpacing/>
        <w:rPr>
          <w:b/>
          <w:szCs w:val="18"/>
          <w:lang w:val="nl-NL"/>
        </w:rPr>
      </w:pPr>
      <w:r w:rsidRPr="00C63E08">
        <w:rPr>
          <w:b/>
          <w:szCs w:val="18"/>
          <w:lang w:val="nl-NL"/>
        </w:rPr>
        <w:t>Europees Semester 2026</w:t>
      </w:r>
    </w:p>
    <w:p w:rsidR="00C63E08" w:rsidP="00C63E08" w:rsidRDefault="00C63E08" w14:paraId="73644FDA" w14:textId="7F867600">
      <w:pPr>
        <w:contextualSpacing/>
        <w:rPr>
          <w:rFonts w:cs="Times New Roman"/>
          <w:szCs w:val="18"/>
          <w:lang w:val="nl-NL" w:eastAsia="ja-JP"/>
        </w:rPr>
      </w:pPr>
      <w:r w:rsidRPr="00C63E08">
        <w:rPr>
          <w:rFonts w:cs="Times New Roman"/>
          <w:szCs w:val="18"/>
          <w:lang w:val="nl-NL" w:eastAsia="ja-JP"/>
        </w:rPr>
        <w:t>In de Raad Algemene Zaken zal gesproken worden over het Europees Semester 202</w:t>
      </w:r>
      <w:r>
        <w:rPr>
          <w:rFonts w:cs="Times New Roman"/>
          <w:szCs w:val="18"/>
          <w:lang w:val="nl-NL" w:eastAsia="ja-JP"/>
        </w:rPr>
        <w:t>6</w:t>
      </w:r>
      <w:r w:rsidRPr="00C63E08">
        <w:rPr>
          <w:rFonts w:cs="Times New Roman"/>
          <w:szCs w:val="18"/>
          <w:lang w:val="nl-NL" w:eastAsia="ja-JP"/>
        </w:rPr>
        <w:t>. De ministers zullen onder Cypriotisch voorzitterschap de mogelijk geactualiseerde routekaart (</w:t>
      </w:r>
      <w:proofErr w:type="spellStart"/>
      <w:r w:rsidRPr="00A951B3">
        <w:rPr>
          <w:rFonts w:cs="Times New Roman"/>
          <w:i/>
          <w:szCs w:val="18"/>
          <w:lang w:val="nl-NL" w:eastAsia="ja-JP"/>
        </w:rPr>
        <w:t>Roadmap</w:t>
      </w:r>
      <w:proofErr w:type="spellEnd"/>
      <w:r w:rsidRPr="00C63E08">
        <w:rPr>
          <w:rFonts w:cs="Times New Roman"/>
          <w:szCs w:val="18"/>
          <w:lang w:val="nl-NL" w:eastAsia="ja-JP"/>
        </w:rPr>
        <w:t xml:space="preserve">) bespreken met belangrijke stappen. De </w:t>
      </w:r>
      <w:proofErr w:type="spellStart"/>
      <w:r w:rsidRPr="00A951B3">
        <w:rPr>
          <w:rFonts w:cs="Times New Roman"/>
          <w:i/>
          <w:szCs w:val="18"/>
          <w:lang w:val="nl-NL" w:eastAsia="ja-JP"/>
        </w:rPr>
        <w:t>Roadmap</w:t>
      </w:r>
      <w:proofErr w:type="spellEnd"/>
      <w:r w:rsidRPr="00C63E08">
        <w:rPr>
          <w:rFonts w:cs="Times New Roman"/>
          <w:szCs w:val="18"/>
          <w:lang w:val="nl-NL" w:eastAsia="ja-JP"/>
        </w:rPr>
        <w:t xml:space="preserve"> behelst een tijdslijn van het Europees Semester in aanloop naar de publicatie van het lentepakket, naar verwachting begin juni 2026. Daarnaast zal er waarschijnlijk van gedachten worden gewisseld over </w:t>
      </w:r>
      <w:r w:rsidR="000903FD">
        <w:rPr>
          <w:rFonts w:cs="Times New Roman"/>
          <w:szCs w:val="18"/>
          <w:lang w:val="nl-NL" w:eastAsia="ja-JP"/>
        </w:rPr>
        <w:t xml:space="preserve">de </w:t>
      </w:r>
      <w:r w:rsidRPr="00C63E08">
        <w:rPr>
          <w:rFonts w:cs="Times New Roman"/>
          <w:szCs w:val="18"/>
          <w:lang w:val="nl-NL" w:eastAsia="ja-JP"/>
        </w:rPr>
        <w:t xml:space="preserve">economische beleidsaanbevelingen voor de eurozone in 2025. </w:t>
      </w:r>
    </w:p>
    <w:p w:rsidRPr="00C63E08" w:rsidR="00C63E08" w:rsidP="00C63E08" w:rsidRDefault="00C63E08" w14:paraId="63809F4A" w14:textId="77777777">
      <w:pPr>
        <w:contextualSpacing/>
        <w:rPr>
          <w:rFonts w:cs="Times New Roman"/>
          <w:szCs w:val="18"/>
          <w:lang w:val="nl-NL" w:eastAsia="ja-JP"/>
        </w:rPr>
      </w:pPr>
    </w:p>
    <w:p w:rsidR="00C63E08" w:rsidP="00C63E08" w:rsidRDefault="00C63E08" w14:paraId="3AA631A2" w14:textId="4FECC34B">
      <w:pPr>
        <w:contextualSpacing/>
        <w:rPr>
          <w:rFonts w:cs="Times New Roman"/>
          <w:szCs w:val="18"/>
          <w:lang w:val="nl-NL" w:eastAsia="ja-JP"/>
        </w:rPr>
      </w:pPr>
      <w:r w:rsidRPr="00C63E08">
        <w:rPr>
          <w:rFonts w:cs="Times New Roman"/>
          <w:szCs w:val="18"/>
          <w:lang w:val="nl-NL" w:eastAsia="ja-JP"/>
        </w:rPr>
        <w:t xml:space="preserve">De Commissie heeft op 25 november </w:t>
      </w:r>
      <w:r w:rsidR="00A951B3">
        <w:rPr>
          <w:rFonts w:cs="Times New Roman"/>
          <w:szCs w:val="18"/>
          <w:lang w:val="nl-NL" w:eastAsia="ja-JP"/>
        </w:rPr>
        <w:t>jl.</w:t>
      </w:r>
      <w:r w:rsidRPr="00C63E08">
        <w:rPr>
          <w:rFonts w:cs="Times New Roman"/>
          <w:szCs w:val="18"/>
          <w:lang w:val="nl-NL" w:eastAsia="ja-JP"/>
        </w:rPr>
        <w:t xml:space="preserve"> het herfstpakket in het kader van het Europees Semester gepubliceerd. Onderdeel van dit pakket is de door de Commissie voorgestelde ontwerpaanbeveling voor het economisch beleid in de eurozone voor 2026</w:t>
      </w:r>
      <w:r w:rsidR="00A951B3">
        <w:rPr>
          <w:rFonts w:cs="Times New Roman"/>
          <w:szCs w:val="18"/>
          <w:lang w:val="nl-NL" w:eastAsia="ja-JP"/>
        </w:rPr>
        <w:t xml:space="preserve">, de </w:t>
      </w:r>
      <w:r w:rsidRPr="00A951B3">
        <w:rPr>
          <w:rFonts w:cs="Times New Roman"/>
          <w:i/>
          <w:szCs w:val="18"/>
          <w:lang w:val="nl-NL" w:eastAsia="ja-JP"/>
        </w:rPr>
        <w:t xml:space="preserve">Euro Area </w:t>
      </w:r>
      <w:proofErr w:type="spellStart"/>
      <w:r w:rsidRPr="00A951B3">
        <w:rPr>
          <w:rFonts w:cs="Times New Roman"/>
          <w:i/>
          <w:szCs w:val="18"/>
          <w:lang w:val="nl-NL" w:eastAsia="ja-JP"/>
        </w:rPr>
        <w:t>Recommendation</w:t>
      </w:r>
      <w:proofErr w:type="spellEnd"/>
      <w:r w:rsidR="00A951B3">
        <w:rPr>
          <w:rFonts w:cs="Times New Roman"/>
          <w:szCs w:val="18"/>
          <w:lang w:val="nl-NL" w:eastAsia="ja-JP"/>
        </w:rPr>
        <w:t xml:space="preserve"> (</w:t>
      </w:r>
      <w:r w:rsidRPr="00C63E08">
        <w:rPr>
          <w:rFonts w:cs="Times New Roman"/>
          <w:szCs w:val="18"/>
          <w:lang w:val="nl-NL" w:eastAsia="ja-JP"/>
        </w:rPr>
        <w:t xml:space="preserve">EAR). In de EAR worden de gezamenlijke (beleids-)uitdagingen voor het eurogebied voor 2026 en 2027 geïdentificeerd. De voorliggende aanbevelingen die door de </w:t>
      </w:r>
      <w:proofErr w:type="spellStart"/>
      <w:r w:rsidRPr="00C63E08">
        <w:rPr>
          <w:rFonts w:cs="Times New Roman"/>
          <w:szCs w:val="18"/>
          <w:lang w:val="nl-NL" w:eastAsia="ja-JP"/>
        </w:rPr>
        <w:t>Ecofinraad</w:t>
      </w:r>
      <w:proofErr w:type="spellEnd"/>
      <w:r w:rsidRPr="00C63E08">
        <w:rPr>
          <w:rFonts w:cs="Times New Roman"/>
          <w:szCs w:val="18"/>
          <w:lang w:val="nl-NL" w:eastAsia="ja-JP"/>
        </w:rPr>
        <w:t xml:space="preserve"> bekrachtigd zijn op 17 februari, zijn aangepast naar aanleiding van besprekingen in de ambtelijke voorportalen van de Eurogroep, de </w:t>
      </w:r>
      <w:proofErr w:type="spellStart"/>
      <w:r w:rsidRPr="00C63E08">
        <w:rPr>
          <w:rFonts w:cs="Times New Roman"/>
          <w:szCs w:val="18"/>
          <w:lang w:val="nl-NL" w:eastAsia="ja-JP"/>
        </w:rPr>
        <w:t>Ecofinraad</w:t>
      </w:r>
      <w:proofErr w:type="spellEnd"/>
      <w:r w:rsidRPr="00C63E08">
        <w:rPr>
          <w:rFonts w:cs="Times New Roman"/>
          <w:szCs w:val="18"/>
          <w:lang w:val="nl-NL" w:eastAsia="ja-JP"/>
        </w:rPr>
        <w:t xml:space="preserve"> en de Raad Werkgelegenheid en Sociaal Beleid. Deze aanbevelingen sluiten aan op de hoofdthema’s: begrotingsbeleid, defensie-uitgaven en begrotingsbeleid, arbeidsmarkt, investeringen </w:t>
      </w:r>
      <w:r w:rsidRPr="00C63E08">
        <w:rPr>
          <w:rFonts w:cs="Times New Roman"/>
          <w:szCs w:val="18"/>
          <w:lang w:val="nl-NL" w:eastAsia="ja-JP"/>
        </w:rPr>
        <w:lastRenderedPageBreak/>
        <w:t xml:space="preserve">en innovatie, interne markt, simplificatie, Spaar- en Investeringsunie, de digitale euro en de internationale rol van de euro, en macro-financiële stabiliteit. </w:t>
      </w:r>
    </w:p>
    <w:bookmarkEnd w:id="0"/>
    <w:p w:rsidR="005D12B4" w:rsidP="00C63E08" w:rsidRDefault="005D12B4" w14:paraId="10610937" w14:textId="77777777">
      <w:pPr>
        <w:contextualSpacing/>
        <w:rPr>
          <w:rFonts w:cs="Times New Roman"/>
          <w:szCs w:val="18"/>
          <w:lang w:val="nl-NL" w:eastAsia="ja-JP"/>
        </w:rPr>
      </w:pPr>
    </w:p>
    <w:p w:rsidRPr="00C63E08" w:rsidR="00C63E08" w:rsidP="00C63E08" w:rsidRDefault="00C63E08" w14:paraId="6A58666A" w14:textId="6C8DA0DC">
      <w:pPr>
        <w:contextualSpacing/>
        <w:rPr>
          <w:rFonts w:cs="Times New Roman"/>
          <w:szCs w:val="18"/>
          <w:lang w:val="nl-NL" w:eastAsia="ja-JP"/>
        </w:rPr>
      </w:pPr>
      <w:r w:rsidRPr="00C63E08">
        <w:rPr>
          <w:rFonts w:cs="Times New Roman"/>
          <w:szCs w:val="18"/>
          <w:lang w:val="nl-NL" w:eastAsia="ja-JP"/>
        </w:rPr>
        <w:t xml:space="preserve">Een kabinetsappreciatie van de EAR op de economische aspecten is opgenomen in de Geannoteerde Agenda van de Eurogroep en </w:t>
      </w:r>
      <w:proofErr w:type="spellStart"/>
      <w:r w:rsidRPr="00C63E08">
        <w:rPr>
          <w:rFonts w:cs="Times New Roman"/>
          <w:szCs w:val="18"/>
          <w:lang w:val="nl-NL" w:eastAsia="ja-JP"/>
        </w:rPr>
        <w:t>Ecofinraad</w:t>
      </w:r>
      <w:proofErr w:type="spellEnd"/>
      <w:r w:rsidRPr="00C63E08">
        <w:rPr>
          <w:rFonts w:cs="Times New Roman"/>
          <w:szCs w:val="18"/>
          <w:lang w:val="nl-NL" w:eastAsia="ja-JP"/>
        </w:rPr>
        <w:t xml:space="preserve"> van 19 en 20 januari 2026. Nederland verwelkomt de EAR en ziet deze als een belangrijk onderdeel binnen het Europees Semester. Nederland is positief aangezien de EAR de eurozonelidstaten nuttige richtsnoeren bieden en bijdragen aan effectievere beleidscoördinatie binnen de EMU. Nederland benadrukt het belang van schuldhoudbaarheid in de lidstaten en onderschrijft daarbij de aanbeveling voor het </w:t>
      </w:r>
      <w:proofErr w:type="spellStart"/>
      <w:r w:rsidRPr="00C63E08">
        <w:rPr>
          <w:rFonts w:cs="Times New Roman"/>
          <w:szCs w:val="18"/>
          <w:lang w:val="nl-NL" w:eastAsia="ja-JP"/>
        </w:rPr>
        <w:t>herprioriteren</w:t>
      </w:r>
      <w:proofErr w:type="spellEnd"/>
      <w:r w:rsidRPr="00C63E08">
        <w:rPr>
          <w:rFonts w:cs="Times New Roman"/>
          <w:szCs w:val="18"/>
          <w:lang w:val="nl-NL" w:eastAsia="ja-JP"/>
        </w:rPr>
        <w:t xml:space="preserve"> van nationale begrotingen, onder andere in verband met hogere defensie-uitgaven. Daarnaast steunt Nederland de aandacht in de EAR voor voortgang op de kapitaalmarktunie, aandacht voor onderzoek en innovatie, </w:t>
      </w:r>
      <w:proofErr w:type="spellStart"/>
      <w:r w:rsidRPr="00C63E08">
        <w:rPr>
          <w:rFonts w:cs="Times New Roman"/>
          <w:szCs w:val="18"/>
          <w:lang w:val="nl-NL" w:eastAsia="ja-JP"/>
        </w:rPr>
        <w:t>decarbonisatie</w:t>
      </w:r>
      <w:proofErr w:type="spellEnd"/>
      <w:r w:rsidRPr="00C63E08">
        <w:rPr>
          <w:rFonts w:cs="Times New Roman"/>
          <w:szCs w:val="18"/>
          <w:lang w:val="nl-NL" w:eastAsia="ja-JP"/>
        </w:rPr>
        <w:t>, de digitale transitie, de verdieping van de interne markt en aanpak van regeldruk. Verder onderschrijft Nederland het belang van het bevorderen van (basis)vaardigheden om een goede aansluiting van het onderwijs op de arbeidsmarkt te stimuleren en een goede match van vraag en aanbod naar vaardigheden op de arbeidsmarkt te bevorderen.</w:t>
      </w:r>
    </w:p>
    <w:p w:rsidR="00100ED3" w:rsidRDefault="00100ED3" w14:paraId="6E86CC6B" w14:textId="3D49E66F">
      <w:pPr>
        <w:contextualSpacing/>
        <w:rPr>
          <w:rFonts w:cs="Times New Roman"/>
          <w:szCs w:val="18"/>
          <w:lang w:val="nl-NL" w:eastAsia="ja-JP"/>
        </w:rPr>
      </w:pPr>
    </w:p>
    <w:p w:rsidR="008A7147" w:rsidRDefault="00100ED3" w14:paraId="333FB61A" w14:textId="490D0430">
      <w:pPr>
        <w:contextualSpacing/>
        <w:rPr>
          <w:rFonts w:cs="Times New Roman"/>
          <w:szCs w:val="18"/>
          <w:lang w:val="nl-NL" w:eastAsia="ja-JP"/>
        </w:rPr>
      </w:pPr>
      <w:r w:rsidRPr="00100ED3">
        <w:rPr>
          <w:rFonts w:cs="Times New Roman"/>
          <w:b/>
          <w:bCs/>
          <w:szCs w:val="18"/>
          <w:lang w:val="nl-NL" w:eastAsia="ja-JP"/>
        </w:rPr>
        <w:t xml:space="preserve">EU-toetredingsproces Montenegro: onder voorbehoud sluiten van </w:t>
      </w:r>
      <w:r>
        <w:rPr>
          <w:rFonts w:cs="Times New Roman"/>
          <w:b/>
          <w:bCs/>
          <w:szCs w:val="18"/>
          <w:lang w:val="nl-NL" w:eastAsia="ja-JP"/>
        </w:rPr>
        <w:t>een hoofdstuk</w:t>
      </w:r>
      <w:r>
        <w:rPr>
          <w:rFonts w:cs="Times New Roman"/>
          <w:b/>
          <w:bCs/>
          <w:szCs w:val="18"/>
          <w:lang w:val="nl-NL" w:eastAsia="ja-JP"/>
        </w:rPr>
        <w:br/>
      </w:r>
      <w:r w:rsidRPr="00100ED3">
        <w:rPr>
          <w:rFonts w:cs="Times New Roman"/>
          <w:szCs w:val="18"/>
          <w:lang w:val="nl-NL" w:eastAsia="ja-JP"/>
        </w:rPr>
        <w:t xml:space="preserve">De Commissie heeft voorgesteld om in de toetredingsonderhandelingen met Montenegro hoofdstuk </w:t>
      </w:r>
      <w:r w:rsidR="00557AD8">
        <w:rPr>
          <w:rFonts w:cs="Times New Roman"/>
          <w:szCs w:val="18"/>
          <w:lang w:val="nl-NL" w:eastAsia="ja-JP"/>
        </w:rPr>
        <w:t xml:space="preserve">21 </w:t>
      </w:r>
      <w:r w:rsidRPr="00100ED3">
        <w:rPr>
          <w:rFonts w:cs="Times New Roman"/>
          <w:szCs w:val="18"/>
          <w:lang w:val="nl-NL" w:eastAsia="ja-JP"/>
        </w:rPr>
        <w:t xml:space="preserve">over </w:t>
      </w:r>
      <w:r>
        <w:rPr>
          <w:rFonts w:cs="Times New Roman"/>
          <w:szCs w:val="18"/>
          <w:lang w:val="nl-NL" w:eastAsia="ja-JP"/>
        </w:rPr>
        <w:t>trans-Europese netwerken</w:t>
      </w:r>
      <w:r w:rsidRPr="00100ED3">
        <w:rPr>
          <w:rFonts w:cs="Times New Roman"/>
          <w:szCs w:val="18"/>
          <w:lang w:val="nl-NL" w:eastAsia="ja-JP"/>
        </w:rPr>
        <w:t xml:space="preserve"> onder voorbehoud te sluiten.</w:t>
      </w:r>
      <w:r>
        <w:rPr>
          <w:rFonts w:cs="Times New Roman"/>
          <w:szCs w:val="18"/>
          <w:lang w:val="nl-NL" w:eastAsia="ja-JP"/>
        </w:rPr>
        <w:t xml:space="preserve"> Dit hoofdstuk omvat onder andere</w:t>
      </w:r>
      <w:r w:rsidR="00557AD8">
        <w:rPr>
          <w:rFonts w:cs="Times New Roman"/>
          <w:szCs w:val="18"/>
          <w:lang w:val="nl-NL" w:eastAsia="ja-JP"/>
        </w:rPr>
        <w:t xml:space="preserve"> het</w:t>
      </w:r>
      <w:r>
        <w:rPr>
          <w:rFonts w:cs="Times New Roman"/>
          <w:szCs w:val="18"/>
          <w:lang w:val="nl-NL" w:eastAsia="ja-JP"/>
        </w:rPr>
        <w:t xml:space="preserve"> </w:t>
      </w:r>
      <w:r w:rsidRPr="00100ED3">
        <w:rPr>
          <w:rFonts w:cs="Times New Roman"/>
          <w:i/>
          <w:iCs/>
          <w:szCs w:val="18"/>
          <w:lang w:val="nl-NL" w:eastAsia="ja-JP"/>
        </w:rPr>
        <w:t>EU-</w:t>
      </w:r>
      <w:proofErr w:type="spellStart"/>
      <w:r w:rsidRPr="00100ED3">
        <w:rPr>
          <w:rFonts w:cs="Times New Roman"/>
          <w:i/>
          <w:iCs/>
          <w:szCs w:val="18"/>
          <w:lang w:val="nl-NL" w:eastAsia="ja-JP"/>
        </w:rPr>
        <w:t>acquis</w:t>
      </w:r>
      <w:proofErr w:type="spellEnd"/>
      <w:r>
        <w:rPr>
          <w:rFonts w:cs="Times New Roman"/>
          <w:szCs w:val="18"/>
          <w:lang w:val="nl-NL" w:eastAsia="ja-JP"/>
        </w:rPr>
        <w:t xml:space="preserve"> over </w:t>
      </w:r>
      <w:r w:rsidRPr="00100ED3">
        <w:rPr>
          <w:rFonts w:cs="Times New Roman"/>
          <w:szCs w:val="18"/>
          <w:lang w:val="nl-NL" w:eastAsia="ja-JP"/>
        </w:rPr>
        <w:t>trans-Europese netwerken voor transport en energie</w:t>
      </w:r>
      <w:r>
        <w:rPr>
          <w:rFonts w:cs="Times New Roman"/>
          <w:szCs w:val="18"/>
          <w:lang w:val="nl-NL" w:eastAsia="ja-JP"/>
        </w:rPr>
        <w:t xml:space="preserve"> (vastgelegd in de TEN-T en </w:t>
      </w:r>
      <w:r w:rsidRPr="00100ED3">
        <w:rPr>
          <w:rFonts w:cs="Times New Roman"/>
          <w:szCs w:val="18"/>
          <w:lang w:val="nl-NL" w:eastAsia="ja-JP"/>
        </w:rPr>
        <w:t>TEN-E verordening</w:t>
      </w:r>
      <w:r>
        <w:rPr>
          <w:rFonts w:cs="Times New Roman"/>
          <w:szCs w:val="18"/>
          <w:lang w:val="nl-NL" w:eastAsia="ja-JP"/>
        </w:rPr>
        <w:t>en</w:t>
      </w:r>
      <w:r w:rsidR="000B7E8C">
        <w:rPr>
          <w:rFonts w:cs="Times New Roman"/>
          <w:szCs w:val="18"/>
          <w:lang w:val="nl-NL" w:eastAsia="ja-JP"/>
        </w:rPr>
        <w:t>,</w:t>
      </w:r>
      <w:r w:rsidR="00557AD8">
        <w:rPr>
          <w:rFonts w:cs="Times New Roman"/>
          <w:szCs w:val="18"/>
          <w:lang w:val="nl-NL" w:eastAsia="ja-JP"/>
        </w:rPr>
        <w:t xml:space="preserve"> en de </w:t>
      </w:r>
      <w:proofErr w:type="spellStart"/>
      <w:r w:rsidRPr="00F65DE4" w:rsidR="00557AD8">
        <w:rPr>
          <w:rFonts w:cs="Times New Roman"/>
          <w:i/>
          <w:szCs w:val="18"/>
          <w:lang w:val="nl-NL" w:eastAsia="ja-JP"/>
        </w:rPr>
        <w:t>Connecting</w:t>
      </w:r>
      <w:proofErr w:type="spellEnd"/>
      <w:r w:rsidRPr="00F65DE4" w:rsidR="00557AD8">
        <w:rPr>
          <w:rFonts w:cs="Times New Roman"/>
          <w:i/>
          <w:szCs w:val="18"/>
          <w:lang w:val="nl-NL" w:eastAsia="ja-JP"/>
        </w:rPr>
        <w:t xml:space="preserve"> Europe Facility</w:t>
      </w:r>
      <w:r>
        <w:rPr>
          <w:rFonts w:cs="Times New Roman"/>
          <w:szCs w:val="18"/>
          <w:lang w:val="nl-NL" w:eastAsia="ja-JP"/>
        </w:rPr>
        <w:t xml:space="preserve">). </w:t>
      </w:r>
      <w:r w:rsidR="007801C4">
        <w:rPr>
          <w:rFonts w:cs="Times New Roman"/>
          <w:szCs w:val="18"/>
          <w:lang w:val="nl-NL" w:eastAsia="ja-JP"/>
        </w:rPr>
        <w:br/>
      </w:r>
      <w:r w:rsidR="007801C4">
        <w:rPr>
          <w:rFonts w:cs="Times New Roman"/>
          <w:szCs w:val="18"/>
          <w:lang w:val="nl-NL" w:eastAsia="ja-JP"/>
        </w:rPr>
        <w:br/>
      </w:r>
      <w:r w:rsidRPr="00100ED3" w:rsidR="007801C4">
        <w:rPr>
          <w:rFonts w:cs="Times New Roman"/>
          <w:szCs w:val="18"/>
          <w:lang w:val="nl-NL" w:eastAsia="ja-JP"/>
        </w:rPr>
        <w:t>Het kabinet weegt de bredere (rechtsstaats-)situatie in Montenegro zodanig dat het een kritisch-constructieve grondhouding heeft ten aanzien</w:t>
      </w:r>
      <w:r w:rsidR="007801C4">
        <w:rPr>
          <w:rFonts w:cs="Times New Roman"/>
          <w:szCs w:val="18"/>
          <w:lang w:val="nl-NL" w:eastAsia="ja-JP"/>
        </w:rPr>
        <w:t xml:space="preserve"> </w:t>
      </w:r>
      <w:r w:rsidRPr="007530C8" w:rsidR="007801C4">
        <w:rPr>
          <w:rFonts w:cs="Times New Roman"/>
          <w:szCs w:val="18"/>
          <w:lang w:val="nl-NL" w:eastAsia="ja-JP"/>
        </w:rPr>
        <w:t>van voorstellen van de Commissie voor het onder voorbehoud sluiten van individuele hoofdstukke</w:t>
      </w:r>
      <w:r w:rsidR="007801C4">
        <w:rPr>
          <w:rFonts w:cs="Times New Roman"/>
          <w:szCs w:val="18"/>
          <w:lang w:val="nl-NL" w:eastAsia="ja-JP"/>
        </w:rPr>
        <w:t>n. Het kabinet kan deze steunen</w:t>
      </w:r>
      <w:r w:rsidRPr="007530C8" w:rsidR="007801C4">
        <w:rPr>
          <w:rFonts w:cs="Times New Roman"/>
          <w:szCs w:val="18"/>
          <w:lang w:val="nl-NL" w:eastAsia="ja-JP"/>
        </w:rPr>
        <w:t xml:space="preserve">, mits Montenegro blijvend investeert in versterking van administratieve en personele capaciteit, en aan de </w:t>
      </w:r>
      <w:r w:rsidRPr="00100ED3" w:rsidR="006F61BC">
        <w:rPr>
          <w:rFonts w:cs="Times New Roman"/>
          <w:szCs w:val="18"/>
          <w:lang w:val="nl-NL" w:eastAsia="ja-JP"/>
        </w:rPr>
        <w:t xml:space="preserve">beleidsinhoudelijke </w:t>
      </w:r>
      <w:proofErr w:type="spellStart"/>
      <w:r w:rsidRPr="00100ED3" w:rsidR="006F61BC">
        <w:rPr>
          <w:rFonts w:cs="Times New Roman"/>
          <w:i/>
          <w:iCs/>
          <w:szCs w:val="18"/>
          <w:lang w:val="nl-NL" w:eastAsia="ja-JP"/>
        </w:rPr>
        <w:t>closing</w:t>
      </w:r>
      <w:proofErr w:type="spellEnd"/>
      <w:r w:rsidRPr="00100ED3" w:rsidR="006F61BC">
        <w:rPr>
          <w:rFonts w:cs="Times New Roman"/>
          <w:i/>
          <w:iCs/>
          <w:szCs w:val="18"/>
          <w:lang w:val="nl-NL" w:eastAsia="ja-JP"/>
        </w:rPr>
        <w:t xml:space="preserve"> benchmarks</w:t>
      </w:r>
      <w:r w:rsidRPr="00100ED3" w:rsidR="006F61BC">
        <w:rPr>
          <w:rFonts w:cs="Times New Roman"/>
          <w:szCs w:val="18"/>
          <w:lang w:val="nl-NL" w:eastAsia="ja-JP"/>
        </w:rPr>
        <w:t xml:space="preserve"> </w:t>
      </w:r>
      <w:r w:rsidR="006F61BC">
        <w:rPr>
          <w:rFonts w:cs="Times New Roman"/>
          <w:szCs w:val="18"/>
          <w:lang w:val="nl-NL" w:eastAsia="ja-JP"/>
        </w:rPr>
        <w:t xml:space="preserve">voor individuele hoofdstukken </w:t>
      </w:r>
      <w:r w:rsidRPr="007530C8" w:rsidR="007801C4">
        <w:rPr>
          <w:rFonts w:cs="Times New Roman"/>
          <w:szCs w:val="18"/>
          <w:lang w:val="nl-NL" w:eastAsia="ja-JP"/>
        </w:rPr>
        <w:t>is voldaan</w:t>
      </w:r>
      <w:r w:rsidRPr="00100ED3" w:rsidR="007801C4">
        <w:rPr>
          <w:rFonts w:cs="Times New Roman"/>
          <w:szCs w:val="18"/>
          <w:lang w:val="nl-NL" w:eastAsia="ja-JP"/>
        </w:rPr>
        <w:t>.</w:t>
      </w:r>
      <w:r w:rsidR="007801C4">
        <w:rPr>
          <w:rStyle w:val="FootnoteReference"/>
          <w:rFonts w:cs="Times New Roman"/>
          <w:szCs w:val="18"/>
          <w:lang w:val="nl-NL" w:eastAsia="ja-JP"/>
        </w:rPr>
        <w:footnoteReference w:id="3"/>
      </w:r>
      <w:r w:rsidR="007801C4">
        <w:rPr>
          <w:rFonts w:cs="Times New Roman"/>
          <w:szCs w:val="18"/>
          <w:lang w:val="nl-NL" w:eastAsia="ja-JP"/>
        </w:rPr>
        <w:t xml:space="preserve"> </w:t>
      </w:r>
      <w:r w:rsidRPr="00100ED3" w:rsidR="007801C4">
        <w:rPr>
          <w:rFonts w:cs="Times New Roman"/>
          <w:szCs w:val="18"/>
          <w:lang w:val="nl-NL" w:eastAsia="ja-JP"/>
        </w:rPr>
        <w:t>De</w:t>
      </w:r>
      <w:r w:rsidR="006F61BC">
        <w:rPr>
          <w:rFonts w:cs="Times New Roman"/>
          <w:szCs w:val="18"/>
          <w:lang w:val="nl-NL" w:eastAsia="ja-JP"/>
        </w:rPr>
        <w:t xml:space="preserve"> </w:t>
      </w:r>
      <w:r w:rsidRPr="006F61BC" w:rsidR="006F61BC">
        <w:rPr>
          <w:rFonts w:cs="Times New Roman"/>
          <w:i/>
          <w:iCs/>
          <w:szCs w:val="18"/>
          <w:lang w:val="nl-NL" w:eastAsia="ja-JP"/>
        </w:rPr>
        <w:t>benchmarks</w:t>
      </w:r>
      <w:r w:rsidRPr="00100ED3" w:rsidR="007801C4">
        <w:rPr>
          <w:rFonts w:cs="Times New Roman"/>
          <w:szCs w:val="18"/>
          <w:lang w:val="nl-NL" w:eastAsia="ja-JP"/>
        </w:rPr>
        <w:t xml:space="preserve"> </w:t>
      </w:r>
      <w:r w:rsidR="006F61BC">
        <w:rPr>
          <w:rFonts w:cs="Times New Roman"/>
          <w:szCs w:val="18"/>
          <w:lang w:val="nl-NL" w:eastAsia="ja-JP"/>
        </w:rPr>
        <w:t xml:space="preserve">voor hoofdstuk 21 </w:t>
      </w:r>
      <w:r w:rsidRPr="00100ED3" w:rsidR="007801C4">
        <w:rPr>
          <w:rFonts w:cs="Times New Roman"/>
          <w:szCs w:val="18"/>
          <w:lang w:val="nl-NL" w:eastAsia="ja-JP"/>
        </w:rPr>
        <w:t xml:space="preserve">zien onder andere op </w:t>
      </w:r>
      <w:r w:rsidR="007801C4">
        <w:rPr>
          <w:rFonts w:cs="Times New Roman"/>
          <w:szCs w:val="18"/>
          <w:lang w:val="nl-NL" w:eastAsia="ja-JP"/>
        </w:rPr>
        <w:t>het overeenkomen van prioritaire transportprojecten om Montenegro verder aan te sluiten op trans-Europese transportnetwerken, en adequate institutionele en administratieve capaciteit.</w:t>
      </w:r>
      <w:r w:rsidR="007801C4">
        <w:rPr>
          <w:rFonts w:cs="Times New Roman"/>
          <w:szCs w:val="18"/>
          <w:lang w:val="nl-NL" w:eastAsia="ja-JP"/>
        </w:rPr>
        <w:br/>
      </w:r>
      <w:r w:rsidR="007801C4">
        <w:rPr>
          <w:rFonts w:cs="Times New Roman"/>
          <w:szCs w:val="18"/>
          <w:lang w:val="nl-NL" w:eastAsia="ja-JP"/>
        </w:rPr>
        <w:br/>
      </w:r>
      <w:r w:rsidR="007530C8">
        <w:rPr>
          <w:rFonts w:cs="Times New Roman"/>
          <w:szCs w:val="18"/>
          <w:lang w:val="nl-NL" w:eastAsia="ja-JP"/>
        </w:rPr>
        <w:t>Nederland heeft tijdens</w:t>
      </w:r>
      <w:r w:rsidRPr="00100ED3">
        <w:rPr>
          <w:rFonts w:cs="Times New Roman"/>
          <w:szCs w:val="18"/>
          <w:lang w:val="nl-NL" w:eastAsia="ja-JP"/>
        </w:rPr>
        <w:t xml:space="preserve"> de behandeling in Brussel </w:t>
      </w:r>
      <w:r w:rsidR="007530C8">
        <w:rPr>
          <w:rFonts w:cs="Times New Roman"/>
          <w:szCs w:val="18"/>
          <w:lang w:val="nl-NL" w:eastAsia="ja-JP"/>
        </w:rPr>
        <w:t>opgeroepen tot</w:t>
      </w:r>
      <w:r w:rsidRPr="00100ED3">
        <w:rPr>
          <w:rFonts w:cs="Times New Roman"/>
          <w:szCs w:val="18"/>
          <w:lang w:val="nl-NL" w:eastAsia="ja-JP"/>
        </w:rPr>
        <w:t xml:space="preserve"> deugdelijke implementatie van hervormingen en nauwe, blijvende monitoring door de Commissie </w:t>
      </w:r>
      <w:r w:rsidR="006F61BC">
        <w:rPr>
          <w:rFonts w:cs="Times New Roman"/>
          <w:szCs w:val="18"/>
          <w:lang w:val="nl-NL" w:eastAsia="ja-JP"/>
        </w:rPr>
        <w:t>van</w:t>
      </w:r>
      <w:r w:rsidRPr="00100ED3">
        <w:rPr>
          <w:rFonts w:cs="Times New Roman"/>
          <w:szCs w:val="18"/>
          <w:lang w:val="nl-NL" w:eastAsia="ja-JP"/>
        </w:rPr>
        <w:t xml:space="preserve"> resterende stappen</w:t>
      </w:r>
      <w:r w:rsidR="007530C8">
        <w:rPr>
          <w:rFonts w:cs="Times New Roman"/>
          <w:szCs w:val="18"/>
          <w:lang w:val="nl-NL" w:eastAsia="ja-JP"/>
        </w:rPr>
        <w:t xml:space="preserve">, waaronder </w:t>
      </w:r>
      <w:r w:rsidR="006F61BC">
        <w:rPr>
          <w:rFonts w:cs="Times New Roman"/>
          <w:szCs w:val="18"/>
          <w:lang w:val="nl-NL" w:eastAsia="ja-JP"/>
        </w:rPr>
        <w:t xml:space="preserve">verdere </w:t>
      </w:r>
      <w:r w:rsidRPr="007530C8" w:rsidR="007530C8">
        <w:rPr>
          <w:rFonts w:cs="Times New Roman"/>
          <w:szCs w:val="18"/>
          <w:lang w:val="nl-NL" w:eastAsia="ja-JP"/>
        </w:rPr>
        <w:t>omzetting</w:t>
      </w:r>
      <w:r w:rsidR="007530C8">
        <w:rPr>
          <w:rFonts w:cs="Times New Roman"/>
          <w:szCs w:val="18"/>
          <w:lang w:val="nl-NL" w:eastAsia="ja-JP"/>
        </w:rPr>
        <w:t xml:space="preserve"> van </w:t>
      </w:r>
      <w:r w:rsidRPr="007530C8" w:rsidR="007530C8">
        <w:rPr>
          <w:rFonts w:cs="Times New Roman"/>
          <w:szCs w:val="18"/>
          <w:lang w:val="nl-NL" w:eastAsia="ja-JP"/>
        </w:rPr>
        <w:t>energie-netwerkvereisten</w:t>
      </w:r>
      <w:r w:rsidR="007530C8">
        <w:rPr>
          <w:rFonts w:cs="Times New Roman"/>
          <w:szCs w:val="18"/>
          <w:lang w:val="nl-NL" w:eastAsia="ja-JP"/>
        </w:rPr>
        <w:t xml:space="preserve"> in wetgeving</w:t>
      </w:r>
      <w:r w:rsidR="006F61BC">
        <w:rPr>
          <w:rFonts w:cs="Times New Roman"/>
          <w:szCs w:val="18"/>
          <w:lang w:val="nl-NL" w:eastAsia="ja-JP"/>
        </w:rPr>
        <w:t xml:space="preserve">. </w:t>
      </w:r>
      <w:r w:rsidRPr="00100ED3">
        <w:rPr>
          <w:rFonts w:cs="Times New Roman"/>
          <w:szCs w:val="18"/>
          <w:lang w:val="nl-NL" w:eastAsia="ja-JP"/>
        </w:rPr>
        <w:t>Het kabinet steunt het onder voorbehoud sluiten van dit hoofdstuk</w:t>
      </w:r>
      <w:r w:rsidR="006F61BC">
        <w:rPr>
          <w:rFonts w:cs="Times New Roman"/>
          <w:szCs w:val="18"/>
          <w:lang w:val="nl-NL" w:eastAsia="ja-JP"/>
        </w:rPr>
        <w:t>, nu de Commissie dit bevestigt</w:t>
      </w:r>
      <w:r w:rsidRPr="00100ED3">
        <w:rPr>
          <w:rFonts w:cs="Times New Roman"/>
          <w:szCs w:val="18"/>
          <w:lang w:val="nl-NL" w:eastAsia="ja-JP"/>
        </w:rPr>
        <w:t xml:space="preserve">. Naar verwachting zal er in de Raad unanieme steun zijn voor deze stap. Afhankelijk van instemming van EU-lidstaten zal en marge van de RAZ van </w:t>
      </w:r>
      <w:r w:rsidR="007801C4">
        <w:rPr>
          <w:rFonts w:cs="Times New Roman"/>
          <w:szCs w:val="18"/>
          <w:lang w:val="nl-NL" w:eastAsia="ja-JP"/>
        </w:rPr>
        <w:t>17 maart</w:t>
      </w:r>
      <w:r w:rsidRPr="00100ED3">
        <w:rPr>
          <w:rFonts w:cs="Times New Roman"/>
          <w:szCs w:val="18"/>
          <w:lang w:val="nl-NL" w:eastAsia="ja-JP"/>
        </w:rPr>
        <w:t xml:space="preserve"> een Intergouvernementele Conferentie worden georganiseerd.</w:t>
      </w:r>
      <w:r w:rsidR="0096538D">
        <w:rPr>
          <w:rFonts w:cs="Times New Roman"/>
          <w:szCs w:val="18"/>
          <w:lang w:val="nl-NL" w:eastAsia="ja-JP"/>
        </w:rPr>
        <w:br/>
      </w:r>
    </w:p>
    <w:p w:rsidRPr="007530C8" w:rsidR="00100ED3" w:rsidRDefault="008A7147" w14:paraId="09A15D24" w14:textId="7CA28E5F">
      <w:pPr>
        <w:contextualSpacing/>
        <w:rPr>
          <w:rFonts w:cs="Times New Roman"/>
          <w:szCs w:val="18"/>
          <w:lang w:val="nl-NL" w:eastAsia="ja-JP"/>
        </w:rPr>
      </w:pPr>
      <w:bookmarkStart w:name="_Hlk223094350" w:id="1"/>
      <w:r>
        <w:rPr>
          <w:rFonts w:cs="Times New Roman"/>
          <w:b/>
          <w:bCs/>
          <w:szCs w:val="18"/>
          <w:lang w:val="nl-NL" w:eastAsia="ja-JP"/>
        </w:rPr>
        <w:t>EU-toetredingsproces Oekraïne en Moldavië</w:t>
      </w:r>
      <w:r w:rsidR="007138F8">
        <w:rPr>
          <w:rFonts w:cs="Times New Roman"/>
          <w:szCs w:val="18"/>
          <w:lang w:val="nl-NL" w:eastAsia="ja-JP"/>
        </w:rPr>
        <w:br/>
      </w:r>
      <w:r w:rsidRPr="007138F8" w:rsidR="00425031">
        <w:rPr>
          <w:rFonts w:cs="Times New Roman"/>
          <w:szCs w:val="18"/>
          <w:lang w:val="nl-NL" w:eastAsia="ja-JP"/>
        </w:rPr>
        <w:t xml:space="preserve">Ondanks de Hongaarse blokkade in het </w:t>
      </w:r>
      <w:r w:rsidR="00A408A1">
        <w:rPr>
          <w:rFonts w:cs="Times New Roman"/>
          <w:szCs w:val="18"/>
          <w:lang w:val="nl-NL" w:eastAsia="ja-JP"/>
        </w:rPr>
        <w:t>EU-</w:t>
      </w:r>
      <w:r w:rsidRPr="007138F8" w:rsidR="00425031">
        <w:rPr>
          <w:rFonts w:cs="Times New Roman"/>
          <w:szCs w:val="18"/>
          <w:lang w:val="nl-NL" w:eastAsia="ja-JP"/>
        </w:rPr>
        <w:t>toetredingsproces van Oekraïne vindt voorbereidend technisch werk plaats, opdat de onderhandelingsclusters</w:t>
      </w:r>
      <w:r w:rsidR="0096538D">
        <w:rPr>
          <w:rFonts w:cs="Times New Roman"/>
          <w:szCs w:val="18"/>
          <w:lang w:val="nl-NL" w:eastAsia="ja-JP"/>
        </w:rPr>
        <w:t xml:space="preserve"> voor Oekraïne en Moldavië</w:t>
      </w:r>
      <w:r w:rsidRPr="007138F8" w:rsidR="00425031">
        <w:rPr>
          <w:rFonts w:cs="Times New Roman"/>
          <w:szCs w:val="18"/>
          <w:lang w:val="nl-NL" w:eastAsia="ja-JP"/>
        </w:rPr>
        <w:t xml:space="preserve"> zo snel mogelijk geopend kunnen worden op het moment dat Hongarije de</w:t>
      </w:r>
      <w:r w:rsidR="00E343AD">
        <w:rPr>
          <w:rFonts w:cs="Times New Roman"/>
          <w:szCs w:val="18"/>
          <w:lang w:val="nl-NL" w:eastAsia="ja-JP"/>
        </w:rPr>
        <w:t>ze</w:t>
      </w:r>
      <w:r w:rsidRPr="007138F8" w:rsidR="00425031">
        <w:rPr>
          <w:rFonts w:cs="Times New Roman"/>
          <w:szCs w:val="18"/>
          <w:lang w:val="nl-NL" w:eastAsia="ja-JP"/>
        </w:rPr>
        <w:t xml:space="preserve"> blokkade opheft en de besluiten formeel voorliggen.</w:t>
      </w:r>
      <w:r w:rsidR="000B5C06">
        <w:rPr>
          <w:rFonts w:cs="Times New Roman"/>
          <w:szCs w:val="18"/>
          <w:lang w:val="nl-NL" w:eastAsia="ja-JP"/>
        </w:rPr>
        <w:br/>
      </w:r>
      <w:r w:rsidR="000B5C06">
        <w:rPr>
          <w:rFonts w:cs="Times New Roman"/>
          <w:szCs w:val="18"/>
          <w:lang w:val="nl-NL" w:eastAsia="ja-JP"/>
        </w:rPr>
        <w:br/>
      </w:r>
      <w:r w:rsidR="00A408A1">
        <w:rPr>
          <w:rFonts w:cs="Times New Roman"/>
          <w:szCs w:val="18"/>
          <w:lang w:val="nl-NL" w:eastAsia="ja-JP"/>
        </w:rPr>
        <w:t>Eerder oordeelde</w:t>
      </w:r>
      <w:r w:rsidR="00425031">
        <w:rPr>
          <w:rFonts w:cs="Times New Roman"/>
          <w:szCs w:val="18"/>
          <w:lang w:val="nl-NL" w:eastAsia="ja-JP"/>
        </w:rPr>
        <w:t xml:space="preserve"> de Commissie </w:t>
      </w:r>
      <w:r w:rsidR="0096538D">
        <w:rPr>
          <w:rFonts w:cs="Times New Roman"/>
          <w:szCs w:val="18"/>
          <w:lang w:val="nl-NL" w:eastAsia="ja-JP"/>
        </w:rPr>
        <w:t xml:space="preserve">al </w:t>
      </w:r>
      <w:r w:rsidR="00425031">
        <w:rPr>
          <w:rFonts w:cs="Times New Roman"/>
          <w:szCs w:val="18"/>
          <w:lang w:val="nl-NL" w:eastAsia="ja-JP"/>
        </w:rPr>
        <w:t>dat Cluster 1</w:t>
      </w:r>
      <w:r w:rsidR="000B5C06">
        <w:rPr>
          <w:rFonts w:cs="Times New Roman"/>
          <w:szCs w:val="18"/>
          <w:lang w:val="nl-NL" w:eastAsia="ja-JP"/>
        </w:rPr>
        <w:t xml:space="preserve"> (</w:t>
      </w:r>
      <w:r w:rsidR="000B5C06">
        <w:rPr>
          <w:rFonts w:cs="Times New Roman"/>
          <w:i/>
          <w:iCs/>
          <w:szCs w:val="18"/>
          <w:lang w:val="nl-NL" w:eastAsia="ja-JP"/>
        </w:rPr>
        <w:t>Fundamentals</w:t>
      </w:r>
      <w:r w:rsidR="000B5C06">
        <w:rPr>
          <w:rFonts w:cs="Times New Roman"/>
          <w:szCs w:val="18"/>
          <w:lang w:val="nl-NL" w:eastAsia="ja-JP"/>
        </w:rPr>
        <w:t>)</w:t>
      </w:r>
      <w:r w:rsidR="00425031">
        <w:rPr>
          <w:rFonts w:cs="Times New Roman"/>
          <w:szCs w:val="18"/>
          <w:lang w:val="nl-NL" w:eastAsia="ja-JP"/>
        </w:rPr>
        <w:t xml:space="preserve">, </w:t>
      </w:r>
      <w:r w:rsidR="000B5C06">
        <w:rPr>
          <w:rFonts w:cs="Times New Roman"/>
          <w:szCs w:val="18"/>
          <w:lang w:val="nl-NL" w:eastAsia="ja-JP"/>
        </w:rPr>
        <w:t xml:space="preserve">Cluster </w:t>
      </w:r>
      <w:r w:rsidR="00425031">
        <w:rPr>
          <w:rFonts w:cs="Times New Roman"/>
          <w:szCs w:val="18"/>
          <w:lang w:val="nl-NL" w:eastAsia="ja-JP"/>
        </w:rPr>
        <w:t xml:space="preserve">2 </w:t>
      </w:r>
      <w:r w:rsidR="000B5C06">
        <w:rPr>
          <w:rFonts w:cs="Times New Roman"/>
          <w:szCs w:val="18"/>
          <w:lang w:val="nl-NL" w:eastAsia="ja-JP"/>
        </w:rPr>
        <w:t xml:space="preserve">(interne markt) </w:t>
      </w:r>
      <w:r w:rsidR="00425031">
        <w:rPr>
          <w:rFonts w:cs="Times New Roman"/>
          <w:szCs w:val="18"/>
          <w:lang w:val="nl-NL" w:eastAsia="ja-JP"/>
        </w:rPr>
        <w:t xml:space="preserve">en </w:t>
      </w:r>
      <w:r w:rsidR="000B5C06">
        <w:rPr>
          <w:rFonts w:cs="Times New Roman"/>
          <w:szCs w:val="18"/>
          <w:lang w:val="nl-NL" w:eastAsia="ja-JP"/>
        </w:rPr>
        <w:t xml:space="preserve">Cluster </w:t>
      </w:r>
      <w:r w:rsidR="00425031">
        <w:rPr>
          <w:rFonts w:cs="Times New Roman"/>
          <w:szCs w:val="18"/>
          <w:lang w:val="nl-NL" w:eastAsia="ja-JP"/>
        </w:rPr>
        <w:t>6 (</w:t>
      </w:r>
      <w:r w:rsidR="000B5C06">
        <w:rPr>
          <w:rFonts w:cs="Times New Roman"/>
          <w:szCs w:val="18"/>
          <w:lang w:val="nl-NL" w:eastAsia="ja-JP"/>
        </w:rPr>
        <w:t>e</w:t>
      </w:r>
      <w:r w:rsidRPr="00425031" w:rsidR="00425031">
        <w:rPr>
          <w:rFonts w:cs="Times New Roman"/>
          <w:szCs w:val="18"/>
          <w:lang w:val="nl-NL" w:eastAsia="ja-JP"/>
        </w:rPr>
        <w:t xml:space="preserve">xterne betrekkingen) </w:t>
      </w:r>
      <w:r w:rsidR="00425031">
        <w:rPr>
          <w:rFonts w:cs="Times New Roman"/>
          <w:szCs w:val="18"/>
          <w:lang w:val="nl-NL" w:eastAsia="ja-JP"/>
        </w:rPr>
        <w:t>geopend kunnen worden.</w:t>
      </w:r>
      <w:r w:rsidR="000B5C06">
        <w:rPr>
          <w:rFonts w:cs="Times New Roman"/>
          <w:szCs w:val="18"/>
          <w:lang w:val="nl-NL" w:eastAsia="ja-JP"/>
        </w:rPr>
        <w:t xml:space="preserve"> </w:t>
      </w:r>
      <w:r w:rsidR="00A408A1">
        <w:rPr>
          <w:rFonts w:cs="Times New Roman"/>
          <w:szCs w:val="18"/>
          <w:lang w:val="nl-NL" w:eastAsia="ja-JP"/>
        </w:rPr>
        <w:t>In de appreciatie van het uitbreidingspakket 2025 gaf het kabinet aan</w:t>
      </w:r>
      <w:r w:rsidRPr="000B5C06" w:rsidR="000B5C06">
        <w:rPr>
          <w:rFonts w:cs="Times New Roman"/>
          <w:szCs w:val="18"/>
          <w:lang w:val="nl-NL" w:eastAsia="ja-JP"/>
        </w:rPr>
        <w:t xml:space="preserve"> </w:t>
      </w:r>
      <w:r w:rsidR="00A408A1">
        <w:rPr>
          <w:rFonts w:cs="Times New Roman"/>
          <w:szCs w:val="18"/>
          <w:lang w:val="nl-NL" w:eastAsia="ja-JP"/>
        </w:rPr>
        <w:t>dit</w:t>
      </w:r>
      <w:r w:rsidRPr="000B5C06" w:rsidR="000B5C06">
        <w:rPr>
          <w:rFonts w:cs="Times New Roman"/>
          <w:szCs w:val="18"/>
          <w:lang w:val="nl-NL" w:eastAsia="ja-JP"/>
        </w:rPr>
        <w:t xml:space="preserve"> oordeel </w:t>
      </w:r>
      <w:r w:rsidR="00A408A1">
        <w:rPr>
          <w:rFonts w:cs="Times New Roman"/>
          <w:szCs w:val="18"/>
          <w:lang w:val="nl-NL" w:eastAsia="ja-JP"/>
        </w:rPr>
        <w:t>te volgen en</w:t>
      </w:r>
      <w:r w:rsidRPr="000B5C06" w:rsidR="000B5C06">
        <w:rPr>
          <w:rFonts w:cs="Times New Roman"/>
          <w:szCs w:val="18"/>
          <w:lang w:val="nl-NL" w:eastAsia="ja-JP"/>
        </w:rPr>
        <w:t xml:space="preserve"> voornemens</w:t>
      </w:r>
      <w:r w:rsidR="00A408A1">
        <w:rPr>
          <w:rFonts w:cs="Times New Roman"/>
          <w:szCs w:val="18"/>
          <w:lang w:val="nl-NL" w:eastAsia="ja-JP"/>
        </w:rPr>
        <w:t xml:space="preserve"> te zijn</w:t>
      </w:r>
      <w:r w:rsidRPr="000B5C06" w:rsidR="000B5C06">
        <w:rPr>
          <w:rFonts w:cs="Times New Roman"/>
          <w:szCs w:val="18"/>
          <w:lang w:val="nl-NL" w:eastAsia="ja-JP"/>
        </w:rPr>
        <w:t xml:space="preserve"> hiermee in te stemmen wanneer dit besluit voorligt, de Raad concludeert dat aan de </w:t>
      </w:r>
      <w:r w:rsidRPr="000B5C06" w:rsidR="000B5C06">
        <w:rPr>
          <w:rFonts w:cs="Times New Roman"/>
          <w:i/>
          <w:iCs/>
          <w:szCs w:val="18"/>
          <w:lang w:val="nl-NL" w:eastAsia="ja-JP"/>
        </w:rPr>
        <w:t>opening benchmarks</w:t>
      </w:r>
      <w:r w:rsidRPr="000B5C06" w:rsidR="000B5C06">
        <w:rPr>
          <w:rFonts w:cs="Times New Roman"/>
          <w:szCs w:val="18"/>
          <w:lang w:val="nl-NL" w:eastAsia="ja-JP"/>
        </w:rPr>
        <w:t xml:space="preserve"> is voldaan, en overeenstemming bereikt is over gepaste </w:t>
      </w:r>
      <w:r w:rsidRPr="000B5C06" w:rsidR="000B5C06">
        <w:rPr>
          <w:rFonts w:cs="Times New Roman"/>
          <w:i/>
          <w:iCs/>
          <w:szCs w:val="18"/>
          <w:lang w:val="nl-NL" w:eastAsia="ja-JP"/>
        </w:rPr>
        <w:t>interim benchmarks</w:t>
      </w:r>
      <w:r w:rsidRPr="000B5C06" w:rsidR="000B5C06">
        <w:rPr>
          <w:rFonts w:cs="Times New Roman"/>
          <w:szCs w:val="18"/>
          <w:lang w:val="nl-NL" w:eastAsia="ja-JP"/>
        </w:rPr>
        <w:t>. Nadat Cluster 1 geopend is, is het kabinet eveneens voornemens in te stemmen met het openen van Cluster 2 en Cluster 6, wanneer deze besluiten voorliggen en Nederlandse aandachtspunten in voldoende mate verankerd zijn.</w:t>
      </w:r>
      <w:r w:rsidR="000B5C06">
        <w:rPr>
          <w:rFonts w:cs="Times New Roman"/>
          <w:szCs w:val="18"/>
          <w:lang w:val="nl-NL" w:eastAsia="ja-JP"/>
        </w:rPr>
        <w:br/>
      </w:r>
      <w:r w:rsidR="00425031">
        <w:rPr>
          <w:rFonts w:cs="Times New Roman"/>
          <w:szCs w:val="18"/>
          <w:lang w:val="nl-NL" w:eastAsia="ja-JP"/>
        </w:rPr>
        <w:br/>
      </w:r>
      <w:r w:rsidRPr="007138F8" w:rsidR="007138F8">
        <w:rPr>
          <w:rFonts w:cs="Times New Roman"/>
          <w:szCs w:val="18"/>
          <w:lang w:val="nl-NL" w:eastAsia="ja-JP"/>
        </w:rPr>
        <w:t xml:space="preserve">De Commissie </w:t>
      </w:r>
      <w:r w:rsidR="00425031">
        <w:rPr>
          <w:rFonts w:cs="Times New Roman"/>
          <w:szCs w:val="18"/>
          <w:lang w:val="nl-NL" w:eastAsia="ja-JP"/>
        </w:rPr>
        <w:t>gaf in het</w:t>
      </w:r>
      <w:r w:rsidRPr="007138F8" w:rsidR="007138F8">
        <w:rPr>
          <w:rFonts w:cs="Times New Roman"/>
          <w:szCs w:val="18"/>
          <w:lang w:val="nl-NL" w:eastAsia="ja-JP"/>
        </w:rPr>
        <w:t xml:space="preserve"> uitbreidingsrapport 2025 a</w:t>
      </w:r>
      <w:r w:rsidR="00425031">
        <w:rPr>
          <w:rFonts w:cs="Times New Roman"/>
          <w:szCs w:val="18"/>
          <w:lang w:val="nl-NL" w:eastAsia="ja-JP"/>
        </w:rPr>
        <w:t xml:space="preserve">an </w:t>
      </w:r>
      <w:r w:rsidRPr="007138F8" w:rsidR="007138F8">
        <w:rPr>
          <w:rFonts w:cs="Times New Roman"/>
          <w:szCs w:val="18"/>
          <w:lang w:val="nl-NL" w:eastAsia="ja-JP"/>
        </w:rPr>
        <w:t xml:space="preserve">te verwachten dat Oekraïne en Moldavië voor eind 2025 zouden voldoen aan de vereisten voor het openen van </w:t>
      </w:r>
      <w:r w:rsidR="000B5C06">
        <w:rPr>
          <w:rFonts w:cs="Times New Roman"/>
          <w:szCs w:val="18"/>
          <w:lang w:val="nl-NL" w:eastAsia="ja-JP"/>
        </w:rPr>
        <w:t>de overige Clusters</w:t>
      </w:r>
      <w:r w:rsidR="00F52258">
        <w:rPr>
          <w:rFonts w:cs="Times New Roman"/>
          <w:szCs w:val="18"/>
          <w:lang w:val="nl-NL" w:eastAsia="ja-JP"/>
        </w:rPr>
        <w:t xml:space="preserve">: </w:t>
      </w:r>
      <w:r w:rsidR="000B5C06">
        <w:rPr>
          <w:rFonts w:cs="Times New Roman"/>
          <w:szCs w:val="18"/>
          <w:lang w:val="nl-NL" w:eastAsia="ja-JP"/>
        </w:rPr>
        <w:t xml:space="preserve">Cluster </w:t>
      </w:r>
      <w:r w:rsidRPr="007138F8" w:rsidR="007138F8">
        <w:rPr>
          <w:rFonts w:cs="Times New Roman"/>
          <w:szCs w:val="18"/>
          <w:lang w:val="nl-NL" w:eastAsia="ja-JP"/>
        </w:rPr>
        <w:t>3</w:t>
      </w:r>
      <w:r w:rsidR="007138F8">
        <w:rPr>
          <w:rFonts w:cs="Times New Roman"/>
          <w:szCs w:val="18"/>
          <w:lang w:val="nl-NL" w:eastAsia="ja-JP"/>
        </w:rPr>
        <w:t xml:space="preserve"> over</w:t>
      </w:r>
      <w:r w:rsidRPr="007138F8" w:rsidR="007138F8">
        <w:rPr>
          <w:rFonts w:cs="Times New Roman"/>
          <w:szCs w:val="18"/>
          <w:lang w:val="nl-NL" w:eastAsia="ja-JP"/>
        </w:rPr>
        <w:t xml:space="preserve"> </w:t>
      </w:r>
      <w:r w:rsidR="007138F8">
        <w:rPr>
          <w:rFonts w:cs="Times New Roman"/>
          <w:szCs w:val="18"/>
          <w:lang w:val="nl-NL" w:eastAsia="ja-JP"/>
        </w:rPr>
        <w:t>c</w:t>
      </w:r>
      <w:r w:rsidRPr="007138F8" w:rsidR="007138F8">
        <w:rPr>
          <w:rFonts w:cs="Times New Roman"/>
          <w:szCs w:val="18"/>
          <w:lang w:val="nl-NL" w:eastAsia="ja-JP"/>
        </w:rPr>
        <w:t>oncurrentievermogen en inclusieve groei</w:t>
      </w:r>
      <w:r w:rsidR="007138F8">
        <w:rPr>
          <w:rFonts w:cs="Times New Roman"/>
          <w:szCs w:val="18"/>
          <w:lang w:val="nl-NL" w:eastAsia="ja-JP"/>
        </w:rPr>
        <w:t xml:space="preserve">, </w:t>
      </w:r>
      <w:r w:rsidR="000B5C06">
        <w:rPr>
          <w:rFonts w:cs="Times New Roman"/>
          <w:szCs w:val="18"/>
          <w:lang w:val="nl-NL" w:eastAsia="ja-JP"/>
        </w:rPr>
        <w:t xml:space="preserve">Cluster </w:t>
      </w:r>
      <w:r w:rsidRPr="007138F8" w:rsidR="007138F8">
        <w:rPr>
          <w:rFonts w:cs="Times New Roman"/>
          <w:szCs w:val="18"/>
          <w:lang w:val="nl-NL" w:eastAsia="ja-JP"/>
        </w:rPr>
        <w:t xml:space="preserve">4 </w:t>
      </w:r>
      <w:r w:rsidR="007138F8">
        <w:rPr>
          <w:rFonts w:cs="Times New Roman"/>
          <w:szCs w:val="18"/>
          <w:lang w:val="nl-NL" w:eastAsia="ja-JP"/>
        </w:rPr>
        <w:t>over de g</w:t>
      </w:r>
      <w:r w:rsidRPr="007138F8" w:rsidR="007138F8">
        <w:rPr>
          <w:rFonts w:cs="Times New Roman"/>
          <w:szCs w:val="18"/>
          <w:lang w:val="nl-NL" w:eastAsia="ja-JP"/>
        </w:rPr>
        <w:t>roene agenda en duurzame connectiviteit</w:t>
      </w:r>
      <w:r w:rsidR="007138F8">
        <w:rPr>
          <w:rFonts w:cs="Times New Roman"/>
          <w:szCs w:val="18"/>
          <w:lang w:val="nl-NL" w:eastAsia="ja-JP"/>
        </w:rPr>
        <w:t xml:space="preserve">, </w:t>
      </w:r>
      <w:r w:rsidRPr="007138F8" w:rsidR="007138F8">
        <w:rPr>
          <w:rFonts w:cs="Times New Roman"/>
          <w:szCs w:val="18"/>
          <w:lang w:val="nl-NL" w:eastAsia="ja-JP"/>
        </w:rPr>
        <w:t xml:space="preserve">en </w:t>
      </w:r>
      <w:r w:rsidR="000B5C06">
        <w:rPr>
          <w:rFonts w:cs="Times New Roman"/>
          <w:szCs w:val="18"/>
          <w:lang w:val="nl-NL" w:eastAsia="ja-JP"/>
        </w:rPr>
        <w:t xml:space="preserve">Cluster </w:t>
      </w:r>
      <w:r w:rsidRPr="007138F8" w:rsidR="007138F8">
        <w:rPr>
          <w:rFonts w:cs="Times New Roman"/>
          <w:szCs w:val="18"/>
          <w:lang w:val="nl-NL" w:eastAsia="ja-JP"/>
        </w:rPr>
        <w:t>5</w:t>
      </w:r>
      <w:r w:rsidR="007138F8">
        <w:rPr>
          <w:rFonts w:cs="Times New Roman"/>
          <w:szCs w:val="18"/>
          <w:lang w:val="nl-NL" w:eastAsia="ja-JP"/>
        </w:rPr>
        <w:t xml:space="preserve"> over h</w:t>
      </w:r>
      <w:r w:rsidRPr="007138F8" w:rsidR="007138F8">
        <w:rPr>
          <w:rFonts w:cs="Times New Roman"/>
          <w:szCs w:val="18"/>
          <w:lang w:val="nl-NL" w:eastAsia="ja-JP"/>
        </w:rPr>
        <w:t xml:space="preserve">ulpbronnen, landbouw en cohesie. </w:t>
      </w:r>
      <w:r w:rsidR="00425031">
        <w:rPr>
          <w:rFonts w:cs="Times New Roman"/>
          <w:szCs w:val="18"/>
          <w:lang w:val="nl-NL" w:eastAsia="ja-JP"/>
        </w:rPr>
        <w:t xml:space="preserve">De Commissie oordeelt nu dat dit </w:t>
      </w:r>
      <w:r w:rsidR="00425031">
        <w:rPr>
          <w:rFonts w:cs="Times New Roman"/>
          <w:szCs w:val="18"/>
          <w:lang w:val="nl-NL" w:eastAsia="ja-JP"/>
        </w:rPr>
        <w:lastRenderedPageBreak/>
        <w:t xml:space="preserve">het geval is en adviseert de Raad om </w:t>
      </w:r>
      <w:r w:rsidR="00A408A1">
        <w:rPr>
          <w:rFonts w:cs="Times New Roman"/>
          <w:szCs w:val="18"/>
          <w:lang w:val="nl-NL" w:eastAsia="ja-JP"/>
        </w:rPr>
        <w:t xml:space="preserve">ook </w:t>
      </w:r>
      <w:r w:rsidR="00425031">
        <w:rPr>
          <w:rFonts w:cs="Times New Roman"/>
          <w:szCs w:val="18"/>
          <w:lang w:val="nl-NL" w:eastAsia="ja-JP"/>
        </w:rPr>
        <w:t xml:space="preserve">deze </w:t>
      </w:r>
      <w:r w:rsidR="00A408A1">
        <w:rPr>
          <w:rFonts w:cs="Times New Roman"/>
          <w:szCs w:val="18"/>
          <w:lang w:val="nl-NL" w:eastAsia="ja-JP"/>
        </w:rPr>
        <w:t>C</w:t>
      </w:r>
      <w:r w:rsidR="00425031">
        <w:rPr>
          <w:rFonts w:cs="Times New Roman"/>
          <w:szCs w:val="18"/>
          <w:lang w:val="nl-NL" w:eastAsia="ja-JP"/>
        </w:rPr>
        <w:t>lusters te openen.</w:t>
      </w:r>
      <w:r w:rsidR="007138F8">
        <w:rPr>
          <w:rFonts w:cs="Times New Roman"/>
          <w:szCs w:val="18"/>
          <w:lang w:val="nl-NL" w:eastAsia="ja-JP"/>
        </w:rPr>
        <w:br/>
      </w:r>
      <w:r>
        <w:rPr>
          <w:rFonts w:cs="Times New Roman"/>
          <w:szCs w:val="18"/>
          <w:lang w:val="nl-NL" w:eastAsia="ja-JP"/>
        </w:rPr>
        <w:br/>
      </w:r>
      <w:r w:rsidRPr="008A7147">
        <w:rPr>
          <w:rFonts w:cs="Times New Roman"/>
          <w:szCs w:val="18"/>
          <w:lang w:val="nl-NL" w:eastAsia="ja-JP"/>
        </w:rPr>
        <w:t xml:space="preserve">Het kabinet onderschrijft de bevindingen van de Commissie </w:t>
      </w:r>
      <w:r w:rsidR="000B5C06">
        <w:rPr>
          <w:rFonts w:cs="Times New Roman"/>
          <w:szCs w:val="18"/>
          <w:lang w:val="nl-NL" w:eastAsia="ja-JP"/>
        </w:rPr>
        <w:t xml:space="preserve">en </w:t>
      </w:r>
      <w:r w:rsidRPr="008A7147">
        <w:rPr>
          <w:rFonts w:cs="Times New Roman"/>
          <w:szCs w:val="18"/>
          <w:lang w:val="nl-NL" w:eastAsia="ja-JP"/>
        </w:rPr>
        <w:t xml:space="preserve">is voornemens in te stemmen met het openen van </w:t>
      </w:r>
      <w:r w:rsidR="000B5C06">
        <w:rPr>
          <w:rFonts w:cs="Times New Roman"/>
          <w:szCs w:val="18"/>
          <w:lang w:val="nl-NL" w:eastAsia="ja-JP"/>
        </w:rPr>
        <w:t xml:space="preserve">deze clusters, onder dezelfde voorwaarden als voor </w:t>
      </w:r>
      <w:r w:rsidR="00A408A1">
        <w:rPr>
          <w:rFonts w:cs="Times New Roman"/>
          <w:szCs w:val="18"/>
          <w:lang w:val="nl-NL" w:eastAsia="ja-JP"/>
        </w:rPr>
        <w:t>C</w:t>
      </w:r>
      <w:r w:rsidR="000B5C06">
        <w:rPr>
          <w:rFonts w:cs="Times New Roman"/>
          <w:szCs w:val="18"/>
          <w:lang w:val="nl-NL" w:eastAsia="ja-JP"/>
        </w:rPr>
        <w:t>lusters 2 en 6.</w:t>
      </w:r>
      <w:r w:rsidR="00A408A1">
        <w:rPr>
          <w:rFonts w:cs="Times New Roman"/>
          <w:szCs w:val="18"/>
          <w:lang w:val="nl-NL" w:eastAsia="ja-JP"/>
        </w:rPr>
        <w:t xml:space="preserve"> In het technisch voorbereidende werk heeft Nederland</w:t>
      </w:r>
      <w:r w:rsidR="00126753">
        <w:rPr>
          <w:rFonts w:cs="Times New Roman"/>
          <w:szCs w:val="18"/>
          <w:lang w:val="nl-NL" w:eastAsia="ja-JP"/>
        </w:rPr>
        <w:t xml:space="preserve"> onder andere</w:t>
      </w:r>
      <w:r w:rsidR="00A408A1">
        <w:rPr>
          <w:rFonts w:cs="Times New Roman"/>
          <w:szCs w:val="18"/>
          <w:lang w:val="nl-NL" w:eastAsia="ja-JP"/>
        </w:rPr>
        <w:t xml:space="preserve"> </w:t>
      </w:r>
      <w:r w:rsidR="00126753">
        <w:rPr>
          <w:rFonts w:cs="Times New Roman"/>
          <w:szCs w:val="18"/>
          <w:lang w:val="nl-NL" w:eastAsia="ja-JP"/>
        </w:rPr>
        <w:t xml:space="preserve">aandacht gevraagd voor </w:t>
      </w:r>
      <w:r w:rsidRPr="00126753" w:rsidR="00126753">
        <w:rPr>
          <w:rFonts w:cs="Times New Roman"/>
          <w:szCs w:val="18"/>
          <w:lang w:val="nl-NL" w:eastAsia="ja-JP"/>
        </w:rPr>
        <w:t>adequate institutionele en administratieve capaciteit</w:t>
      </w:r>
      <w:r w:rsidR="00F52258">
        <w:rPr>
          <w:rFonts w:cs="Times New Roman"/>
          <w:szCs w:val="18"/>
          <w:lang w:val="nl-NL" w:eastAsia="ja-JP"/>
        </w:rPr>
        <w:t xml:space="preserve"> voor alle beleidsterreinen onder de Clusters</w:t>
      </w:r>
      <w:r w:rsidR="00126753">
        <w:rPr>
          <w:rFonts w:cs="Times New Roman"/>
          <w:szCs w:val="18"/>
          <w:lang w:val="nl-NL" w:eastAsia="ja-JP"/>
        </w:rPr>
        <w:t>.</w:t>
      </w:r>
      <w:r w:rsidR="00A408A1">
        <w:rPr>
          <w:rFonts w:cs="Times New Roman"/>
          <w:szCs w:val="18"/>
          <w:lang w:val="nl-NL" w:eastAsia="ja-JP"/>
        </w:rPr>
        <w:br/>
      </w:r>
      <w:r w:rsidR="00A408A1">
        <w:rPr>
          <w:rFonts w:cs="Times New Roman"/>
          <w:szCs w:val="18"/>
          <w:lang w:val="nl-NL" w:eastAsia="ja-JP"/>
        </w:rPr>
        <w:br/>
        <w:t>Bij het openen van onderhandelingsclusters</w:t>
      </w:r>
      <w:r w:rsidR="009C466C">
        <w:rPr>
          <w:rFonts w:cs="Times New Roman"/>
          <w:szCs w:val="18"/>
          <w:lang w:val="nl-NL" w:eastAsia="ja-JP"/>
        </w:rPr>
        <w:t xml:space="preserve"> </w:t>
      </w:r>
      <w:r w:rsidR="00A408A1">
        <w:rPr>
          <w:rFonts w:cs="Times New Roman"/>
          <w:szCs w:val="18"/>
          <w:lang w:val="nl-NL" w:eastAsia="ja-JP"/>
        </w:rPr>
        <w:t xml:space="preserve">worden zogenaamde </w:t>
      </w:r>
      <w:proofErr w:type="spellStart"/>
      <w:r w:rsidR="00A408A1">
        <w:rPr>
          <w:rFonts w:cs="Times New Roman"/>
          <w:i/>
          <w:iCs/>
          <w:szCs w:val="18"/>
          <w:lang w:val="nl-NL" w:eastAsia="ja-JP"/>
        </w:rPr>
        <w:t>closing</w:t>
      </w:r>
      <w:proofErr w:type="spellEnd"/>
      <w:r w:rsidR="00A408A1">
        <w:rPr>
          <w:rFonts w:cs="Times New Roman"/>
          <w:i/>
          <w:iCs/>
          <w:szCs w:val="18"/>
          <w:lang w:val="nl-NL" w:eastAsia="ja-JP"/>
        </w:rPr>
        <w:t xml:space="preserve"> benchmarks </w:t>
      </w:r>
      <w:r w:rsidR="00126753">
        <w:rPr>
          <w:rFonts w:cs="Times New Roman"/>
          <w:szCs w:val="18"/>
          <w:lang w:val="nl-NL" w:eastAsia="ja-JP"/>
        </w:rPr>
        <w:t>vastgesteld voor individuele hoofdstukken waar kandidaat-lidstaten aan moeten voldoe</w:t>
      </w:r>
      <w:r w:rsidR="009C466C">
        <w:rPr>
          <w:rFonts w:cs="Times New Roman"/>
          <w:szCs w:val="18"/>
          <w:lang w:val="nl-NL" w:eastAsia="ja-JP"/>
        </w:rPr>
        <w:t>n</w:t>
      </w:r>
      <w:r w:rsidR="00031673">
        <w:rPr>
          <w:rFonts w:cs="Times New Roman"/>
          <w:szCs w:val="18"/>
          <w:lang w:val="nl-NL" w:eastAsia="ja-JP"/>
        </w:rPr>
        <w:t xml:space="preserve"> </w:t>
      </w:r>
      <w:r w:rsidR="00F52258">
        <w:rPr>
          <w:rFonts w:cs="Times New Roman"/>
          <w:szCs w:val="18"/>
          <w:lang w:val="nl-NL" w:eastAsia="ja-JP"/>
        </w:rPr>
        <w:t xml:space="preserve">voordat </w:t>
      </w:r>
      <w:r w:rsidR="0017051E">
        <w:rPr>
          <w:rFonts w:cs="Times New Roman"/>
          <w:szCs w:val="18"/>
          <w:lang w:val="nl-NL" w:eastAsia="ja-JP"/>
        </w:rPr>
        <w:t>t</w:t>
      </w:r>
      <w:r w:rsidR="00031673">
        <w:rPr>
          <w:rFonts w:cs="Times New Roman"/>
          <w:szCs w:val="18"/>
          <w:lang w:val="nl-NL" w:eastAsia="ja-JP"/>
        </w:rPr>
        <w:t>e zijner tijd</w:t>
      </w:r>
      <w:r w:rsidR="0017051E">
        <w:rPr>
          <w:rFonts w:cs="Times New Roman"/>
          <w:szCs w:val="18"/>
          <w:lang w:val="nl-NL" w:eastAsia="ja-JP"/>
        </w:rPr>
        <w:t xml:space="preserve"> </w:t>
      </w:r>
      <w:r w:rsidR="00F52258">
        <w:rPr>
          <w:rFonts w:cs="Times New Roman"/>
          <w:szCs w:val="18"/>
          <w:lang w:val="nl-NL" w:eastAsia="ja-JP"/>
        </w:rPr>
        <w:t>overgegaan kan worden tot het onder voorbehoud sluiten van individuele hoofdstukken</w:t>
      </w:r>
      <w:r w:rsidR="009C466C">
        <w:rPr>
          <w:rFonts w:cs="Times New Roman"/>
          <w:szCs w:val="18"/>
          <w:lang w:val="nl-NL" w:eastAsia="ja-JP"/>
        </w:rPr>
        <w:t>.</w:t>
      </w:r>
      <w:r w:rsidR="00F52258">
        <w:rPr>
          <w:rFonts w:cs="Times New Roman"/>
          <w:szCs w:val="18"/>
          <w:lang w:val="nl-NL" w:eastAsia="ja-JP"/>
        </w:rPr>
        <w:t xml:space="preserve"> Hier dient ook een positieve </w:t>
      </w:r>
      <w:r w:rsidR="0017051E">
        <w:rPr>
          <w:rFonts w:cs="Times New Roman"/>
          <w:szCs w:val="18"/>
          <w:lang w:val="nl-NL" w:eastAsia="ja-JP"/>
        </w:rPr>
        <w:t xml:space="preserve">beoordeling </w:t>
      </w:r>
      <w:r w:rsidR="00F52258">
        <w:rPr>
          <w:rFonts w:cs="Times New Roman"/>
          <w:szCs w:val="18"/>
          <w:lang w:val="nl-NL" w:eastAsia="ja-JP"/>
        </w:rPr>
        <w:t xml:space="preserve">op </w:t>
      </w:r>
      <w:r w:rsidR="0017051E">
        <w:rPr>
          <w:rFonts w:cs="Times New Roman"/>
          <w:szCs w:val="18"/>
          <w:lang w:val="nl-NL" w:eastAsia="ja-JP"/>
        </w:rPr>
        <w:t xml:space="preserve">de </w:t>
      </w:r>
      <w:r w:rsidR="00F52258">
        <w:rPr>
          <w:rFonts w:cs="Times New Roman"/>
          <w:szCs w:val="18"/>
          <w:lang w:val="nl-NL" w:eastAsia="ja-JP"/>
        </w:rPr>
        <w:t xml:space="preserve">zgn. </w:t>
      </w:r>
      <w:r w:rsidR="00F07B9A">
        <w:rPr>
          <w:rFonts w:cs="Times New Roman"/>
          <w:i/>
          <w:iCs/>
          <w:szCs w:val="18"/>
          <w:lang w:val="nl-NL" w:eastAsia="ja-JP"/>
        </w:rPr>
        <w:t>i</w:t>
      </w:r>
      <w:r w:rsidR="00F52258">
        <w:rPr>
          <w:rFonts w:cs="Times New Roman"/>
          <w:i/>
          <w:iCs/>
          <w:szCs w:val="18"/>
          <w:lang w:val="nl-NL" w:eastAsia="ja-JP"/>
        </w:rPr>
        <w:t xml:space="preserve">nterim benchmarks </w:t>
      </w:r>
      <w:r w:rsidR="00031673">
        <w:rPr>
          <w:rFonts w:cs="Times New Roman"/>
          <w:szCs w:val="18"/>
          <w:lang w:val="nl-NL" w:eastAsia="ja-JP"/>
        </w:rPr>
        <w:t>voor de</w:t>
      </w:r>
      <w:r w:rsidR="00F52258">
        <w:rPr>
          <w:rFonts w:cs="Times New Roman"/>
          <w:szCs w:val="18"/>
          <w:lang w:val="nl-NL" w:eastAsia="ja-JP"/>
        </w:rPr>
        <w:t xml:space="preserve"> Fundamentals aan vooraf te gaan. V</w:t>
      </w:r>
      <w:r w:rsidRPr="00F52258" w:rsidR="00F52258">
        <w:rPr>
          <w:rFonts w:cs="Times New Roman"/>
          <w:szCs w:val="18"/>
          <w:lang w:val="nl-NL" w:eastAsia="ja-JP"/>
        </w:rPr>
        <w:t>oortgang van rechtsstaathervormingen</w:t>
      </w:r>
      <w:r w:rsidR="00F52258">
        <w:rPr>
          <w:rFonts w:cs="Times New Roman"/>
          <w:szCs w:val="18"/>
          <w:lang w:val="nl-NL" w:eastAsia="ja-JP"/>
        </w:rPr>
        <w:t xml:space="preserve"> word</w:t>
      </w:r>
      <w:r w:rsidR="00031673">
        <w:rPr>
          <w:rFonts w:cs="Times New Roman"/>
          <w:szCs w:val="18"/>
          <w:lang w:val="nl-NL" w:eastAsia="ja-JP"/>
        </w:rPr>
        <w:t>t</w:t>
      </w:r>
      <w:r w:rsidR="00F52258">
        <w:rPr>
          <w:rFonts w:cs="Times New Roman"/>
          <w:szCs w:val="18"/>
          <w:lang w:val="nl-NL" w:eastAsia="ja-JP"/>
        </w:rPr>
        <w:t xml:space="preserve"> gedurende het proces meegewogen. </w:t>
      </w:r>
      <w:r w:rsidR="00031673">
        <w:rPr>
          <w:rFonts w:cs="Times New Roman"/>
          <w:szCs w:val="18"/>
          <w:lang w:val="nl-NL" w:eastAsia="ja-JP"/>
        </w:rPr>
        <w:t xml:space="preserve">Tijdens deze lange </w:t>
      </w:r>
      <w:r w:rsidRPr="00031673" w:rsidR="00031673">
        <w:rPr>
          <w:rFonts w:cs="Times New Roman"/>
          <w:szCs w:val="18"/>
          <w:lang w:val="nl-NL" w:eastAsia="ja-JP"/>
        </w:rPr>
        <w:t>en complex</w:t>
      </w:r>
      <w:r w:rsidR="00031673">
        <w:rPr>
          <w:rFonts w:cs="Times New Roman"/>
          <w:szCs w:val="18"/>
          <w:lang w:val="nl-NL" w:eastAsia="ja-JP"/>
        </w:rPr>
        <w:t>e</w:t>
      </w:r>
      <w:r w:rsidRPr="00031673" w:rsidR="00031673">
        <w:rPr>
          <w:rFonts w:cs="Times New Roman"/>
          <w:szCs w:val="18"/>
          <w:lang w:val="nl-NL" w:eastAsia="ja-JP"/>
        </w:rPr>
        <w:t xml:space="preserve"> </w:t>
      </w:r>
      <w:r w:rsidR="00031673">
        <w:rPr>
          <w:rFonts w:cs="Times New Roman"/>
          <w:szCs w:val="18"/>
          <w:lang w:val="nl-NL" w:eastAsia="ja-JP"/>
        </w:rPr>
        <w:t xml:space="preserve">fase van </w:t>
      </w:r>
      <w:r w:rsidR="00126753">
        <w:rPr>
          <w:rFonts w:cs="Times New Roman"/>
          <w:szCs w:val="18"/>
          <w:lang w:val="nl-NL" w:eastAsia="ja-JP"/>
        </w:rPr>
        <w:t xml:space="preserve">de toetredingsonderhandelingen </w:t>
      </w:r>
      <w:r w:rsidR="00F52258">
        <w:rPr>
          <w:rFonts w:cs="Times New Roman"/>
          <w:szCs w:val="18"/>
          <w:lang w:val="nl-NL" w:eastAsia="ja-JP"/>
        </w:rPr>
        <w:t>staa</w:t>
      </w:r>
      <w:r w:rsidR="00031673">
        <w:rPr>
          <w:rFonts w:cs="Times New Roman"/>
          <w:szCs w:val="18"/>
          <w:lang w:val="nl-NL" w:eastAsia="ja-JP"/>
        </w:rPr>
        <w:t>t</w:t>
      </w:r>
      <w:r w:rsidR="00F52258">
        <w:rPr>
          <w:rFonts w:cs="Times New Roman"/>
          <w:szCs w:val="18"/>
          <w:lang w:val="nl-NL" w:eastAsia="ja-JP"/>
        </w:rPr>
        <w:t xml:space="preserve"> de Commissie </w:t>
      </w:r>
      <w:r w:rsidR="00126753">
        <w:rPr>
          <w:rFonts w:cs="Times New Roman"/>
          <w:szCs w:val="18"/>
          <w:lang w:val="nl-NL" w:eastAsia="ja-JP"/>
        </w:rPr>
        <w:t xml:space="preserve">in nauw contact met de </w:t>
      </w:r>
      <w:r w:rsidR="00031673">
        <w:rPr>
          <w:rFonts w:cs="Times New Roman"/>
          <w:szCs w:val="18"/>
          <w:lang w:val="nl-NL" w:eastAsia="ja-JP"/>
        </w:rPr>
        <w:t xml:space="preserve">kandidaat-lidstaten </w:t>
      </w:r>
      <w:r w:rsidR="00126753">
        <w:rPr>
          <w:rFonts w:cs="Times New Roman"/>
          <w:szCs w:val="18"/>
          <w:lang w:val="nl-NL" w:eastAsia="ja-JP"/>
        </w:rPr>
        <w:t xml:space="preserve">over </w:t>
      </w:r>
      <w:r w:rsidR="009C466C">
        <w:rPr>
          <w:rFonts w:cs="Times New Roman"/>
          <w:szCs w:val="18"/>
          <w:lang w:val="nl-NL" w:eastAsia="ja-JP"/>
        </w:rPr>
        <w:t>de overname</w:t>
      </w:r>
      <w:r w:rsidRPr="00126753" w:rsidR="00126753">
        <w:rPr>
          <w:rFonts w:cs="Times New Roman"/>
          <w:szCs w:val="18"/>
          <w:lang w:val="nl-NL" w:eastAsia="ja-JP"/>
        </w:rPr>
        <w:t xml:space="preserve"> en </w:t>
      </w:r>
      <w:r w:rsidR="009C466C">
        <w:rPr>
          <w:rFonts w:cs="Times New Roman"/>
          <w:szCs w:val="18"/>
          <w:lang w:val="nl-NL" w:eastAsia="ja-JP"/>
        </w:rPr>
        <w:t xml:space="preserve">implementatie </w:t>
      </w:r>
      <w:r w:rsidRPr="00126753" w:rsidR="00126753">
        <w:rPr>
          <w:rFonts w:cs="Times New Roman"/>
          <w:szCs w:val="18"/>
          <w:lang w:val="nl-NL" w:eastAsia="ja-JP"/>
        </w:rPr>
        <w:t>van het EU-</w:t>
      </w:r>
      <w:proofErr w:type="spellStart"/>
      <w:r w:rsidRPr="00126753" w:rsidR="00126753">
        <w:rPr>
          <w:rFonts w:cs="Times New Roman"/>
          <w:szCs w:val="18"/>
          <w:lang w:val="nl-NL" w:eastAsia="ja-JP"/>
        </w:rPr>
        <w:t>acquis</w:t>
      </w:r>
      <w:proofErr w:type="spellEnd"/>
      <w:r w:rsidR="009C466C">
        <w:rPr>
          <w:rFonts w:cs="Times New Roman"/>
          <w:szCs w:val="18"/>
          <w:lang w:val="nl-NL" w:eastAsia="ja-JP"/>
        </w:rPr>
        <w:t xml:space="preserve">, en </w:t>
      </w:r>
      <w:r w:rsidR="00031673">
        <w:rPr>
          <w:rFonts w:cs="Times New Roman"/>
          <w:szCs w:val="18"/>
          <w:lang w:val="nl-NL" w:eastAsia="ja-JP"/>
        </w:rPr>
        <w:t>houdt</w:t>
      </w:r>
      <w:r w:rsidR="009C466C">
        <w:rPr>
          <w:rFonts w:cs="Times New Roman"/>
          <w:szCs w:val="18"/>
          <w:lang w:val="nl-NL" w:eastAsia="ja-JP"/>
        </w:rPr>
        <w:t xml:space="preserve"> de Raad hier</w:t>
      </w:r>
      <w:r w:rsidR="00031673">
        <w:rPr>
          <w:rFonts w:cs="Times New Roman"/>
          <w:szCs w:val="18"/>
          <w:lang w:val="nl-NL" w:eastAsia="ja-JP"/>
        </w:rPr>
        <w:t>van op de hoogte</w:t>
      </w:r>
      <w:r w:rsidR="009C466C">
        <w:rPr>
          <w:rFonts w:cs="Times New Roman"/>
          <w:szCs w:val="18"/>
          <w:lang w:val="nl-NL" w:eastAsia="ja-JP"/>
        </w:rPr>
        <w:t>.</w:t>
      </w:r>
      <w:r w:rsidR="00F07B9A">
        <w:rPr>
          <w:rFonts w:cs="Times New Roman"/>
          <w:szCs w:val="18"/>
          <w:lang w:val="nl-NL" w:eastAsia="ja-JP"/>
        </w:rPr>
        <w:t xml:space="preserve"> </w:t>
      </w:r>
      <w:r w:rsidR="00A408A1">
        <w:rPr>
          <w:rFonts w:cs="Times New Roman"/>
          <w:szCs w:val="18"/>
          <w:lang w:val="nl-NL" w:eastAsia="ja-JP"/>
        </w:rPr>
        <w:br/>
      </w:r>
      <w:bookmarkEnd w:id="1"/>
      <w:r w:rsidR="000B5C06">
        <w:rPr>
          <w:rFonts w:cs="Times New Roman"/>
          <w:szCs w:val="18"/>
          <w:lang w:val="nl-NL" w:eastAsia="ja-JP"/>
        </w:rPr>
        <w:br/>
      </w:r>
      <w:r w:rsidR="00A408A1">
        <w:rPr>
          <w:rFonts w:cs="Times New Roman"/>
          <w:szCs w:val="18"/>
          <w:lang w:val="nl-NL" w:eastAsia="ja-JP"/>
        </w:rPr>
        <w:br/>
      </w:r>
      <w:r w:rsidR="000B5C06">
        <w:rPr>
          <w:rFonts w:cs="Times New Roman"/>
          <w:szCs w:val="18"/>
          <w:lang w:val="nl-NL" w:eastAsia="ja-JP"/>
        </w:rPr>
        <w:br/>
      </w:r>
    </w:p>
    <w:sectPr w:rsidRPr="007530C8" w:rsidR="00100ED3" w:rsidSect="00141EB8">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EEFE2" w14:textId="77777777" w:rsidR="00A400A5" w:rsidRDefault="00A400A5" w:rsidP="003E101F">
      <w:pPr>
        <w:spacing w:after="0"/>
      </w:pPr>
      <w:r>
        <w:separator/>
      </w:r>
    </w:p>
  </w:endnote>
  <w:endnote w:type="continuationSeparator" w:id="0">
    <w:p w14:paraId="38AE8FDC" w14:textId="77777777" w:rsidR="00A400A5" w:rsidRDefault="00A400A5" w:rsidP="003E101F">
      <w:pPr>
        <w:spacing w:after="0"/>
      </w:pPr>
      <w:r>
        <w:continuationSeparator/>
      </w:r>
    </w:p>
  </w:endnote>
  <w:endnote w:type="continuationNotice" w:id="1">
    <w:p w14:paraId="58680AAB" w14:textId="77777777" w:rsidR="000E4806" w:rsidRDefault="000E48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F2C6" w14:textId="77777777" w:rsidR="003E101F" w:rsidRDefault="003E10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06BDCE62" w14:textId="77777777" w:rsidR="003E101F" w:rsidRDefault="003E101F" w:rsidP="003E101F">
        <w:pPr>
          <w:pStyle w:val="Footer"/>
          <w:jc w:val="center"/>
        </w:pPr>
        <w:r>
          <w:rPr>
            <w:lang w:val="nl-NL"/>
          </w:rPr>
          <w:t>Pa</w:t>
        </w:r>
        <w:r w:rsidRPr="003C73EB">
          <w:rPr>
            <w:lang w:val="nl-NL"/>
          </w:rPr>
          <w:t xml:space="preserve">gina </w:t>
        </w:r>
        <w:r w:rsidRPr="003C73EB">
          <w:rPr>
            <w:sz w:val="24"/>
            <w:szCs w:val="24"/>
          </w:rPr>
          <w:fldChar w:fldCharType="begin"/>
        </w:r>
        <w:r w:rsidRPr="003C73EB">
          <w:instrText>PAGE</w:instrText>
        </w:r>
        <w:r w:rsidRPr="003C73EB">
          <w:rPr>
            <w:sz w:val="24"/>
            <w:szCs w:val="24"/>
          </w:rPr>
          <w:fldChar w:fldCharType="separate"/>
        </w:r>
        <w:r>
          <w:rPr>
            <w:sz w:val="24"/>
            <w:szCs w:val="24"/>
          </w:rPr>
          <w:t>1</w:t>
        </w:r>
        <w:r w:rsidRPr="003C73EB">
          <w:rPr>
            <w:sz w:val="24"/>
            <w:szCs w:val="24"/>
          </w:rPr>
          <w:fldChar w:fldCharType="end"/>
        </w:r>
        <w:r w:rsidRPr="003C73EB">
          <w:rPr>
            <w:lang w:val="nl-NL"/>
          </w:rPr>
          <w:t xml:space="preserve"> van </w:t>
        </w:r>
        <w:r w:rsidRPr="003C73EB">
          <w:rPr>
            <w:sz w:val="24"/>
            <w:szCs w:val="24"/>
          </w:rPr>
          <w:fldChar w:fldCharType="begin"/>
        </w:r>
        <w:r w:rsidRPr="003C73EB">
          <w:instrText>NUMPAGES</w:instrText>
        </w:r>
        <w:r w:rsidRPr="003C73EB">
          <w:rPr>
            <w:sz w:val="24"/>
            <w:szCs w:val="24"/>
          </w:rPr>
          <w:fldChar w:fldCharType="separate"/>
        </w:r>
        <w:r>
          <w:rPr>
            <w:sz w:val="24"/>
            <w:szCs w:val="24"/>
          </w:rPr>
          <w:t>1</w:t>
        </w:r>
        <w:r w:rsidRPr="003C73EB">
          <w:rPr>
            <w:sz w:val="24"/>
            <w:szCs w:val="24"/>
          </w:rPr>
          <w:fldChar w:fldCharType="end"/>
        </w:r>
      </w:p>
    </w:sdtContent>
  </w:sdt>
  <w:p w14:paraId="19E70048" w14:textId="77777777" w:rsidR="003E101F" w:rsidRDefault="003E10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3A2E" w14:textId="77777777" w:rsidR="003E101F" w:rsidRDefault="003E1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20D10" w14:textId="77777777" w:rsidR="00A400A5" w:rsidRDefault="00A400A5" w:rsidP="003E101F">
      <w:pPr>
        <w:spacing w:after="0"/>
      </w:pPr>
      <w:r>
        <w:separator/>
      </w:r>
    </w:p>
  </w:footnote>
  <w:footnote w:type="continuationSeparator" w:id="0">
    <w:p w14:paraId="12A3B313" w14:textId="77777777" w:rsidR="00A400A5" w:rsidRDefault="00A400A5" w:rsidP="003E101F">
      <w:pPr>
        <w:spacing w:after="0"/>
      </w:pPr>
      <w:r>
        <w:continuationSeparator/>
      </w:r>
    </w:p>
  </w:footnote>
  <w:footnote w:type="continuationNotice" w:id="1">
    <w:p w14:paraId="4B9EE63C" w14:textId="77777777" w:rsidR="000E4806" w:rsidRDefault="000E4806">
      <w:pPr>
        <w:spacing w:after="0"/>
      </w:pPr>
    </w:p>
  </w:footnote>
  <w:footnote w:id="2">
    <w:p w14:paraId="5AB344A6" w14:textId="114DD14B" w:rsidR="00A77C7C" w:rsidRPr="00C63E08" w:rsidRDefault="00A77C7C">
      <w:pPr>
        <w:pStyle w:val="FootnoteText"/>
        <w:rPr>
          <w:sz w:val="16"/>
          <w:szCs w:val="16"/>
          <w:lang w:val="nl-NL"/>
        </w:rPr>
      </w:pPr>
      <w:r w:rsidRPr="00A77C7C">
        <w:rPr>
          <w:rStyle w:val="FootnoteReference"/>
          <w:sz w:val="16"/>
          <w:szCs w:val="16"/>
        </w:rPr>
        <w:footnoteRef/>
      </w:r>
      <w:r w:rsidRPr="00C63E08">
        <w:rPr>
          <w:sz w:val="16"/>
          <w:szCs w:val="16"/>
          <w:lang w:val="nl-NL"/>
        </w:rPr>
        <w:t xml:space="preserve"> </w:t>
      </w:r>
      <w:r w:rsidR="00A0221E" w:rsidRPr="00A0221E">
        <w:rPr>
          <w:sz w:val="16"/>
          <w:szCs w:val="16"/>
          <w:lang w:val="nl-NL"/>
        </w:rPr>
        <w:t>Beide Kamers hebben op 16 januari 2026 een kabinetsstandpunt over dit voorstel ontvangen</w:t>
      </w:r>
      <w:r w:rsidR="00A0221E">
        <w:rPr>
          <w:sz w:val="16"/>
          <w:szCs w:val="16"/>
          <w:lang w:val="nl-NL"/>
        </w:rPr>
        <w:t>, z</w:t>
      </w:r>
      <w:r w:rsidRPr="00C63E08">
        <w:rPr>
          <w:sz w:val="16"/>
          <w:szCs w:val="16"/>
          <w:lang w:val="nl-NL"/>
        </w:rPr>
        <w:t>ie Kamer</w:t>
      </w:r>
      <w:r w:rsidR="00041051">
        <w:rPr>
          <w:sz w:val="16"/>
          <w:szCs w:val="16"/>
          <w:lang w:val="nl-NL"/>
        </w:rPr>
        <w:t>stuk</w:t>
      </w:r>
      <w:r w:rsidRPr="00C63E08">
        <w:rPr>
          <w:sz w:val="16"/>
          <w:szCs w:val="16"/>
          <w:lang w:val="nl-NL"/>
        </w:rPr>
        <w:t xml:space="preserve"> 36 104, nr. 10</w:t>
      </w:r>
    </w:p>
  </w:footnote>
  <w:footnote w:id="3">
    <w:p w14:paraId="1C3D1C1B" w14:textId="140B6590" w:rsidR="007801C4" w:rsidRPr="007530C8" w:rsidRDefault="007801C4" w:rsidP="007801C4">
      <w:pPr>
        <w:pStyle w:val="FootnoteText"/>
        <w:rPr>
          <w:sz w:val="16"/>
          <w:szCs w:val="16"/>
          <w:lang w:val="nl-NL"/>
        </w:rPr>
      </w:pPr>
      <w:r w:rsidRPr="007530C8">
        <w:rPr>
          <w:rStyle w:val="FootnoteReference"/>
          <w:sz w:val="16"/>
          <w:szCs w:val="16"/>
        </w:rPr>
        <w:footnoteRef/>
      </w:r>
      <w:r w:rsidRPr="007530C8">
        <w:rPr>
          <w:sz w:val="16"/>
          <w:szCs w:val="16"/>
          <w:lang w:val="nl-NL"/>
        </w:rPr>
        <w:t xml:space="preserve"> Zie ook de Kabinetsappreciatie uitbreidingspakket 2025</w:t>
      </w:r>
      <w:r w:rsidR="00F65DE4">
        <w:rPr>
          <w:sz w:val="16"/>
          <w:szCs w:val="16"/>
          <w:lang w:val="nl-NL"/>
        </w:rPr>
        <w:t xml:space="preserve">, </w:t>
      </w:r>
      <w:r w:rsidRPr="007530C8">
        <w:rPr>
          <w:sz w:val="16"/>
          <w:szCs w:val="16"/>
          <w:lang w:val="nl-NL"/>
        </w:rPr>
        <w:t>Kamerstuk 23</w:t>
      </w:r>
      <w:r w:rsidR="00041051">
        <w:rPr>
          <w:sz w:val="16"/>
          <w:szCs w:val="16"/>
          <w:lang w:val="nl-NL"/>
        </w:rPr>
        <w:t xml:space="preserve"> </w:t>
      </w:r>
      <w:r w:rsidRPr="007530C8">
        <w:rPr>
          <w:sz w:val="16"/>
          <w:szCs w:val="16"/>
          <w:lang w:val="nl-NL"/>
        </w:rPr>
        <w:t>987, nr. 398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21D30" w14:textId="77777777" w:rsidR="003E101F" w:rsidRDefault="003E10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764DC" w14:textId="77777777" w:rsidR="003E101F" w:rsidRDefault="003E10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9720F" w14:textId="77777777" w:rsidR="003E101F" w:rsidRDefault="003E10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6172E"/>
    <w:multiLevelType w:val="multilevel"/>
    <w:tmpl w:val="06564B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95602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EB1"/>
    <w:rsid w:val="00012CD9"/>
    <w:rsid w:val="00021A49"/>
    <w:rsid w:val="00027B47"/>
    <w:rsid w:val="00031673"/>
    <w:rsid w:val="00041051"/>
    <w:rsid w:val="0008243D"/>
    <w:rsid w:val="000903FD"/>
    <w:rsid w:val="000B5C06"/>
    <w:rsid w:val="000B7E8C"/>
    <w:rsid w:val="000D34A4"/>
    <w:rsid w:val="000E4806"/>
    <w:rsid w:val="00100B9A"/>
    <w:rsid w:val="00100ED3"/>
    <w:rsid w:val="00110280"/>
    <w:rsid w:val="00126753"/>
    <w:rsid w:val="00141EB8"/>
    <w:rsid w:val="00164DED"/>
    <w:rsid w:val="0017051E"/>
    <w:rsid w:val="001E28C2"/>
    <w:rsid w:val="001E4E6F"/>
    <w:rsid w:val="00237549"/>
    <w:rsid w:val="00244DBC"/>
    <w:rsid w:val="002D31E4"/>
    <w:rsid w:val="002F190F"/>
    <w:rsid w:val="00305C06"/>
    <w:rsid w:val="003A486D"/>
    <w:rsid w:val="003C0C67"/>
    <w:rsid w:val="003E03B3"/>
    <w:rsid w:val="003E101F"/>
    <w:rsid w:val="00414A47"/>
    <w:rsid w:val="00422371"/>
    <w:rsid w:val="00425031"/>
    <w:rsid w:val="004277BB"/>
    <w:rsid w:val="005022A8"/>
    <w:rsid w:val="005209A3"/>
    <w:rsid w:val="00557AD8"/>
    <w:rsid w:val="005768F4"/>
    <w:rsid w:val="005852F0"/>
    <w:rsid w:val="005945B2"/>
    <w:rsid w:val="005975F2"/>
    <w:rsid w:val="005B53BC"/>
    <w:rsid w:val="005D12B4"/>
    <w:rsid w:val="00606BCF"/>
    <w:rsid w:val="00635FF6"/>
    <w:rsid w:val="00645145"/>
    <w:rsid w:val="006534AD"/>
    <w:rsid w:val="006908F3"/>
    <w:rsid w:val="006B535C"/>
    <w:rsid w:val="006D7DA6"/>
    <w:rsid w:val="006F61BC"/>
    <w:rsid w:val="00704D15"/>
    <w:rsid w:val="007138F8"/>
    <w:rsid w:val="0072512A"/>
    <w:rsid w:val="00730182"/>
    <w:rsid w:val="00730214"/>
    <w:rsid w:val="00733140"/>
    <w:rsid w:val="007530C8"/>
    <w:rsid w:val="00757453"/>
    <w:rsid w:val="007601E3"/>
    <w:rsid w:val="0076167E"/>
    <w:rsid w:val="007660B4"/>
    <w:rsid w:val="007801C4"/>
    <w:rsid w:val="00781FA9"/>
    <w:rsid w:val="007F640B"/>
    <w:rsid w:val="00816D3C"/>
    <w:rsid w:val="008A7147"/>
    <w:rsid w:val="0093264A"/>
    <w:rsid w:val="00941476"/>
    <w:rsid w:val="0096538D"/>
    <w:rsid w:val="00982F5E"/>
    <w:rsid w:val="009C1EB1"/>
    <w:rsid w:val="009C466C"/>
    <w:rsid w:val="009F713F"/>
    <w:rsid w:val="00A01CB3"/>
    <w:rsid w:val="00A0221E"/>
    <w:rsid w:val="00A04114"/>
    <w:rsid w:val="00A26844"/>
    <w:rsid w:val="00A400A5"/>
    <w:rsid w:val="00A408A1"/>
    <w:rsid w:val="00A77C7C"/>
    <w:rsid w:val="00A951B3"/>
    <w:rsid w:val="00AA5619"/>
    <w:rsid w:val="00AC1D4F"/>
    <w:rsid w:val="00B21CDB"/>
    <w:rsid w:val="00B320C0"/>
    <w:rsid w:val="00B4185F"/>
    <w:rsid w:val="00B5115E"/>
    <w:rsid w:val="00B8595A"/>
    <w:rsid w:val="00BA7A9B"/>
    <w:rsid w:val="00BD13B3"/>
    <w:rsid w:val="00BD1C60"/>
    <w:rsid w:val="00C32912"/>
    <w:rsid w:val="00C63E08"/>
    <w:rsid w:val="00CB1795"/>
    <w:rsid w:val="00CC6DAA"/>
    <w:rsid w:val="00D309B7"/>
    <w:rsid w:val="00DC4A87"/>
    <w:rsid w:val="00E315DA"/>
    <w:rsid w:val="00E343AD"/>
    <w:rsid w:val="00E6324F"/>
    <w:rsid w:val="00E942FC"/>
    <w:rsid w:val="00EE3B23"/>
    <w:rsid w:val="00EE6418"/>
    <w:rsid w:val="00EF788B"/>
    <w:rsid w:val="00F07B9A"/>
    <w:rsid w:val="00F20C32"/>
    <w:rsid w:val="00F27E16"/>
    <w:rsid w:val="00F52258"/>
    <w:rsid w:val="00F65DE4"/>
    <w:rsid w:val="00F66DC6"/>
    <w:rsid w:val="00FD5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B46E"/>
  <w15:docId w15:val="{F33CEB3D-51F3-4F01-B1E4-2585D5B3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28C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C2"/>
    <w:rPr>
      <w:rFonts w:ascii="Tahoma" w:hAnsi="Tahoma" w:cs="Tahoma"/>
      <w:sz w:val="16"/>
      <w:szCs w:val="16"/>
    </w:rPr>
  </w:style>
  <w:style w:type="paragraph" w:styleId="NoSpacing">
    <w:name w:val="No Spacing"/>
    <w:uiPriority w:val="1"/>
    <w:qFormat/>
    <w:rsid w:val="00021A49"/>
    <w:pPr>
      <w:spacing w:after="0"/>
    </w:pPr>
  </w:style>
  <w:style w:type="paragraph" w:styleId="Header">
    <w:name w:val="header"/>
    <w:basedOn w:val="Normal"/>
    <w:link w:val="HeaderChar"/>
    <w:uiPriority w:val="99"/>
    <w:unhideWhenUsed/>
    <w:rsid w:val="003E101F"/>
    <w:pPr>
      <w:tabs>
        <w:tab w:val="center" w:pos="4513"/>
        <w:tab w:val="right" w:pos="9026"/>
      </w:tabs>
      <w:spacing w:after="0"/>
    </w:pPr>
  </w:style>
  <w:style w:type="character" w:customStyle="1" w:styleId="HeaderChar">
    <w:name w:val="Header Char"/>
    <w:basedOn w:val="DefaultParagraphFont"/>
    <w:link w:val="Header"/>
    <w:uiPriority w:val="99"/>
    <w:rsid w:val="003E101F"/>
  </w:style>
  <w:style w:type="paragraph" w:styleId="Footer">
    <w:name w:val="footer"/>
    <w:basedOn w:val="Normal"/>
    <w:link w:val="FooterChar"/>
    <w:uiPriority w:val="99"/>
    <w:unhideWhenUsed/>
    <w:rsid w:val="003E101F"/>
    <w:pPr>
      <w:tabs>
        <w:tab w:val="center" w:pos="4513"/>
        <w:tab w:val="right" w:pos="9026"/>
      </w:tabs>
      <w:spacing w:after="0"/>
    </w:pPr>
  </w:style>
  <w:style w:type="character" w:customStyle="1" w:styleId="FooterChar">
    <w:name w:val="Footer Char"/>
    <w:basedOn w:val="DefaultParagraphFont"/>
    <w:link w:val="Footer"/>
    <w:uiPriority w:val="99"/>
    <w:rsid w:val="003E101F"/>
  </w:style>
  <w:style w:type="paragraph" w:styleId="FootnoteText">
    <w:name w:val="footnote text"/>
    <w:basedOn w:val="Normal"/>
    <w:link w:val="FootnoteTextChar"/>
    <w:uiPriority w:val="99"/>
    <w:semiHidden/>
    <w:unhideWhenUsed/>
    <w:rsid w:val="00A77C7C"/>
    <w:pPr>
      <w:spacing w:after="0"/>
    </w:pPr>
    <w:rPr>
      <w:sz w:val="20"/>
      <w:szCs w:val="20"/>
    </w:rPr>
  </w:style>
  <w:style w:type="character" w:customStyle="1" w:styleId="FootnoteTextChar">
    <w:name w:val="Footnote Text Char"/>
    <w:basedOn w:val="DefaultParagraphFont"/>
    <w:link w:val="FootnoteText"/>
    <w:uiPriority w:val="99"/>
    <w:semiHidden/>
    <w:rsid w:val="00A77C7C"/>
    <w:rPr>
      <w:sz w:val="20"/>
      <w:szCs w:val="20"/>
    </w:rPr>
  </w:style>
  <w:style w:type="character" w:styleId="FootnoteReference">
    <w:name w:val="footnote reference"/>
    <w:basedOn w:val="DefaultParagraphFont"/>
    <w:uiPriority w:val="99"/>
    <w:semiHidden/>
    <w:unhideWhenUsed/>
    <w:rsid w:val="00A77C7C"/>
    <w:rPr>
      <w:vertAlign w:val="superscript"/>
    </w:rPr>
  </w:style>
  <w:style w:type="character" w:styleId="CommentReference">
    <w:name w:val="annotation reference"/>
    <w:basedOn w:val="DefaultParagraphFont"/>
    <w:uiPriority w:val="99"/>
    <w:semiHidden/>
    <w:unhideWhenUsed/>
    <w:rsid w:val="005D12B4"/>
    <w:rPr>
      <w:sz w:val="16"/>
      <w:szCs w:val="16"/>
    </w:rPr>
  </w:style>
  <w:style w:type="paragraph" w:styleId="CommentText">
    <w:name w:val="annotation text"/>
    <w:basedOn w:val="Normal"/>
    <w:link w:val="CommentTextChar"/>
    <w:uiPriority w:val="99"/>
    <w:unhideWhenUsed/>
    <w:rsid w:val="005D12B4"/>
    <w:rPr>
      <w:sz w:val="20"/>
      <w:szCs w:val="20"/>
    </w:rPr>
  </w:style>
  <w:style w:type="character" w:customStyle="1" w:styleId="CommentTextChar">
    <w:name w:val="Comment Text Char"/>
    <w:basedOn w:val="DefaultParagraphFont"/>
    <w:link w:val="CommentText"/>
    <w:uiPriority w:val="99"/>
    <w:rsid w:val="005D12B4"/>
    <w:rPr>
      <w:sz w:val="20"/>
      <w:szCs w:val="20"/>
    </w:rPr>
  </w:style>
  <w:style w:type="paragraph" w:styleId="CommentSubject">
    <w:name w:val="annotation subject"/>
    <w:basedOn w:val="CommentText"/>
    <w:next w:val="CommentText"/>
    <w:link w:val="CommentSubjectChar"/>
    <w:uiPriority w:val="99"/>
    <w:semiHidden/>
    <w:unhideWhenUsed/>
    <w:rsid w:val="005D12B4"/>
    <w:rPr>
      <w:b/>
      <w:bCs/>
    </w:rPr>
  </w:style>
  <w:style w:type="character" w:customStyle="1" w:styleId="CommentSubjectChar">
    <w:name w:val="Comment Subject Char"/>
    <w:basedOn w:val="CommentTextChar"/>
    <w:link w:val="CommentSubject"/>
    <w:uiPriority w:val="99"/>
    <w:semiHidden/>
    <w:rsid w:val="005D12B4"/>
    <w:rPr>
      <w:b/>
      <w:bCs/>
      <w:sz w:val="20"/>
      <w:szCs w:val="20"/>
    </w:rPr>
  </w:style>
  <w:style w:type="paragraph" w:styleId="Revision">
    <w:name w:val="Revision"/>
    <w:hidden/>
    <w:uiPriority w:val="99"/>
    <w:semiHidden/>
    <w:rsid w:val="0073314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432566">
      <w:bodyDiv w:val="1"/>
      <w:marLeft w:val="0"/>
      <w:marRight w:val="0"/>
      <w:marTop w:val="0"/>
      <w:marBottom w:val="0"/>
      <w:divBdr>
        <w:top w:val="none" w:sz="0" w:space="0" w:color="auto"/>
        <w:left w:val="none" w:sz="0" w:space="0" w:color="auto"/>
        <w:bottom w:val="none" w:sz="0" w:space="0" w:color="auto"/>
        <w:right w:val="none" w:sz="0" w:space="0" w:color="auto"/>
      </w:divBdr>
    </w:div>
    <w:div w:id="285741733">
      <w:bodyDiv w:val="1"/>
      <w:marLeft w:val="0"/>
      <w:marRight w:val="0"/>
      <w:marTop w:val="0"/>
      <w:marBottom w:val="0"/>
      <w:divBdr>
        <w:top w:val="none" w:sz="0" w:space="0" w:color="auto"/>
        <w:left w:val="none" w:sz="0" w:space="0" w:color="auto"/>
        <w:bottom w:val="none" w:sz="0" w:space="0" w:color="auto"/>
        <w:right w:val="none" w:sz="0" w:space="0" w:color="auto"/>
      </w:divBdr>
    </w:div>
    <w:div w:id="1007172606">
      <w:bodyDiv w:val="1"/>
      <w:marLeft w:val="0"/>
      <w:marRight w:val="0"/>
      <w:marTop w:val="0"/>
      <w:marBottom w:val="0"/>
      <w:divBdr>
        <w:top w:val="none" w:sz="0" w:space="0" w:color="auto"/>
        <w:left w:val="none" w:sz="0" w:space="0" w:color="auto"/>
        <w:bottom w:val="none" w:sz="0" w:space="0" w:color="auto"/>
        <w:right w:val="none" w:sz="0" w:space="0" w:color="auto"/>
      </w:divBdr>
    </w:div>
    <w:div w:id="1026367925">
      <w:bodyDiv w:val="1"/>
      <w:marLeft w:val="0"/>
      <w:marRight w:val="0"/>
      <w:marTop w:val="0"/>
      <w:marBottom w:val="0"/>
      <w:divBdr>
        <w:top w:val="none" w:sz="0" w:space="0" w:color="auto"/>
        <w:left w:val="none" w:sz="0" w:space="0" w:color="auto"/>
        <w:bottom w:val="none" w:sz="0" w:space="0" w:color="auto"/>
        <w:right w:val="none" w:sz="0" w:space="0" w:color="auto"/>
      </w:divBdr>
    </w:div>
    <w:div w:id="1168328041">
      <w:bodyDiv w:val="1"/>
      <w:marLeft w:val="0"/>
      <w:marRight w:val="0"/>
      <w:marTop w:val="0"/>
      <w:marBottom w:val="0"/>
      <w:divBdr>
        <w:top w:val="none" w:sz="0" w:space="0" w:color="auto"/>
        <w:left w:val="none" w:sz="0" w:space="0" w:color="auto"/>
        <w:bottom w:val="none" w:sz="0" w:space="0" w:color="auto"/>
        <w:right w:val="none" w:sz="0" w:space="0" w:color="auto"/>
      </w:divBdr>
    </w:div>
    <w:div w:id="1469124978">
      <w:bodyDiv w:val="1"/>
      <w:marLeft w:val="0"/>
      <w:marRight w:val="0"/>
      <w:marTop w:val="0"/>
      <w:marBottom w:val="0"/>
      <w:divBdr>
        <w:top w:val="none" w:sz="0" w:space="0" w:color="auto"/>
        <w:left w:val="none" w:sz="0" w:space="0" w:color="auto"/>
        <w:bottom w:val="none" w:sz="0" w:space="0" w:color="auto"/>
        <w:right w:val="none" w:sz="0" w:space="0" w:color="auto"/>
      </w:divBdr>
    </w:div>
    <w:div w:id="1523862819">
      <w:bodyDiv w:val="1"/>
      <w:marLeft w:val="0"/>
      <w:marRight w:val="0"/>
      <w:marTop w:val="0"/>
      <w:marBottom w:val="0"/>
      <w:divBdr>
        <w:top w:val="none" w:sz="0" w:space="0" w:color="auto"/>
        <w:left w:val="none" w:sz="0" w:space="0" w:color="auto"/>
        <w:bottom w:val="none" w:sz="0" w:space="0" w:color="auto"/>
        <w:right w:val="none" w:sz="0" w:space="0" w:color="auto"/>
      </w:divBdr>
    </w:div>
    <w:div w:id="1871337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1468</ap:Words>
  <ap:Characters>8079</ap:Characters>
  <ap:DocSecurity>0</ap:DocSecurity>
  <ap:Lines>67</ap:Lines>
  <ap:Paragraphs>19</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9528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2026-03-02T15:22:00.0000000Z</lastPrinted>
  <dcterms:created xsi:type="dcterms:W3CDTF">2026-03-05T07:43:00.0000000Z</dcterms:created>
  <dcterms:modified xsi:type="dcterms:W3CDTF">2026-03-05T07:43:00.0000000Z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0x0101009C7CE436063D44E9BE7DC0259EF7C32F006EB9F9836A634AE58B6169785FD3936F00E118BE330E179A41AFB5E6BA82A01B95</vt:lpwstr>
  </property>
  <property fmtid="{D5CDD505-2E9C-101B-9397-08002B2CF9AE}" pid="3" name="Land0">
    <vt:lpwstr/>
  </property>
  <property fmtid="{D5CDD505-2E9C-101B-9397-08002B2CF9AE}" pid="4" name="Forum">
    <vt:lpwstr/>
  </property>
  <property fmtid="{D5CDD505-2E9C-101B-9397-08002B2CF9AE}" pid="5" name="BZ_Country">
    <vt:lpwstr>9;#The Netherlands|7f69a7bb-478c-499d-a6cf-5869916dfee4</vt:lpwstr>
  </property>
  <property fmtid="{D5CDD505-2E9C-101B-9397-08002B2CF9AE}" pid="6" name="BZ_Classification">
    <vt:lpwstr>14;#UNCLASSIFIED|d92c6340-bc14-4cb2-a9a6-6deda93c493b</vt:lpwstr>
  </property>
  <property fmtid="{D5CDD505-2E9C-101B-9397-08002B2CF9AE}" pid="7" name="BZ_Forum">
    <vt:lpwstr>8;#EU|4d8f9873-61b3-4ee5-b6f7-0bb00c6df5e8</vt:lpwstr>
  </property>
  <property fmtid="{D5CDD505-2E9C-101B-9397-08002B2CF9AE}" pid="8" name="BZ_Theme">
    <vt:lpwstr>11;#Organization|d3f777fe-abca-43dd-b11c-a7496ad32ea5;#7;#Visits (logistic)|53e8069b-a40e-4a89-b4f3-9b7112716272</vt:lpwstr>
  </property>
  <property fmtid="{D5CDD505-2E9C-101B-9397-08002B2CF9AE}" pid="9" name="BZForumOrganisation">
    <vt:lpwstr>2;#Not applicable|0049e722-bfb1-4a3f-9d08-af7366a9af40</vt:lpwstr>
  </property>
  <property fmtid="{D5CDD505-2E9C-101B-9397-08002B2CF9AE}" pid="10" name="BZTheme">
    <vt:lpwstr>1;#Not applicable|ec01d90b-9d0f-4785-8785-e1ea615196bf</vt:lpwstr>
  </property>
  <property fmtid="{D5CDD505-2E9C-101B-9397-08002B2CF9AE}" pid="11" name="DocumentSetDescription">
    <vt:lpwstr/>
  </property>
  <property fmtid="{D5CDD505-2E9C-101B-9397-08002B2CF9AE}" pid="12" name="BZCountryState">
    <vt:lpwstr>3;#Not applicable|ec01d90b-9d0f-4785-8785-e1ea615196bf</vt:lpwstr>
  </property>
  <property fmtid="{D5CDD505-2E9C-101B-9397-08002B2CF9AE}" pid="13" name="_dlc_DocIdItemGuid">
    <vt:lpwstr>cde2d8fe-57c6-4103-9cfa-a3014c102278</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URL">
    <vt:lpwstr>https://247.plaza.buzaservices.nl/subject/PV-RK2026012026/BZ2625634/GA%20RAZ.docx, </vt:lpwstr>
  </property>
  <property fmtid="{D5CDD505-2E9C-101B-9397-08002B2CF9AE}" pid="17" name="nf4434b3fae540fe847866e45672fb3a">
    <vt:lpwstr>Organization|d3f777fe-abca-43dd-b11c-a7496ad32ea5;Visits (logistic)|53e8069b-a40e-4a89-b4f3-9b7112716272</vt:lpwstr>
  </property>
  <property fmtid="{D5CDD505-2E9C-101B-9397-08002B2CF9AE}" pid="18" name="a45510494d1a450e9cee6905c7ad8168">
    <vt:lpwstr>The Netherlands|7f69a7bb-478c-499d-a6cf-5869916dfee4</vt:lpwstr>
  </property>
  <property fmtid="{D5CDD505-2E9C-101B-9397-08002B2CF9AE}" pid="19" name="ge4bd621e46a403e97baf402a410deb5">
    <vt:lpwstr>EU|4d8f9873-61b3-4ee5-b6f7-0bb00c6df5e8</vt:lpwstr>
  </property>
  <property fmtid="{D5CDD505-2E9C-101B-9397-08002B2CF9AE}" pid="20" name="gc2efd3bfea04f7f8169be07009f5536">
    <vt:lpwstr/>
  </property>
  <property fmtid="{D5CDD505-2E9C-101B-9397-08002B2CF9AE}" pid="21" name="BZDossierPublishingHistory">
    <vt:lpwstr/>
  </property>
  <property fmtid="{D5CDD505-2E9C-101B-9397-08002B2CF9AE}" pid="22" name="BZDossierApprovalHistory">
    <vt:lpwstr/>
  </property>
  <property fmtid="{D5CDD505-2E9C-101B-9397-08002B2CF9AE}" pid="23" name="BZDossierContributors">
    <vt:lpwstr/>
  </property>
  <property fmtid="{D5CDD505-2E9C-101B-9397-08002B2CF9AE}" pid="24" name="BZDossierProcessLocation">
    <vt:lpwstr/>
  </property>
  <property fmtid="{D5CDD505-2E9C-101B-9397-08002B2CF9AE}" pid="25" name="BZDossierPublishingWOOCategory">
    <vt:lpwstr/>
  </property>
  <property fmtid="{D5CDD505-2E9C-101B-9397-08002B2CF9AE}" pid="26" name="i42ef48d5fa942a0ad0d60e44f201751">
    <vt:lpwstr/>
  </property>
  <property fmtid="{D5CDD505-2E9C-101B-9397-08002B2CF9AE}" pid="27" name="f2fb2a8e39404f1ab554e4e4a49d2918">
    <vt:lpwstr/>
  </property>
  <property fmtid="{D5CDD505-2E9C-101B-9397-08002B2CF9AE}" pid="28" name="BZDossierDescription">
    <vt:lpwstr/>
  </property>
  <property fmtid="{D5CDD505-2E9C-101B-9397-08002B2CF9AE}" pid="29" name="BZDossierReaders">
    <vt:lpwstr/>
  </property>
  <property fmtid="{D5CDD505-2E9C-101B-9397-08002B2CF9AE}" pid="30" name="p29721a54a5c4bbe9786e930fc91e270">
    <vt:lpwstr/>
  </property>
  <property fmtid="{D5CDD505-2E9C-101B-9397-08002B2CF9AE}" pid="31" name="BZDossierTranslationHistory">
    <vt:lpwstr/>
  </property>
  <property fmtid="{D5CDD505-2E9C-101B-9397-08002B2CF9AE}" pid="32" name="BZDossierReference">
    <vt:lpwstr/>
  </property>
  <property fmtid="{D5CDD505-2E9C-101B-9397-08002B2CF9AE}" pid="33" name="BZDossierAuditLog">
    <vt:lpwstr/>
  </property>
  <property fmtid="{D5CDD505-2E9C-101B-9397-08002B2CF9AE}" pid="34" name="BZDossierTitle">
    <vt:lpwstr/>
  </property>
  <property fmtid="{D5CDD505-2E9C-101B-9397-08002B2CF9AE}" pid="35" name="ed9282a3f18446ec8c17c7829edf82dd">
    <vt:lpwstr/>
  </property>
  <property fmtid="{D5CDD505-2E9C-101B-9397-08002B2CF9AE}" pid="36" name="e256f556a7b748329ab47889947c7d40">
    <vt:lpwstr/>
  </property>
  <property fmtid="{D5CDD505-2E9C-101B-9397-08002B2CF9AE}" pid="37" name="BZDossierProcessType">
    <vt:lpwstr/>
  </property>
  <property fmtid="{D5CDD505-2E9C-101B-9397-08002B2CF9AE}" pid="38" name="BZDossierSendingHistory">
    <vt:lpwstr/>
  </property>
  <property fmtid="{D5CDD505-2E9C-101B-9397-08002B2CF9AE}" pid="39" name="BZDossierBudgetManager">
    <vt:lpwstr/>
  </property>
  <property fmtid="{D5CDD505-2E9C-101B-9397-08002B2CF9AE}" pid="40" name="BZDossierAlignmentHistory">
    <vt:lpwstr/>
  </property>
  <property fmtid="{D5CDD505-2E9C-101B-9397-08002B2CF9AE}" pid="41" name="BZDossierSendTo">
    <vt:lpwstr/>
  </property>
  <property fmtid="{D5CDD505-2E9C-101B-9397-08002B2CF9AE}" pid="42" name="BZDossierRedacting">
    <vt:lpwstr/>
  </property>
  <property fmtid="{D5CDD505-2E9C-101B-9397-08002B2CF9AE}" pid="43" name="BZDossierRedactingHistory">
    <vt:lpwstr/>
  </property>
  <property fmtid="{D5CDD505-2E9C-101B-9397-08002B2CF9AE}" pid="44" name="BZDossierApprovalPolitical">
    <vt:lpwstr/>
  </property>
  <property fmtid="{D5CDD505-2E9C-101B-9397-08002B2CF9AE}" pid="45" name="BZDossierPrincipalsInvolved">
    <vt:lpwstr/>
  </property>
  <property fmtid="{D5CDD505-2E9C-101B-9397-08002B2CF9AE}" pid="46" name="BZDossierApproval">
    <vt:lpwstr/>
  </property>
  <property fmtid="{D5CDD505-2E9C-101B-9397-08002B2CF9AE}" pid="47" name="BZDossierAlignment">
    <vt:lpwstr/>
  </property>
  <property fmtid="{D5CDD505-2E9C-101B-9397-08002B2CF9AE}" pid="48" name="BZDossierSending">
    <vt:lpwstr/>
  </property>
  <property fmtid="{D5CDD505-2E9C-101B-9397-08002B2CF9AE}" pid="49" name="BZDossierResponsibleDepartment">
    <vt:lpwstr/>
  </property>
  <property fmtid="{D5CDD505-2E9C-101B-9397-08002B2CF9AE}" pid="50" name="BZDossierResponsibleGroup">
    <vt:lpwstr/>
  </property>
  <property fmtid="{D5CDD505-2E9C-101B-9397-08002B2CF9AE}" pid="51" name="BZDossierApprovalPoliticalHistory">
    <vt:lpwstr/>
  </property>
  <property fmtid="{D5CDD505-2E9C-101B-9397-08002B2CF9AE}" pid="52" name="BZDossierPublishing">
    <vt:lpwstr/>
  </property>
  <property fmtid="{D5CDD505-2E9C-101B-9397-08002B2CF9AE}" pid="53" name="BZDossierSpecifics">
    <vt:lpwstr/>
  </property>
  <property fmtid="{D5CDD505-2E9C-101B-9397-08002B2CF9AE}" pid="54" name="BZDossierGovernmentOfficial">
    <vt:lpwstr/>
  </property>
  <property fmtid="{D5CDD505-2E9C-101B-9397-08002B2CF9AE}" pid="55" name="f8e003236e1c4ac2ab9051d5d8789bbb">
    <vt:lpwstr/>
  </property>
  <property fmtid="{D5CDD505-2E9C-101B-9397-08002B2CF9AE}" pid="56" name="BZDossierNotes">
    <vt:lpwstr/>
  </property>
  <property fmtid="{D5CDD505-2E9C-101B-9397-08002B2CF9AE}" pid="57" name="BZDossierTranslation">
    <vt:lpwstr/>
  </property>
  <property fmtid="{D5CDD505-2E9C-101B-9397-08002B2CF9AE}" pid="58" name="BZDossierTemplate">
    <vt:lpwstr>ReguliereKamerbrief</vt:lpwstr>
  </property>
  <property fmtid="{D5CDD505-2E9C-101B-9397-08002B2CF9AE}" pid="59" name="BZEmailHasAttachment">
    <vt:bool>false</vt:bool>
  </property>
  <property fmtid="{D5CDD505-2E9C-101B-9397-08002B2CF9AE}" pid="60" name="_docset_NoMedatataSyncRequired">
    <vt:lpwstr>False</vt:lpwstr>
  </property>
</Properties>
</file>