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11DF" w:rsidP="00B311DF" w:rsidRDefault="00B311DF" w14:paraId="1726C29A" w14:textId="77777777">
      <w:pPr>
        <w:spacing w:line="276" w:lineRule="auto"/>
        <w:rPr>
          <w:i/>
        </w:rPr>
      </w:pPr>
      <w:r>
        <w:rPr>
          <w:i/>
        </w:rPr>
        <w:t>Proces jaarlijkse nacalculatie</w:t>
      </w:r>
    </w:p>
    <w:p w:rsidR="00F35169" w:rsidP="00B311DF" w:rsidRDefault="7921900D" w14:paraId="45045281" w14:textId="77777777">
      <w:pPr>
        <w:spacing w:line="276" w:lineRule="auto"/>
      </w:pPr>
      <w:r>
        <w:t xml:space="preserve">De jaarlijkse afdrachten van de lidstaten aan de Europese begroting worden bepaald door de uitgaven van de EU op basis van de vastgestelde </w:t>
      </w:r>
      <w:proofErr w:type="gramStart"/>
      <w:r>
        <w:t>EU begroting</w:t>
      </w:r>
      <w:proofErr w:type="gramEnd"/>
      <w:r>
        <w:t xml:space="preserve">, en door de invoerrechten, de btw-grondslag, de plastic-grondslag en de </w:t>
      </w:r>
      <w:proofErr w:type="spellStart"/>
      <w:r>
        <w:t>bni</w:t>
      </w:r>
      <w:proofErr w:type="spellEnd"/>
      <w:r>
        <w:t xml:space="preserve">-grondslag van een lidstaat. Jaarlijks worden de verschillen tussen de ramingen en de realisaties van deze afdrachtengrondslagen met terugwerkende kracht verrekend. Het doel van de nacalculatie is om de bijdrage van lidstaten aan de EU in lijn te brengen met hun daadwerkelijke (economische) prestaties. </w:t>
      </w:r>
      <w:bookmarkStart w:name="_Hlk189581631" w:id="0"/>
      <w:bookmarkEnd w:id="0"/>
    </w:p>
    <w:p w:rsidR="00F35169" w:rsidP="00B311DF" w:rsidRDefault="00F35169" w14:paraId="51DE006B" w14:textId="77777777">
      <w:pPr>
        <w:spacing w:line="276" w:lineRule="auto"/>
      </w:pPr>
    </w:p>
    <w:p w:rsidR="00B311DF" w:rsidP="00B311DF" w:rsidRDefault="00B311DF" w14:paraId="4CC2F5BE" w14:textId="77777777">
      <w:pPr>
        <w:spacing w:line="276" w:lineRule="auto"/>
      </w:pPr>
      <w:r w:rsidRPr="00F41A9C">
        <w:t xml:space="preserve">Voor de huidige nacalculatie zijn de btw-grondslag, de </w:t>
      </w:r>
      <w:proofErr w:type="spellStart"/>
      <w:r w:rsidRPr="00F41A9C">
        <w:t>bni</w:t>
      </w:r>
      <w:proofErr w:type="spellEnd"/>
      <w:r w:rsidRPr="00F41A9C">
        <w:t>-grondslag en de plastic-grondslag relevant</w:t>
      </w:r>
      <w:r>
        <w:t xml:space="preserve">. </w:t>
      </w:r>
      <w:r w:rsidRPr="00F41A9C">
        <w:t xml:space="preserve">Over de invoerrechten vindt geen nacalculatie plaats, omdat </w:t>
      </w:r>
      <w:r>
        <w:t xml:space="preserve">hiervoor </w:t>
      </w:r>
      <w:r w:rsidRPr="00F41A9C">
        <w:t xml:space="preserve">niet op basis van een raming maar op basis van de </w:t>
      </w:r>
      <w:r>
        <w:t>omvang van de geïnde invoerrechten</w:t>
      </w:r>
      <w:r w:rsidRPr="00F41A9C">
        <w:t xml:space="preserve"> wordt afgedragen.</w:t>
      </w:r>
      <w:r>
        <w:t xml:space="preserve"> </w:t>
      </w:r>
    </w:p>
    <w:p w:rsidR="00B311DF" w:rsidP="00B311DF" w:rsidRDefault="00B311DF" w14:paraId="6E5A50F0" w14:textId="77777777">
      <w:pPr>
        <w:spacing w:line="276" w:lineRule="auto"/>
      </w:pPr>
    </w:p>
    <w:p w:rsidR="00B311DF" w:rsidP="00B311DF" w:rsidRDefault="00B311DF" w14:paraId="19DFFC01" w14:textId="77777777">
      <w:pPr>
        <w:spacing w:line="276" w:lineRule="auto"/>
        <w:rPr>
          <w:i/>
        </w:rPr>
      </w:pPr>
      <w:r w:rsidRPr="003870F4">
        <w:rPr>
          <w:color w:val="auto"/>
        </w:rPr>
        <w:t xml:space="preserve">De nacalculatie van de </w:t>
      </w:r>
      <w:proofErr w:type="spellStart"/>
      <w:r w:rsidRPr="003870F4">
        <w:rPr>
          <w:color w:val="auto"/>
        </w:rPr>
        <w:t>bni</w:t>
      </w:r>
      <w:proofErr w:type="spellEnd"/>
      <w:r w:rsidRPr="003870F4">
        <w:rPr>
          <w:color w:val="auto"/>
        </w:rPr>
        <w:t>- en btw-afdrachten heeft</w:t>
      </w:r>
      <w:r>
        <w:rPr>
          <w:color w:val="auto"/>
        </w:rPr>
        <w:t xml:space="preserve"> betrekking op 2024 en voorgaande jaren. Voor de plastic-afdracht betreft de nacalculatie de jaren 2021 tot en met 2023.</w:t>
      </w:r>
    </w:p>
    <w:p w:rsidR="00B311DF" w:rsidP="00B311DF" w:rsidRDefault="00B311DF" w14:paraId="40D36CBC" w14:textId="77777777">
      <w:pPr>
        <w:spacing w:line="276" w:lineRule="auto"/>
      </w:pPr>
    </w:p>
    <w:p w:rsidR="00B311DF" w:rsidP="00B311DF" w:rsidRDefault="00F35169" w14:paraId="09FF2EE2" w14:textId="77777777">
      <w:pPr>
        <w:spacing w:line="276" w:lineRule="auto"/>
      </w:pPr>
      <w:r>
        <w:t>D</w:t>
      </w:r>
      <w:r w:rsidR="00B311DF">
        <w:t xml:space="preserve">e realisaties van de </w:t>
      </w:r>
      <w:proofErr w:type="spellStart"/>
      <w:r w:rsidR="00B311DF">
        <w:t>bni</w:t>
      </w:r>
      <w:proofErr w:type="spellEnd"/>
      <w:r w:rsidR="00B311DF">
        <w:t xml:space="preserve">-, btw- en plastic-grondslagen </w:t>
      </w:r>
      <w:r>
        <w:t xml:space="preserve">worden </w:t>
      </w:r>
      <w:r w:rsidR="00B311DF">
        <w:t xml:space="preserve">jaarlijks vastgesteld. De realisaties kunnen tot vier jaar terug worden bijgesteld, bijvoorbeeld op basis van nieuwe informatie, bronnenrevisies of een verandering in de vaststellingsmethode. </w:t>
      </w:r>
      <w:proofErr w:type="gramStart"/>
      <w:r w:rsidRPr="00CF2DDA" w:rsidR="00B311DF">
        <w:t>Tevens</w:t>
      </w:r>
      <w:proofErr w:type="gramEnd"/>
      <w:r w:rsidRPr="00CF2DDA" w:rsidR="00B311DF">
        <w:t xml:space="preserve"> wordt, bij vaststelling van de cijfers, besloten over eerder gemaakte voorbehouden</w:t>
      </w:r>
      <w:r w:rsidR="00B311DF">
        <w:rPr>
          <w:rStyle w:val="Voetnootmarkering"/>
        </w:rPr>
        <w:footnoteReference w:id="1"/>
      </w:r>
      <w:r w:rsidRPr="00CF2DDA" w:rsidR="00B311DF">
        <w:t xml:space="preserve"> bij de </w:t>
      </w:r>
      <w:proofErr w:type="spellStart"/>
      <w:r w:rsidRPr="00CF2DDA" w:rsidR="00B311DF">
        <w:t>bni</w:t>
      </w:r>
      <w:proofErr w:type="spellEnd"/>
      <w:r w:rsidRPr="00CF2DDA" w:rsidR="00B311DF">
        <w:t xml:space="preserve">- en btw-statistieken door </w:t>
      </w:r>
      <w:proofErr w:type="spellStart"/>
      <w:r w:rsidRPr="00CF2DDA" w:rsidR="00B311DF">
        <w:t>Eurostat</w:t>
      </w:r>
      <w:proofErr w:type="spellEnd"/>
      <w:r w:rsidR="00B311DF">
        <w:t xml:space="preserve">, die bijvoorbeeld zijn geplaatst omdat nog niet alle gegevens van een bepaalde component van het </w:t>
      </w:r>
      <w:proofErr w:type="spellStart"/>
      <w:r w:rsidR="00B311DF">
        <w:t>bni</w:t>
      </w:r>
      <w:proofErr w:type="spellEnd"/>
      <w:r w:rsidR="00B311DF">
        <w:t xml:space="preserve"> volledig geanalyseerd waren</w:t>
      </w:r>
      <w:r w:rsidRPr="00CF2DDA" w:rsidR="00B311DF">
        <w:t xml:space="preserve">. Deze voorbehouden kunnen verder dan vier jaar terug worden bijgesteld, afhankelijk van het verslagjaar vanaf welke het voorbehoud geldt. </w:t>
      </w:r>
      <w:r w:rsidR="00B311DF">
        <w:t xml:space="preserve">De </w:t>
      </w:r>
      <w:proofErr w:type="spellStart"/>
      <w:r w:rsidR="00B311DF">
        <w:t>bni</w:t>
      </w:r>
      <w:proofErr w:type="spellEnd"/>
      <w:r w:rsidR="00B311DF">
        <w:t xml:space="preserve">-realisaties en -bijstellingen zijn gepresenteerd in het </w:t>
      </w:r>
      <w:r w:rsidR="00B311DF">
        <w:rPr>
          <w:i/>
        </w:rPr>
        <w:t xml:space="preserve">Summary </w:t>
      </w:r>
      <w:proofErr w:type="spellStart"/>
      <w:r w:rsidR="00B311DF">
        <w:rPr>
          <w:i/>
        </w:rPr>
        <w:t>Quality</w:t>
      </w:r>
      <w:proofErr w:type="spellEnd"/>
      <w:r w:rsidR="00B311DF">
        <w:rPr>
          <w:i/>
        </w:rPr>
        <w:t xml:space="preserve"> Report</w:t>
      </w:r>
      <w:r w:rsidR="00B311DF">
        <w:t>.</w:t>
      </w:r>
      <w:r w:rsidR="00B311DF">
        <w:rPr>
          <w:rStyle w:val="Voetnootmarkering"/>
        </w:rPr>
        <w:footnoteReference w:id="2"/>
      </w:r>
      <w:r w:rsidR="00B311DF">
        <w:t xml:space="preserve"> </w:t>
      </w:r>
    </w:p>
    <w:p w:rsidR="00B311DF" w:rsidP="00B311DF" w:rsidRDefault="00B311DF" w14:paraId="1DB64BA0" w14:textId="77777777">
      <w:pPr>
        <w:spacing w:line="276" w:lineRule="auto"/>
      </w:pPr>
    </w:p>
    <w:p w:rsidR="00B311DF" w:rsidP="00B311DF" w:rsidRDefault="7921900D" w14:paraId="75800373" w14:textId="77777777">
      <w:pPr>
        <w:spacing w:line="276" w:lineRule="auto"/>
      </w:pPr>
      <w:r>
        <w:t xml:space="preserve">De Commissie berekent op basis van de realisaties de netto-nacalculatie en presenteert de resultaten vervolgens elk jaar in januari. </w:t>
      </w:r>
      <w:r w:rsidRPr="7921900D">
        <w:rPr>
          <w:color w:val="auto"/>
        </w:rPr>
        <w:t xml:space="preserve">In Europees verband is afgesproken dat de verrekening van nacalculatie van de </w:t>
      </w:r>
      <w:proofErr w:type="spellStart"/>
      <w:r w:rsidRPr="7921900D">
        <w:rPr>
          <w:color w:val="auto"/>
        </w:rPr>
        <w:t>bni</w:t>
      </w:r>
      <w:proofErr w:type="spellEnd"/>
      <w:r w:rsidRPr="7921900D">
        <w:rPr>
          <w:color w:val="auto"/>
        </w:rPr>
        <w:t>- en btw-afdrachten plaatsvindt in het jaar volgend op de publicatie van de nacalculatie (t+1) en van de nacalculatie van de plastic-afdracht in hetzelfde jaar (t).</w:t>
      </w:r>
    </w:p>
    <w:p w:rsidR="00B311DF" w:rsidP="00B311DF" w:rsidRDefault="00B311DF" w14:paraId="4B115A2C" w14:textId="77777777">
      <w:pPr>
        <w:spacing w:line="276" w:lineRule="auto"/>
      </w:pPr>
    </w:p>
    <w:p w:rsidRPr="00DD11FB" w:rsidR="00B311DF" w:rsidP="00B311DF" w:rsidRDefault="00B311DF" w14:paraId="73BD2C83" w14:textId="77777777">
      <w:pPr>
        <w:spacing w:line="276" w:lineRule="auto"/>
        <w:rPr>
          <w:color w:val="000000" w:themeColor="text1"/>
        </w:rPr>
      </w:pPr>
      <w:r w:rsidRPr="00DD11FB">
        <w:rPr>
          <w:color w:val="000000" w:themeColor="text1"/>
        </w:rPr>
        <w:t xml:space="preserve">Op EU-niveau is er sprake van opwaartse bijstellingen van het </w:t>
      </w:r>
      <w:r w:rsidR="00F35169">
        <w:rPr>
          <w:color w:val="000000" w:themeColor="text1"/>
        </w:rPr>
        <w:t xml:space="preserve">nominale </w:t>
      </w:r>
      <w:proofErr w:type="spellStart"/>
      <w:r w:rsidRPr="00DD11FB">
        <w:rPr>
          <w:color w:val="000000" w:themeColor="text1"/>
        </w:rPr>
        <w:t>bni</w:t>
      </w:r>
      <w:proofErr w:type="spellEnd"/>
      <w:r w:rsidRPr="00DD11FB">
        <w:rPr>
          <w:color w:val="000000" w:themeColor="text1"/>
        </w:rPr>
        <w:t xml:space="preserve"> over de jaren 2018-2024. Het Nederlandse </w:t>
      </w:r>
      <w:proofErr w:type="spellStart"/>
      <w:r w:rsidRPr="00DD11FB">
        <w:rPr>
          <w:color w:val="000000" w:themeColor="text1"/>
        </w:rPr>
        <w:t>bni</w:t>
      </w:r>
      <w:proofErr w:type="spellEnd"/>
      <w:r w:rsidRPr="00DD11FB">
        <w:rPr>
          <w:color w:val="000000" w:themeColor="text1"/>
        </w:rPr>
        <w:t xml:space="preserve"> is daarbij relatief sterker gestegen</w:t>
      </w:r>
      <w:r w:rsidR="00F35169">
        <w:rPr>
          <w:color w:val="000000" w:themeColor="text1"/>
        </w:rPr>
        <w:t xml:space="preserve"> dan het EU-gemiddelde</w:t>
      </w:r>
      <w:r w:rsidRPr="00DD11FB">
        <w:rPr>
          <w:color w:val="000000" w:themeColor="text1"/>
        </w:rPr>
        <w:t xml:space="preserve">. </w:t>
      </w:r>
      <w:r>
        <w:rPr>
          <w:color w:val="000000" w:themeColor="text1"/>
        </w:rPr>
        <w:t xml:space="preserve">Uit </w:t>
      </w:r>
      <w:r w:rsidRPr="00DD11FB">
        <w:rPr>
          <w:color w:val="000000" w:themeColor="text1"/>
        </w:rPr>
        <w:t xml:space="preserve">deze geactualiseerde economische gegevens blijkt dat Nederland in de periode 2018-2024 dus </w:t>
      </w:r>
      <w:r>
        <w:rPr>
          <w:color w:val="000000" w:themeColor="text1"/>
        </w:rPr>
        <w:t xml:space="preserve">achteraf </w:t>
      </w:r>
      <w:r w:rsidRPr="00DD11FB">
        <w:rPr>
          <w:color w:val="000000" w:themeColor="text1"/>
        </w:rPr>
        <w:t xml:space="preserve">te weinig heeft afgedragen, omdat het gerealiseerde Nederlandse </w:t>
      </w:r>
      <w:proofErr w:type="spellStart"/>
      <w:r w:rsidRPr="00DD11FB">
        <w:rPr>
          <w:color w:val="000000" w:themeColor="text1"/>
        </w:rPr>
        <w:t>bni</w:t>
      </w:r>
      <w:proofErr w:type="spellEnd"/>
      <w:r w:rsidRPr="00DD11FB">
        <w:rPr>
          <w:color w:val="000000" w:themeColor="text1"/>
        </w:rPr>
        <w:t xml:space="preserve">-aandeel binnen de EU groter is gebleken dan het geraamde </w:t>
      </w:r>
      <w:proofErr w:type="spellStart"/>
      <w:r w:rsidRPr="00DD11FB">
        <w:rPr>
          <w:color w:val="000000" w:themeColor="text1"/>
        </w:rPr>
        <w:t>bni</w:t>
      </w:r>
      <w:proofErr w:type="spellEnd"/>
      <w:r w:rsidRPr="00DD11FB">
        <w:rPr>
          <w:color w:val="000000" w:themeColor="text1"/>
        </w:rPr>
        <w:t xml:space="preserve">-aandeel waarop de oorspronkelijke afdrachten waren gebaseerd. Via het proces van de nacalculatie wordt hiervoor gecorrigeerd. </w:t>
      </w:r>
    </w:p>
    <w:p w:rsidRPr="00DD11FB" w:rsidR="00B311DF" w:rsidP="00B311DF" w:rsidRDefault="00B311DF" w14:paraId="3B619853" w14:textId="77777777">
      <w:pPr>
        <w:spacing w:line="276" w:lineRule="auto"/>
        <w:rPr>
          <w:color w:val="000000" w:themeColor="text1"/>
        </w:rPr>
      </w:pPr>
    </w:p>
    <w:p w:rsidRPr="00DD11FB" w:rsidR="00B311DF" w:rsidP="00B311DF" w:rsidRDefault="00B311DF" w14:paraId="2A1D7003" w14:textId="77777777">
      <w:pPr>
        <w:spacing w:line="276" w:lineRule="auto"/>
        <w:rPr>
          <w:color w:val="000000" w:themeColor="text1"/>
        </w:rPr>
      </w:pPr>
      <w:r>
        <w:rPr>
          <w:color w:val="000000" w:themeColor="text1"/>
        </w:rPr>
        <w:lastRenderedPageBreak/>
        <w:t>D</w:t>
      </w:r>
      <w:r w:rsidRPr="00DD11FB">
        <w:rPr>
          <w:color w:val="000000" w:themeColor="text1"/>
        </w:rPr>
        <w:t xml:space="preserve">it </w:t>
      </w:r>
      <w:r>
        <w:rPr>
          <w:color w:val="000000" w:themeColor="text1"/>
        </w:rPr>
        <w:t xml:space="preserve">werkt </w:t>
      </w:r>
      <w:r w:rsidRPr="00DD11FB">
        <w:rPr>
          <w:color w:val="000000" w:themeColor="text1"/>
        </w:rPr>
        <w:t xml:space="preserve">mogelijk ook meerjarig door op de geraamde afdrachten. In de Lenteraming </w:t>
      </w:r>
      <w:r>
        <w:rPr>
          <w:color w:val="000000" w:themeColor="text1"/>
        </w:rPr>
        <w:t xml:space="preserve">van de Europese Commissie </w:t>
      </w:r>
      <w:r w:rsidRPr="00DD11FB">
        <w:rPr>
          <w:color w:val="000000" w:themeColor="text1"/>
        </w:rPr>
        <w:t xml:space="preserve">worden de grondslagen geactualiseerd waarop de </w:t>
      </w:r>
      <w:r>
        <w:rPr>
          <w:color w:val="000000" w:themeColor="text1"/>
        </w:rPr>
        <w:t xml:space="preserve">meerjarige </w:t>
      </w:r>
      <w:r w:rsidRPr="00DD11FB">
        <w:rPr>
          <w:color w:val="000000" w:themeColor="text1"/>
        </w:rPr>
        <w:t>afdrachten</w:t>
      </w:r>
      <w:r>
        <w:rPr>
          <w:color w:val="000000" w:themeColor="text1"/>
        </w:rPr>
        <w:t>ramingen</w:t>
      </w:r>
      <w:r w:rsidRPr="00DD11FB">
        <w:rPr>
          <w:color w:val="000000" w:themeColor="text1"/>
        </w:rPr>
        <w:t xml:space="preserve"> zijn gebaseerd. Het effect van de Lenteraming op de Nederlandse afdrachten wordt </w:t>
      </w:r>
      <w:proofErr w:type="gramStart"/>
      <w:r>
        <w:rPr>
          <w:color w:val="000000" w:themeColor="text1"/>
        </w:rPr>
        <w:t>conform</w:t>
      </w:r>
      <w:proofErr w:type="gramEnd"/>
      <w:r>
        <w:rPr>
          <w:color w:val="000000" w:themeColor="text1"/>
        </w:rPr>
        <w:t xml:space="preserve"> de reguliere werkwijze </w:t>
      </w:r>
      <w:r w:rsidRPr="00DD11FB">
        <w:rPr>
          <w:color w:val="000000" w:themeColor="text1"/>
        </w:rPr>
        <w:t>gepresenteerd bij Miljoenennota.</w:t>
      </w:r>
    </w:p>
    <w:p w:rsidR="00B311DF" w:rsidP="00B311DF" w:rsidRDefault="00B311DF" w14:paraId="465EDDFC" w14:textId="77777777">
      <w:pPr>
        <w:spacing w:line="276" w:lineRule="auto"/>
      </w:pPr>
    </w:p>
    <w:p w:rsidRPr="00DD11FB" w:rsidR="00B311DF" w:rsidP="00B311DF" w:rsidRDefault="00B311DF" w14:paraId="4076DD8B" w14:textId="77777777">
      <w:pPr>
        <w:spacing w:line="276" w:lineRule="auto"/>
        <w:rPr>
          <w:i/>
          <w:iCs/>
        </w:rPr>
      </w:pPr>
      <w:r>
        <w:rPr>
          <w:i/>
          <w:iCs/>
        </w:rPr>
        <w:t>Budgettaire gevolgen nacalculatie</w:t>
      </w:r>
    </w:p>
    <w:p w:rsidR="00F35169" w:rsidP="00B311DF" w:rsidRDefault="00B311DF" w14:paraId="2B1E04E6" w14:textId="77777777">
      <w:pPr>
        <w:spacing w:line="276" w:lineRule="auto"/>
      </w:pPr>
      <w:bookmarkStart w:name="_Hlk189579012" w:id="1"/>
      <w:r>
        <w:rPr>
          <w:color w:val="auto"/>
        </w:rPr>
        <w:t>De</w:t>
      </w:r>
      <w:r w:rsidRPr="0082694E">
        <w:rPr>
          <w:color w:val="auto"/>
        </w:rPr>
        <w:t xml:space="preserve"> definitieve nacalculatie</w:t>
      </w:r>
      <w:r>
        <w:rPr>
          <w:color w:val="auto"/>
        </w:rPr>
        <w:t xml:space="preserve"> voor 2025 betekent</w:t>
      </w:r>
      <w:r w:rsidRPr="0082694E">
        <w:rPr>
          <w:color w:val="auto"/>
        </w:rPr>
        <w:t xml:space="preserve"> voor Nederland een eenmalige extra bijdrage van</w:t>
      </w:r>
      <w:r>
        <w:rPr>
          <w:color w:val="auto"/>
        </w:rPr>
        <w:t xml:space="preserve"> in totaal 108 </w:t>
      </w:r>
      <w:r w:rsidRPr="0082694E">
        <w:rPr>
          <w:color w:val="auto"/>
        </w:rPr>
        <w:t>miljoen euro.</w:t>
      </w:r>
      <w:bookmarkEnd w:id="1"/>
      <w:r>
        <w:rPr>
          <w:color w:val="auto"/>
        </w:rPr>
        <w:t xml:space="preserve"> </w:t>
      </w:r>
      <w:bookmarkStart w:name="_Hlk189581709" w:id="2"/>
      <w:r>
        <w:rPr>
          <w:color w:val="auto"/>
        </w:rPr>
        <w:t xml:space="preserve">De nacalculatie van de </w:t>
      </w:r>
      <w:proofErr w:type="spellStart"/>
      <w:r>
        <w:rPr>
          <w:color w:val="auto"/>
        </w:rPr>
        <w:t>bni</w:t>
      </w:r>
      <w:proofErr w:type="spellEnd"/>
      <w:r>
        <w:rPr>
          <w:color w:val="auto"/>
        </w:rPr>
        <w:t>- en btw-afdrachten leidt voor Nederland tot een eenmalige extra afdracht van 87 miljoen euro</w:t>
      </w:r>
      <w:bookmarkEnd w:id="2"/>
      <w:r>
        <w:rPr>
          <w:color w:val="auto"/>
        </w:rPr>
        <w:t xml:space="preserve"> in 2027. </w:t>
      </w:r>
      <w:r>
        <w:t xml:space="preserve">De nacalculatie van de plastic-afdracht komt voor Nederland uit op een eenmalige extra afdracht van 21 miljoen euro in 2026. </w:t>
      </w:r>
    </w:p>
    <w:p w:rsidR="00F35169" w:rsidP="00B311DF" w:rsidRDefault="00F35169" w14:paraId="39AEB882" w14:textId="77777777">
      <w:pPr>
        <w:spacing w:line="276" w:lineRule="auto"/>
      </w:pPr>
    </w:p>
    <w:p w:rsidR="00F35169" w:rsidP="00B311DF" w:rsidRDefault="00B311DF" w14:paraId="7EE91B9B" w14:textId="77777777">
      <w:pPr>
        <w:spacing w:line="276" w:lineRule="auto"/>
        <w:rPr>
          <w:color w:val="auto"/>
        </w:rPr>
      </w:pPr>
      <w:r>
        <w:t>De</w:t>
      </w:r>
      <w:r>
        <w:rPr>
          <w:color w:val="auto"/>
        </w:rPr>
        <w:t xml:space="preserve"> verwerking in de Rijksbegroting vindt </w:t>
      </w:r>
      <w:proofErr w:type="gramStart"/>
      <w:r>
        <w:rPr>
          <w:color w:val="auto"/>
        </w:rPr>
        <w:t>conform</w:t>
      </w:r>
      <w:proofErr w:type="gramEnd"/>
      <w:r>
        <w:rPr>
          <w:color w:val="auto"/>
        </w:rPr>
        <w:t xml:space="preserve"> reguliere werkwijze plaats bij eerste suppletoire begroting 2026 van het ministerie van Buitenlandse Zaken. </w:t>
      </w:r>
      <w:bookmarkStart w:name="_Hlk189657880" w:id="3"/>
    </w:p>
    <w:p w:rsidR="00F35169" w:rsidP="00B311DF" w:rsidRDefault="00F35169" w14:paraId="4FD4F4FB" w14:textId="77777777">
      <w:pPr>
        <w:spacing w:line="276" w:lineRule="auto"/>
        <w:rPr>
          <w:color w:val="auto"/>
        </w:rPr>
      </w:pPr>
    </w:p>
    <w:p w:rsidR="00B311DF" w:rsidP="00B311DF" w:rsidRDefault="00F35169" w14:paraId="37C71BC6" w14:textId="77777777">
      <w:pPr>
        <w:spacing w:line="276" w:lineRule="auto"/>
        <w:rPr>
          <w:color w:val="auto"/>
        </w:rPr>
      </w:pPr>
      <w:r w:rsidRPr="00AA32E4">
        <w:rPr>
          <w:color w:val="auto"/>
        </w:rPr>
        <w:t xml:space="preserve">De jaarlijkse nacalculatie kan betekenen dat </w:t>
      </w:r>
      <w:r>
        <w:rPr>
          <w:color w:val="auto"/>
        </w:rPr>
        <w:t>een lidstaat</w:t>
      </w:r>
      <w:r w:rsidRPr="00AA32E4">
        <w:rPr>
          <w:color w:val="auto"/>
        </w:rPr>
        <w:t xml:space="preserve"> moet nabetalen of geld </w:t>
      </w:r>
      <w:proofErr w:type="gramStart"/>
      <w:r w:rsidRPr="00AA32E4">
        <w:rPr>
          <w:color w:val="auto"/>
        </w:rPr>
        <w:t>terug krijgt</w:t>
      </w:r>
      <w:proofErr w:type="gramEnd"/>
      <w:r w:rsidRPr="00AA32E4">
        <w:rPr>
          <w:color w:val="auto"/>
        </w:rPr>
        <w:t xml:space="preserve">. </w:t>
      </w:r>
      <w:r w:rsidR="00B311DF">
        <w:rPr>
          <w:color w:val="auto"/>
        </w:rPr>
        <w:t xml:space="preserve">Tabel 1 geeft een overzicht van de netto nacalculaties over de Nederlandse afdrachten aan de EU sinds 2020. </w:t>
      </w:r>
    </w:p>
    <w:p w:rsidR="00B311DF" w:rsidP="00B311DF" w:rsidRDefault="00B311DF" w14:paraId="6C81458E" w14:textId="77777777">
      <w:pPr>
        <w:spacing w:line="276" w:lineRule="auto"/>
        <w:rPr>
          <w:color w:val="auto"/>
        </w:rPr>
      </w:pPr>
    </w:p>
    <w:tbl>
      <w:tblPr>
        <w:tblW w:w="5812" w:type="dxa"/>
        <w:tblCellMar>
          <w:left w:w="70" w:type="dxa"/>
          <w:right w:w="70" w:type="dxa"/>
        </w:tblCellMar>
        <w:tblLook w:val="04A0" w:firstRow="1" w:lastRow="0" w:firstColumn="1" w:lastColumn="0" w:noHBand="0" w:noVBand="1"/>
      </w:tblPr>
      <w:tblGrid>
        <w:gridCol w:w="1262"/>
        <w:gridCol w:w="700"/>
        <w:gridCol w:w="700"/>
        <w:gridCol w:w="830"/>
        <w:gridCol w:w="761"/>
        <w:gridCol w:w="729"/>
        <w:gridCol w:w="830"/>
      </w:tblGrid>
      <w:tr w:rsidR="00B311DF" w:rsidTr="002E055D" w14:paraId="291A94D2" w14:textId="77777777">
        <w:trPr>
          <w:trHeight w:val="107"/>
        </w:trPr>
        <w:tc>
          <w:tcPr>
            <w:tcW w:w="5812" w:type="dxa"/>
            <w:gridSpan w:val="7"/>
            <w:tcBorders>
              <w:top w:val="nil"/>
              <w:left w:val="nil"/>
              <w:bottom w:val="single" w:color="E8E8E8" w:themeColor="background2" w:sz="2" w:space="0"/>
              <w:right w:val="single" w:color="E8E8E8" w:themeColor="background2" w:sz="2" w:space="0"/>
            </w:tcBorders>
            <w:shd w:val="clear" w:color="auto" w:fill="44546A"/>
            <w:vAlign w:val="center"/>
          </w:tcPr>
          <w:p w:rsidRPr="00A1326E" w:rsidR="00B311DF" w:rsidP="002E055D" w:rsidRDefault="00B311DF" w14:paraId="3656557E" w14:textId="77777777">
            <w:pPr>
              <w:spacing w:line="240" w:lineRule="auto"/>
              <w:rPr>
                <w:rFonts w:eastAsia="Times New Roman" w:cs="Calibri"/>
                <w:b/>
                <w:bCs/>
                <w:color w:val="FFFFFF" w:themeColor="background1"/>
                <w:sz w:val="16"/>
                <w:szCs w:val="16"/>
              </w:rPr>
            </w:pPr>
            <w:r w:rsidRPr="00A1326E">
              <w:rPr>
                <w:rFonts w:eastAsia="Times New Roman" w:cs="Calibri"/>
                <w:b/>
                <w:bCs/>
                <w:color w:val="FFFFFF" w:themeColor="background1"/>
                <w:sz w:val="16"/>
                <w:szCs w:val="16"/>
              </w:rPr>
              <w:t xml:space="preserve">Tabel </w:t>
            </w:r>
            <w:r>
              <w:rPr>
                <w:rFonts w:eastAsia="Times New Roman" w:cs="Calibri"/>
                <w:b/>
                <w:bCs/>
                <w:color w:val="FFFFFF" w:themeColor="background1"/>
                <w:sz w:val="16"/>
                <w:szCs w:val="16"/>
              </w:rPr>
              <w:t>1</w:t>
            </w:r>
            <w:r w:rsidRPr="00A1326E">
              <w:rPr>
                <w:rFonts w:eastAsia="Times New Roman" w:cs="Calibri"/>
                <w:b/>
                <w:bCs/>
                <w:color w:val="FFFFFF" w:themeColor="background1"/>
                <w:sz w:val="16"/>
                <w:szCs w:val="16"/>
              </w:rPr>
              <w:t>: N</w:t>
            </w:r>
            <w:r>
              <w:rPr>
                <w:rFonts w:eastAsia="Times New Roman" w:cs="Calibri"/>
                <w:b/>
                <w:bCs/>
                <w:color w:val="FFFFFF" w:themeColor="background1"/>
                <w:sz w:val="16"/>
                <w:szCs w:val="16"/>
              </w:rPr>
              <w:t>etto n</w:t>
            </w:r>
            <w:r w:rsidRPr="00A1326E">
              <w:rPr>
                <w:rFonts w:eastAsia="Times New Roman" w:cs="Calibri"/>
                <w:b/>
                <w:bCs/>
                <w:color w:val="FFFFFF" w:themeColor="background1"/>
                <w:sz w:val="16"/>
                <w:szCs w:val="16"/>
              </w:rPr>
              <w:t>acalculaties voor Nederland (in miljoen euro)</w:t>
            </w:r>
          </w:p>
        </w:tc>
      </w:tr>
      <w:tr w:rsidR="00B311DF" w:rsidTr="002E055D" w14:paraId="1429A319" w14:textId="77777777">
        <w:trPr>
          <w:trHeight w:val="107"/>
        </w:trPr>
        <w:tc>
          <w:tcPr>
            <w:tcW w:w="1262" w:type="dxa"/>
            <w:tcBorders>
              <w:top w:val="nil"/>
              <w:left w:val="nil"/>
              <w:bottom w:val="single" w:color="E8E8E8" w:themeColor="background2" w:sz="2" w:space="0"/>
              <w:right w:val="single" w:color="E8E8E8" w:themeColor="background2" w:sz="2" w:space="0"/>
            </w:tcBorders>
            <w:vAlign w:val="center"/>
            <w:hideMark/>
          </w:tcPr>
          <w:p w:rsidR="00B311DF" w:rsidP="002E055D" w:rsidRDefault="00B311DF" w14:paraId="7BCC1227" w14:textId="77777777">
            <w:pPr>
              <w:spacing w:line="240" w:lineRule="auto"/>
              <w:jc w:val="right"/>
              <w:rPr>
                <w:rFonts w:eastAsia="Times New Roman" w:cs="Calibri"/>
                <w:color w:val="auto"/>
                <w:sz w:val="16"/>
                <w:szCs w:val="16"/>
              </w:rPr>
            </w:pPr>
            <w:r>
              <w:rPr>
                <w:rFonts w:eastAsia="Times New Roman" w:cs="Calibri"/>
                <w:color w:val="auto"/>
                <w:sz w:val="16"/>
                <w:szCs w:val="16"/>
              </w:rPr>
              <w:t> </w:t>
            </w:r>
          </w:p>
        </w:tc>
        <w:tc>
          <w:tcPr>
            <w:tcW w:w="700"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00B311DF" w:rsidP="002E055D" w:rsidRDefault="00B311DF" w14:paraId="5EE16883" w14:textId="77777777">
            <w:pPr>
              <w:spacing w:line="240" w:lineRule="auto"/>
              <w:jc w:val="right"/>
              <w:rPr>
                <w:rFonts w:eastAsia="Times New Roman" w:cs="Calibri"/>
                <w:b/>
                <w:bCs/>
                <w:sz w:val="16"/>
                <w:szCs w:val="16"/>
              </w:rPr>
            </w:pPr>
            <w:r>
              <w:rPr>
                <w:rFonts w:eastAsia="Times New Roman" w:cs="Calibri"/>
                <w:b/>
                <w:bCs/>
                <w:sz w:val="16"/>
                <w:szCs w:val="16"/>
                <w:lang w:val="en-US"/>
              </w:rPr>
              <w:t>2020</w:t>
            </w:r>
          </w:p>
        </w:tc>
        <w:tc>
          <w:tcPr>
            <w:tcW w:w="700"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00B311DF" w:rsidP="002E055D" w:rsidRDefault="00B311DF" w14:paraId="08735DA8" w14:textId="77777777">
            <w:pPr>
              <w:spacing w:line="240" w:lineRule="auto"/>
              <w:jc w:val="right"/>
              <w:rPr>
                <w:rFonts w:eastAsia="Times New Roman" w:cs="Calibri"/>
                <w:b/>
                <w:bCs/>
                <w:sz w:val="16"/>
                <w:szCs w:val="16"/>
              </w:rPr>
            </w:pPr>
            <w:r>
              <w:rPr>
                <w:rFonts w:eastAsia="Times New Roman" w:cs="Calibri"/>
                <w:b/>
                <w:bCs/>
                <w:sz w:val="16"/>
                <w:szCs w:val="16"/>
                <w:lang w:val="en-US"/>
              </w:rPr>
              <w:t>2021</w:t>
            </w:r>
          </w:p>
        </w:tc>
        <w:tc>
          <w:tcPr>
            <w:tcW w:w="830"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00B311DF" w:rsidP="002E055D" w:rsidRDefault="00B311DF" w14:paraId="4CDCB75E" w14:textId="77777777">
            <w:pPr>
              <w:spacing w:line="240" w:lineRule="auto"/>
              <w:jc w:val="right"/>
              <w:rPr>
                <w:rFonts w:eastAsia="Times New Roman" w:cs="Calibri"/>
                <w:b/>
                <w:bCs/>
                <w:sz w:val="16"/>
                <w:szCs w:val="16"/>
              </w:rPr>
            </w:pPr>
            <w:r>
              <w:rPr>
                <w:rFonts w:eastAsia="Times New Roman" w:cs="Calibri"/>
                <w:b/>
                <w:bCs/>
                <w:sz w:val="16"/>
                <w:szCs w:val="16"/>
                <w:lang w:val="en-US"/>
              </w:rPr>
              <w:t>2022</w:t>
            </w:r>
          </w:p>
        </w:tc>
        <w:tc>
          <w:tcPr>
            <w:tcW w:w="761"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00B311DF" w:rsidP="002E055D" w:rsidRDefault="00B311DF" w14:paraId="4A7379F9" w14:textId="77777777">
            <w:pPr>
              <w:spacing w:line="240" w:lineRule="auto"/>
              <w:jc w:val="right"/>
              <w:rPr>
                <w:rFonts w:eastAsia="Times New Roman" w:cs="Calibri"/>
                <w:b/>
                <w:bCs/>
                <w:sz w:val="16"/>
                <w:szCs w:val="16"/>
              </w:rPr>
            </w:pPr>
            <w:r>
              <w:rPr>
                <w:rFonts w:eastAsia="Times New Roman" w:cs="Calibri"/>
                <w:b/>
                <w:bCs/>
                <w:sz w:val="16"/>
                <w:szCs w:val="16"/>
                <w:lang w:val="en-US"/>
              </w:rPr>
              <w:t>2023</w:t>
            </w:r>
            <w:r w:rsidRPr="00237C80">
              <w:rPr>
                <w:rStyle w:val="Voetnootmarkering"/>
                <w:rFonts w:eastAsia="Times New Roman" w:cs="Calibri"/>
                <w:sz w:val="16"/>
                <w:szCs w:val="16"/>
                <w:lang w:val="en-US"/>
              </w:rPr>
              <w:footnoteReference w:id="3"/>
            </w:r>
          </w:p>
        </w:tc>
        <w:tc>
          <w:tcPr>
            <w:tcW w:w="729" w:type="dxa"/>
            <w:tcBorders>
              <w:top w:val="nil"/>
              <w:left w:val="single" w:color="E8E8E8" w:themeColor="background2" w:sz="2" w:space="0"/>
              <w:bottom w:val="single" w:color="E8E8E8" w:themeColor="background2" w:sz="2" w:space="0"/>
              <w:right w:val="nil"/>
            </w:tcBorders>
            <w:hideMark/>
          </w:tcPr>
          <w:p w:rsidR="00B311DF" w:rsidP="002E055D" w:rsidRDefault="00B311DF" w14:paraId="4B1B23B7" w14:textId="77777777">
            <w:pPr>
              <w:spacing w:line="240" w:lineRule="auto"/>
              <w:jc w:val="right"/>
              <w:rPr>
                <w:rFonts w:eastAsia="Times New Roman" w:cs="Calibri"/>
                <w:b/>
                <w:bCs/>
                <w:sz w:val="16"/>
                <w:szCs w:val="16"/>
                <w:lang w:val="en-US"/>
              </w:rPr>
            </w:pPr>
            <w:r>
              <w:rPr>
                <w:rFonts w:eastAsia="Times New Roman" w:cs="Calibri"/>
                <w:b/>
                <w:bCs/>
                <w:sz w:val="16"/>
                <w:szCs w:val="16"/>
                <w:lang w:val="en-US"/>
              </w:rPr>
              <w:t>2024</w:t>
            </w:r>
          </w:p>
        </w:tc>
        <w:tc>
          <w:tcPr>
            <w:tcW w:w="830" w:type="dxa"/>
            <w:tcBorders>
              <w:top w:val="nil"/>
              <w:left w:val="single" w:color="E8E8E8" w:themeColor="background2" w:sz="2" w:space="0"/>
              <w:bottom w:val="single" w:color="E8E8E8" w:themeColor="background2" w:sz="2" w:space="0"/>
              <w:right w:val="nil"/>
            </w:tcBorders>
          </w:tcPr>
          <w:p w:rsidR="00B311DF" w:rsidP="002E055D" w:rsidRDefault="00B311DF" w14:paraId="6B3610A6" w14:textId="77777777">
            <w:pPr>
              <w:spacing w:line="240" w:lineRule="auto"/>
              <w:jc w:val="right"/>
              <w:rPr>
                <w:rFonts w:eastAsia="Times New Roman" w:cs="Calibri"/>
                <w:b/>
                <w:bCs/>
                <w:sz w:val="16"/>
                <w:szCs w:val="16"/>
                <w:lang w:val="en-US"/>
              </w:rPr>
            </w:pPr>
            <w:r>
              <w:rPr>
                <w:rFonts w:eastAsia="Times New Roman" w:cs="Calibri"/>
                <w:b/>
                <w:bCs/>
                <w:sz w:val="16"/>
                <w:szCs w:val="16"/>
                <w:lang w:val="en-US"/>
              </w:rPr>
              <w:t>2025</w:t>
            </w:r>
          </w:p>
        </w:tc>
      </w:tr>
      <w:tr w:rsidR="00B311DF" w:rsidTr="002E055D" w14:paraId="5B6DD3D5" w14:textId="77777777">
        <w:trPr>
          <w:trHeight w:val="210"/>
        </w:trPr>
        <w:tc>
          <w:tcPr>
            <w:tcW w:w="1262" w:type="dxa"/>
            <w:tcBorders>
              <w:top w:val="single" w:color="E8E8E8" w:themeColor="background2" w:sz="2" w:space="0"/>
              <w:left w:val="nil"/>
              <w:bottom w:val="nil"/>
              <w:right w:val="single" w:color="E8E8E8" w:themeColor="background2" w:sz="2" w:space="0"/>
            </w:tcBorders>
            <w:vAlign w:val="bottom"/>
            <w:hideMark/>
          </w:tcPr>
          <w:p w:rsidR="00B311DF" w:rsidP="002E055D" w:rsidRDefault="00B311DF" w14:paraId="1C62B40D" w14:textId="77777777">
            <w:pPr>
              <w:spacing w:line="240" w:lineRule="auto"/>
              <w:jc w:val="right"/>
              <w:rPr>
                <w:rFonts w:eastAsia="Times New Roman" w:cs="Calibri"/>
                <w:i/>
                <w:iCs/>
                <w:sz w:val="16"/>
                <w:szCs w:val="16"/>
                <w:lang w:val="en-US"/>
              </w:rPr>
            </w:pPr>
            <w:r>
              <w:rPr>
                <w:rFonts w:eastAsia="Times New Roman" w:cs="Calibri"/>
                <w:i/>
                <w:iCs/>
                <w:sz w:val="16"/>
                <w:szCs w:val="16"/>
                <w:lang w:val="en-US"/>
              </w:rPr>
              <w:t>Netto-</w:t>
            </w:r>
            <w:proofErr w:type="spellStart"/>
            <w:r>
              <w:rPr>
                <w:rFonts w:eastAsia="Times New Roman" w:cs="Calibri"/>
                <w:i/>
                <w:iCs/>
                <w:sz w:val="16"/>
                <w:szCs w:val="16"/>
                <w:lang w:val="en-US"/>
              </w:rPr>
              <w:t>nacalculatie</w:t>
            </w:r>
            <w:proofErr w:type="spellEnd"/>
          </w:p>
        </w:tc>
        <w:tc>
          <w:tcPr>
            <w:tcW w:w="700"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00B311DF" w:rsidP="002E055D" w:rsidRDefault="00B311DF" w14:paraId="11A21285" w14:textId="77777777">
            <w:pPr>
              <w:spacing w:line="240" w:lineRule="auto"/>
              <w:jc w:val="right"/>
              <w:rPr>
                <w:rFonts w:eastAsia="Times New Roman" w:cs="Calibri"/>
                <w:sz w:val="16"/>
                <w:szCs w:val="16"/>
                <w:lang w:val="en-US"/>
              </w:rPr>
            </w:pPr>
            <w:r>
              <w:rPr>
                <w:rFonts w:eastAsia="Times New Roman" w:cs="Calibri"/>
                <w:sz w:val="16"/>
                <w:szCs w:val="16"/>
                <w:lang w:val="en-US"/>
              </w:rPr>
              <w:t>45</w:t>
            </w:r>
          </w:p>
        </w:tc>
        <w:tc>
          <w:tcPr>
            <w:tcW w:w="700"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00B311DF" w:rsidP="002E055D" w:rsidRDefault="00B311DF" w14:paraId="11AD29D9" w14:textId="77777777">
            <w:pPr>
              <w:spacing w:line="240" w:lineRule="auto"/>
              <w:jc w:val="right"/>
              <w:rPr>
                <w:rFonts w:eastAsia="Times New Roman" w:cs="Calibri"/>
                <w:sz w:val="16"/>
                <w:szCs w:val="16"/>
                <w:lang w:val="en-US"/>
              </w:rPr>
            </w:pPr>
            <w:r>
              <w:rPr>
                <w:rFonts w:eastAsia="Times New Roman" w:cs="Calibri"/>
                <w:sz w:val="16"/>
                <w:szCs w:val="16"/>
                <w:lang w:val="en-US"/>
              </w:rPr>
              <w:t>87</w:t>
            </w:r>
          </w:p>
        </w:tc>
        <w:tc>
          <w:tcPr>
            <w:tcW w:w="830"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00B311DF" w:rsidP="002E055D" w:rsidRDefault="00B311DF" w14:paraId="3B2B1FC8" w14:textId="77777777">
            <w:pPr>
              <w:spacing w:line="240" w:lineRule="auto"/>
              <w:jc w:val="right"/>
              <w:rPr>
                <w:rFonts w:eastAsia="Times New Roman" w:cs="Calibri"/>
                <w:sz w:val="16"/>
                <w:szCs w:val="16"/>
                <w:lang w:val="en-US"/>
              </w:rPr>
            </w:pPr>
            <w:r>
              <w:rPr>
                <w:rFonts w:eastAsia="Times New Roman" w:cs="Calibri"/>
                <w:sz w:val="16"/>
                <w:szCs w:val="16"/>
                <w:lang w:val="en-US"/>
              </w:rPr>
              <w:t>-556</w:t>
            </w:r>
          </w:p>
        </w:tc>
        <w:tc>
          <w:tcPr>
            <w:tcW w:w="761"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00B311DF" w:rsidP="002E055D" w:rsidRDefault="00B311DF" w14:paraId="006F0D1C" w14:textId="77777777">
            <w:pPr>
              <w:spacing w:line="240" w:lineRule="auto"/>
              <w:jc w:val="right"/>
              <w:rPr>
                <w:rFonts w:eastAsia="Times New Roman" w:cs="Calibri"/>
                <w:sz w:val="16"/>
                <w:szCs w:val="16"/>
                <w:lang w:val="en-US"/>
              </w:rPr>
            </w:pPr>
            <w:r>
              <w:rPr>
                <w:rFonts w:eastAsia="Times New Roman" w:cs="Calibri"/>
                <w:sz w:val="16"/>
                <w:szCs w:val="16"/>
                <w:lang w:val="en-US"/>
              </w:rPr>
              <w:t>216</w:t>
            </w:r>
          </w:p>
        </w:tc>
        <w:tc>
          <w:tcPr>
            <w:tcW w:w="729" w:type="dxa"/>
            <w:tcBorders>
              <w:top w:val="single" w:color="E8E8E8" w:themeColor="background2" w:sz="2" w:space="0"/>
              <w:left w:val="single" w:color="E8E8E8" w:themeColor="background2" w:sz="2" w:space="0"/>
              <w:bottom w:val="nil"/>
              <w:right w:val="nil"/>
            </w:tcBorders>
            <w:vAlign w:val="bottom"/>
            <w:hideMark/>
          </w:tcPr>
          <w:p w:rsidR="00B311DF" w:rsidP="002E055D" w:rsidRDefault="00B311DF" w14:paraId="3F56894B" w14:textId="77777777">
            <w:pPr>
              <w:spacing w:line="240" w:lineRule="auto"/>
              <w:jc w:val="right"/>
              <w:rPr>
                <w:rFonts w:eastAsia="Times New Roman" w:cs="Calibri"/>
                <w:sz w:val="16"/>
                <w:szCs w:val="16"/>
                <w:lang w:val="en-US"/>
              </w:rPr>
            </w:pPr>
            <w:r w:rsidRPr="00401B63">
              <w:rPr>
                <w:sz w:val="16"/>
                <w:szCs w:val="16"/>
              </w:rPr>
              <w:t>697</w:t>
            </w:r>
          </w:p>
        </w:tc>
        <w:tc>
          <w:tcPr>
            <w:tcW w:w="830" w:type="dxa"/>
            <w:tcBorders>
              <w:top w:val="single" w:color="E8E8E8" w:themeColor="background2" w:sz="2" w:space="0"/>
              <w:left w:val="single" w:color="E8E8E8" w:themeColor="background2" w:sz="2" w:space="0"/>
              <w:bottom w:val="nil"/>
              <w:right w:val="nil"/>
            </w:tcBorders>
            <w:vAlign w:val="bottom"/>
          </w:tcPr>
          <w:p w:rsidR="00B311DF" w:rsidP="002E055D" w:rsidRDefault="00B311DF" w14:paraId="75DDDCD5" w14:textId="77777777">
            <w:pPr>
              <w:spacing w:line="240" w:lineRule="auto"/>
              <w:jc w:val="right"/>
              <w:rPr>
                <w:rFonts w:eastAsia="Times New Roman" w:cs="Calibri"/>
                <w:sz w:val="16"/>
                <w:szCs w:val="16"/>
                <w:lang w:val="en-US"/>
              </w:rPr>
            </w:pPr>
            <w:r>
              <w:rPr>
                <w:sz w:val="16"/>
                <w:szCs w:val="16"/>
              </w:rPr>
              <w:t>108</w:t>
            </w:r>
          </w:p>
        </w:tc>
      </w:tr>
      <w:bookmarkEnd w:id="3"/>
    </w:tbl>
    <w:p w:rsidRPr="00B311DF" w:rsidR="0090611E" w:rsidP="00B311DF" w:rsidRDefault="0090611E" w14:paraId="1F648758" w14:textId="77777777"/>
    <w:sectPr w:rsidRPr="00B311DF" w:rsidR="0090611E" w:rsidSect="003507D9">
      <w:headerReference w:type="default" r:id="rId7"/>
      <w:headerReference w:type="first" r:id="rId8"/>
      <w:pgSz w:w="11905" w:h="16837"/>
      <w:pgMar w:top="2948" w:right="2834" w:bottom="1020" w:left="1587"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A401F" w14:textId="77777777" w:rsidR="003F33CB" w:rsidRDefault="003F33CB">
      <w:pPr>
        <w:spacing w:line="240" w:lineRule="auto"/>
      </w:pPr>
      <w:r>
        <w:separator/>
      </w:r>
    </w:p>
  </w:endnote>
  <w:endnote w:type="continuationSeparator" w:id="0">
    <w:p w14:paraId="72D82052" w14:textId="77777777" w:rsidR="003F33CB" w:rsidRDefault="003F33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FC4E6" w14:textId="77777777" w:rsidR="003F33CB" w:rsidRDefault="003F33CB">
      <w:pPr>
        <w:spacing w:line="240" w:lineRule="auto"/>
      </w:pPr>
      <w:r>
        <w:separator/>
      </w:r>
    </w:p>
  </w:footnote>
  <w:footnote w:type="continuationSeparator" w:id="0">
    <w:p w14:paraId="5B71ED32" w14:textId="77777777" w:rsidR="003F33CB" w:rsidRDefault="003F33CB">
      <w:pPr>
        <w:spacing w:line="240" w:lineRule="auto"/>
      </w:pPr>
      <w:r>
        <w:continuationSeparator/>
      </w:r>
    </w:p>
  </w:footnote>
  <w:footnote w:id="1">
    <w:p w14:paraId="0B376932" w14:textId="77777777" w:rsidR="00B311DF" w:rsidRPr="00900948" w:rsidRDefault="00B311DF" w:rsidP="00B311DF">
      <w:pPr>
        <w:pStyle w:val="Voetnoottekst"/>
        <w:rPr>
          <w:lang w:val="nl-NL"/>
        </w:rPr>
      </w:pPr>
      <w:r w:rsidRPr="00900948">
        <w:rPr>
          <w:rStyle w:val="Voetnootmarkering"/>
          <w:sz w:val="16"/>
          <w:szCs w:val="16"/>
        </w:rPr>
        <w:footnoteRef/>
      </w:r>
      <w:r w:rsidRPr="00900948">
        <w:rPr>
          <w:sz w:val="16"/>
          <w:szCs w:val="16"/>
          <w:lang w:val="nl-NL"/>
        </w:rPr>
        <w:t xml:space="preserve"> Een voorbehoud is een onderdeel van de </w:t>
      </w:r>
      <w:proofErr w:type="spellStart"/>
      <w:r>
        <w:rPr>
          <w:sz w:val="16"/>
          <w:szCs w:val="16"/>
          <w:lang w:val="nl-NL"/>
        </w:rPr>
        <w:t>bni</w:t>
      </w:r>
      <w:proofErr w:type="spellEnd"/>
      <w:r w:rsidRPr="00900948">
        <w:rPr>
          <w:sz w:val="16"/>
          <w:szCs w:val="16"/>
          <w:lang w:val="nl-NL"/>
        </w:rPr>
        <w:t xml:space="preserve"> berekening, waarover de Europese </w:t>
      </w:r>
      <w:r>
        <w:rPr>
          <w:sz w:val="16"/>
          <w:szCs w:val="16"/>
          <w:lang w:val="nl-NL"/>
        </w:rPr>
        <w:t>C</w:t>
      </w:r>
      <w:r w:rsidRPr="00900948">
        <w:rPr>
          <w:sz w:val="16"/>
          <w:szCs w:val="16"/>
          <w:lang w:val="nl-NL"/>
        </w:rPr>
        <w:t xml:space="preserve">ommissie een lidstaat officieel heeft geïnformeerd dat zij twijfels heeft over de juistheid van dit onderdeel. De lidstaat (het statistisch bureau) heeft vervolgens de wettelijke plicht ofwel om te laten zien dat het onderdeel wel juist is ofwel om dit onderdeel te verbeteren. Voorbehouden worden geplaatst om te voorkomen dat de </w:t>
      </w:r>
      <w:proofErr w:type="spellStart"/>
      <w:r>
        <w:rPr>
          <w:sz w:val="16"/>
          <w:szCs w:val="16"/>
          <w:lang w:val="nl-NL"/>
        </w:rPr>
        <w:t>bni</w:t>
      </w:r>
      <w:proofErr w:type="spellEnd"/>
      <w:r>
        <w:rPr>
          <w:sz w:val="16"/>
          <w:szCs w:val="16"/>
          <w:lang w:val="nl-NL"/>
        </w:rPr>
        <w:t xml:space="preserve"> cijfers</w:t>
      </w:r>
      <w:r w:rsidRPr="00900948">
        <w:rPr>
          <w:sz w:val="16"/>
          <w:szCs w:val="16"/>
          <w:lang w:val="nl-NL"/>
        </w:rPr>
        <w:t xml:space="preserve"> na vier jaar definitief worden vastgesteld, terwijl er nog vragen zijn over de juistheid van onderdelen hiervan.</w:t>
      </w:r>
    </w:p>
  </w:footnote>
  <w:footnote w:id="2">
    <w:p w14:paraId="67CB4BC6" w14:textId="77777777" w:rsidR="00B311DF" w:rsidRPr="00353FC6" w:rsidRDefault="00B311DF" w:rsidP="00B311DF">
      <w:pPr>
        <w:pStyle w:val="Voetnoottekst"/>
        <w:rPr>
          <w:rFonts w:eastAsia="DejaVu Sans" w:cs="Lohit Hindi"/>
          <w:sz w:val="16"/>
          <w:szCs w:val="16"/>
          <w:lang w:val="nl-NL"/>
        </w:rPr>
      </w:pPr>
      <w:r w:rsidRPr="00353FC6">
        <w:rPr>
          <w:rStyle w:val="Voetnootmarkering"/>
          <w:sz w:val="16"/>
          <w:szCs w:val="16"/>
        </w:rPr>
        <w:footnoteRef/>
      </w:r>
      <w:r w:rsidRPr="00353FC6">
        <w:rPr>
          <w:sz w:val="16"/>
          <w:szCs w:val="16"/>
          <w:lang w:val="nl-NL"/>
        </w:rPr>
        <w:t xml:space="preserve"> </w:t>
      </w:r>
      <w:proofErr w:type="gramStart"/>
      <w:r w:rsidRPr="00353FC6">
        <w:rPr>
          <w:sz w:val="16"/>
          <w:szCs w:val="16"/>
          <w:lang w:val="nl-NL"/>
        </w:rPr>
        <w:t>https://www.cbs.nl/-/media/_pdf/2025/03/gni_summary_report_on_quality_2024.pdf</w:t>
      </w:r>
      <w:proofErr w:type="gramEnd"/>
    </w:p>
  </w:footnote>
  <w:footnote w:id="3">
    <w:p w14:paraId="7D26D600" w14:textId="77777777" w:rsidR="00B311DF" w:rsidRPr="00D3110A" w:rsidRDefault="00B311DF" w:rsidP="00B311DF">
      <w:pPr>
        <w:pStyle w:val="Voetnoottekst"/>
        <w:rPr>
          <w:sz w:val="16"/>
          <w:szCs w:val="16"/>
          <w:lang w:val="nl-NL"/>
        </w:rPr>
      </w:pPr>
      <w:r w:rsidRPr="00D3110A">
        <w:rPr>
          <w:rStyle w:val="Voetnootmarkering"/>
          <w:sz w:val="16"/>
          <w:szCs w:val="16"/>
        </w:rPr>
        <w:footnoteRef/>
      </w:r>
      <w:r w:rsidRPr="00D3110A">
        <w:rPr>
          <w:sz w:val="16"/>
          <w:szCs w:val="16"/>
          <w:lang w:val="nl-NL"/>
        </w:rPr>
        <w:t xml:space="preserve"> Vanaf dit jaar is voor het eerst ook de plastic-afdracht meegenomen in de nacalculatie.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AED9" w14:textId="77777777" w:rsidR="0090611E" w:rsidRDefault="003507D9">
    <w:r>
      <w:rPr>
        <w:noProof/>
      </w:rPr>
      <w:drawing>
        <wp:anchor distT="0" distB="0" distL="114300" distR="114300" simplePos="0" relativeHeight="251665408" behindDoc="0" locked="0" layoutInCell="1" allowOverlap="1" wp14:anchorId="2C9CA654" wp14:editId="10A5AA6D">
          <wp:simplePos x="0" y="0"/>
          <wp:positionH relativeFrom="margin">
            <wp:posOffset>2854325</wp:posOffset>
          </wp:positionH>
          <wp:positionV relativeFrom="margin">
            <wp:posOffset>-2225040</wp:posOffset>
          </wp:positionV>
          <wp:extent cx="2339975" cy="1582420"/>
          <wp:effectExtent l="0" t="0" r="3175" b="0"/>
          <wp:wrapSquare wrapText="bothSides"/>
          <wp:docPr id="7"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7" name="Woordmerk_MinFin"/>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420"/>
                  </a:xfrm>
                  <a:prstGeom prst="rect">
                    <a:avLst/>
                  </a:prstGeom>
                </pic:spPr>
              </pic:pic>
            </a:graphicData>
          </a:graphic>
        </wp:anchor>
      </w:drawing>
    </w:r>
    <w:r>
      <w:rPr>
        <w:noProof/>
      </w:rPr>
      <w:drawing>
        <wp:anchor distT="0" distB="0" distL="114300" distR="114300" simplePos="0" relativeHeight="251664384" behindDoc="0" locked="0" layoutInCell="1" allowOverlap="1" wp14:anchorId="3E87DD22" wp14:editId="7D3B2A67">
          <wp:simplePos x="0" y="0"/>
          <wp:positionH relativeFrom="margin">
            <wp:posOffset>2389505</wp:posOffset>
          </wp:positionH>
          <wp:positionV relativeFrom="margin">
            <wp:posOffset>-1882140</wp:posOffset>
          </wp:positionV>
          <wp:extent cx="467995" cy="1583690"/>
          <wp:effectExtent l="0" t="0" r="8255" b="0"/>
          <wp:wrapSquare wrapText="bothSides"/>
          <wp:docPr id="5" name="Rijkslint"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690"/>
                  </a:xfrm>
                  <a:prstGeom prst="rect">
                    <a:avLst/>
                  </a:prstGeom>
                </pic:spPr>
              </pic:pic>
            </a:graphicData>
          </a:graphic>
        </wp:anchor>
      </w:drawing>
    </w:r>
    <w:r w:rsidR="00A27F19">
      <w:rPr>
        <w:noProof/>
      </w:rPr>
      <mc:AlternateContent>
        <mc:Choice Requires="wps">
          <w:drawing>
            <wp:anchor distT="0" distB="0" distL="0" distR="0" simplePos="0" relativeHeight="251653120" behindDoc="0" locked="1" layoutInCell="1" allowOverlap="1" wp14:anchorId="61D6B571" wp14:editId="04FB8BFE">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C89F66" w14:textId="77777777" w:rsidR="00D70959" w:rsidRDefault="00D36BE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type w14:anchorId="61D6B571" id="_x0000_t202" coordsize="21600,21600" o:spt="202" path="m,l,21600r21600,l21600,xe">
              <v:stroke joinstyle="miter"/>
              <v:path gradientshapeok="t" o:connecttype="rect"/>
            </v:shapetype>
            <v:shape id="bd4a94a5-03a6-11ee-8f29-0242ac130005" o:spid="_x0000_s1026"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" filled="f" stroked="f">
              <v:textbox inset="0,0,0,0">
                <w:txbxContent>
                  <w:p w14:paraId="73C89F66" w14:textId="77777777" w:rsidR="00D70959" w:rsidRDefault="00D36BE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sidR="00A27F19">
      <w:rPr>
        <w:noProof/>
      </w:rPr>
      <mc:AlternateContent>
        <mc:Choice Requires="wps">
          <w:drawing>
            <wp:anchor distT="0" distB="0" distL="0" distR="0" simplePos="0" relativeHeight="251654144" behindDoc="0" locked="1" layoutInCell="1" allowOverlap="1" wp14:anchorId="41363DE1" wp14:editId="58F0B9D4">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DC7B58C" w14:textId="1E7F5898" w:rsidR="00D70959" w:rsidRDefault="00D36BE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1363DE1" id="bd5d94d9-03a6-11ee-8f29-0242ac130005" o:spid="_x0000_s1027"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" filled="f" stroked="f">
              <v:textbox inset="0,0,0,0">
                <w:txbxContent>
                  <w:p w14:paraId="4DC7B58C" w14:textId="1E7F5898" w:rsidR="00D70959" w:rsidRDefault="00D36BE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B01E" w14:textId="77777777" w:rsidR="0090611E" w:rsidRDefault="00A27F19">
    <w:pPr>
      <w:spacing w:after="7029" w:line="14" w:lineRule="exact"/>
    </w:pPr>
    <w:r>
      <w:rPr>
        <w:noProof/>
      </w:rPr>
      <mc:AlternateContent>
        <mc:Choice Requires="wps">
          <w:drawing>
            <wp:anchor distT="0" distB="0" distL="0" distR="0" simplePos="0" relativeHeight="251656192" behindDoc="0" locked="1" layoutInCell="1" allowOverlap="1" wp14:anchorId="2615D2BC" wp14:editId="2E422C2C">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C09A6AA" w14:textId="77777777" w:rsidR="00A27F19" w:rsidRDefault="00A27F19"/>
                      </w:txbxContent>
                    </wps:txbx>
                    <wps:bodyPr vert="horz" wrap="square" lIns="0" tIns="0" rIns="0" bIns="0" anchor="t" anchorCtr="0"/>
                  </wps:wsp>
                </a:graphicData>
              </a:graphic>
            </wp:anchor>
          </w:drawing>
        </mc:Choice>
        <mc:Fallback>
          <w:pict>
            <v:shapetype w14:anchorId="2615D2BC" id="_x0000_t202" coordsize="21600,21600" o:spt="202" path="m,l,21600r21600,l21600,xe">
              <v:stroke joinstyle="miter"/>
              <v:path gradientshapeok="t" o:connecttype="rect"/>
            </v:shapetype>
            <v:shape id="bd5d5767-03a6-11ee-8f29-0242ac130005" o:spid="_x0000_s1028"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Dy3ZA7lQEAABQDAAAO&#10;AAAAAAAAAAAAAAAAAC4CAABkcnMvZTJvRG9jLnhtbFBLAQItABQABgAIAAAAIQAu6ZuM3gAAAAgB&#10;AAAPAAAAAAAAAAAAAAAAAO8DAABkcnMvZG93bnJldi54bWxQSwUGAAAAAAQABADzAAAA+gQAAAAA&#10;" filled="f" stroked="f">
              <v:textbox inset="0,0,0,0">
                <w:txbxContent>
                  <w:p w14:paraId="0C09A6AA" w14:textId="77777777" w:rsidR="00A27F19" w:rsidRDefault="00A27F19"/>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BA55E77" wp14:editId="5225C3D6">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0F43C44" w14:textId="77777777" w:rsidR="00D70959" w:rsidRDefault="00D36BE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BA55E77" id="bd4a9275-03a6-11ee-8f29-0242ac130005" o:spid="_x0000_s1029"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35DrnZMBAAAUAwAA&#10;DgAAAAAAAAAAAAAAAAAuAgAAZHJzL2Uyb0RvYy54bWxQSwECLQAUAAYACAAAACEAOuLU7eEAAAAO&#10;AQAADwAAAAAAAAAAAAAAAADtAwAAZHJzL2Rvd25yZXYueG1sUEsFBgAAAAAEAAQA8wAAAPsEAAAA&#10;AA==&#10;" filled="f" stroked="f">
              <v:textbox inset="0,0,0,0">
                <w:txbxContent>
                  <w:p w14:paraId="10F43C44" w14:textId="77777777" w:rsidR="00D70959" w:rsidRDefault="00D36BE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DD6C2F6" wp14:editId="0301FF28">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C31C78C" w14:textId="5B0F11D5" w:rsidR="00D70959" w:rsidRDefault="00D36BE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DD6C2F6" id="bd5d814d-03a6-11ee-8f29-0242ac130005" o:spid="_x0000_s1030"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" filled="f" stroked="f">
              <v:textbox inset="0,0,0,0">
                <w:txbxContent>
                  <w:p w14:paraId="3C31C78C" w14:textId="5B0F11D5" w:rsidR="00D70959" w:rsidRDefault="00D36BE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EA66650" wp14:editId="50B0018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7A7CAAC" w14:textId="77777777" w:rsidR="00A27F19" w:rsidRDefault="00A27F19"/>
                      </w:txbxContent>
                    </wps:txbx>
                    <wps:bodyPr vert="horz" wrap="square" lIns="0" tIns="0" rIns="0" bIns="0" anchor="t" anchorCtr="0"/>
                  </wps:wsp>
                </a:graphicData>
              </a:graphic>
            </wp:anchor>
          </w:drawing>
        </mc:Choice>
        <mc:Fallback>
          <w:pict>
            <v:shape w14:anchorId="7EA66650" id="bd5a43b8-03a6-11ee-8f29-0242ac130005" o:spid="_x0000_s1031"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" filled="f" stroked="f">
              <v:textbox inset="0,0,0,0">
                <w:txbxContent>
                  <w:p w14:paraId="77A7CAAC" w14:textId="77777777" w:rsidR="00A27F19" w:rsidRDefault="00A27F1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893692"/>
    <w:multiLevelType w:val="multilevel"/>
    <w:tmpl w:val="6083F51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E7017A"/>
    <w:multiLevelType w:val="multilevel"/>
    <w:tmpl w:val="C8E5CE9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3275E2"/>
    <w:multiLevelType w:val="multilevel"/>
    <w:tmpl w:val="CF783D8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27189F"/>
    <w:multiLevelType w:val="multilevel"/>
    <w:tmpl w:val="36EDE1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8ADEEF6"/>
    <w:multiLevelType w:val="multilevel"/>
    <w:tmpl w:val="4DC38C0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AD746E"/>
    <w:multiLevelType w:val="multilevel"/>
    <w:tmpl w:val="EE31F06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29840357">
    <w:abstractNumId w:val="1"/>
  </w:num>
  <w:num w:numId="2" w16cid:durableId="1752923865">
    <w:abstractNumId w:val="4"/>
  </w:num>
  <w:num w:numId="3" w16cid:durableId="387994608">
    <w:abstractNumId w:val="3"/>
  </w:num>
  <w:num w:numId="4" w16cid:durableId="2146505275">
    <w:abstractNumId w:val="5"/>
  </w:num>
  <w:num w:numId="5" w16cid:durableId="184029251">
    <w:abstractNumId w:val="2"/>
  </w:num>
  <w:num w:numId="6" w16cid:durableId="203931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11E"/>
    <w:rsid w:val="00052801"/>
    <w:rsid w:val="000B2F88"/>
    <w:rsid w:val="00100C73"/>
    <w:rsid w:val="0013166D"/>
    <w:rsid w:val="002E38C8"/>
    <w:rsid w:val="003507D9"/>
    <w:rsid w:val="003F33CB"/>
    <w:rsid w:val="004673B8"/>
    <w:rsid w:val="004A4091"/>
    <w:rsid w:val="0069776B"/>
    <w:rsid w:val="007027F0"/>
    <w:rsid w:val="00727082"/>
    <w:rsid w:val="00752AA0"/>
    <w:rsid w:val="00784F88"/>
    <w:rsid w:val="008C2CB8"/>
    <w:rsid w:val="0090611E"/>
    <w:rsid w:val="009223A8"/>
    <w:rsid w:val="00937DB5"/>
    <w:rsid w:val="00A229DB"/>
    <w:rsid w:val="00A27F19"/>
    <w:rsid w:val="00B06C58"/>
    <w:rsid w:val="00B311DF"/>
    <w:rsid w:val="00CC48B4"/>
    <w:rsid w:val="00D36BE1"/>
    <w:rsid w:val="00D70959"/>
    <w:rsid w:val="00DE1ABA"/>
    <w:rsid w:val="00E30F83"/>
    <w:rsid w:val="00F35169"/>
    <w:rsid w:val="00F51D88"/>
    <w:rsid w:val="00FA4462"/>
    <w:rsid w:val="159644AE"/>
    <w:rsid w:val="4AB87A03"/>
    <w:rsid w:val="792190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15779"/>
  <w15:docId w15:val="{5D0D1EAB-D32F-4563-8FA4-F34B5C11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tabs>
        <w:tab w:val="num" w:pos="360"/>
      </w:tabs>
      <w:ind w:left="0" w:firstLine="0"/>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A27F1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7F19"/>
    <w:rPr>
      <w:rFonts w:ascii="Verdana" w:hAnsi="Verdana"/>
      <w:color w:val="000000"/>
      <w:sz w:val="18"/>
      <w:szCs w:val="18"/>
    </w:rPr>
  </w:style>
  <w:style w:type="paragraph" w:styleId="Voettekst">
    <w:name w:val="footer"/>
    <w:basedOn w:val="Standaard"/>
    <w:link w:val="VoettekstChar"/>
    <w:uiPriority w:val="99"/>
    <w:unhideWhenUsed/>
    <w:rsid w:val="00A27F1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7F19"/>
    <w:rPr>
      <w:rFonts w:ascii="Verdana" w:hAnsi="Verdana"/>
      <w:color w:val="000000"/>
      <w:sz w:val="18"/>
      <w:szCs w:val="18"/>
    </w:rPr>
  </w:style>
  <w:style w:type="paragraph" w:styleId="Voetnoottekst">
    <w:name w:val="footnote text"/>
    <w:basedOn w:val="Standaard"/>
    <w:link w:val="VoetnoottekstChar"/>
    <w:uiPriority w:val="99"/>
    <w:unhideWhenUsed/>
    <w:qFormat/>
    <w:rsid w:val="00A27F19"/>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A27F19"/>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qFormat/>
    <w:rsid w:val="00A27F19"/>
    <w:rPr>
      <w:vertAlign w:val="superscript"/>
    </w:rPr>
  </w:style>
  <w:style w:type="paragraph" w:styleId="Revisie">
    <w:name w:val="Revision"/>
    <w:hidden/>
    <w:uiPriority w:val="99"/>
    <w:semiHidden/>
    <w:rsid w:val="0072708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605</ap:Words>
  <ap:Characters>3329</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aan Eerste of Tweede Kamer - Europese jaarbegroting 2026, inzet Ecofin-begrotingsraad en de derde aanvullende Europese begroting 2025</vt:lpstr>
    </vt:vector>
  </ap:TitlesOfParts>
  <ap:LinksUpToDate>false</ap:LinksUpToDate>
  <ap:CharactersWithSpaces>3927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2026-03-04T10:22:00.0000000Z</dcterms:created>
  <dcterms:modified xsi:type="dcterms:W3CDTF">2026-03-04T10:22:00.0000000Z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Europese jaarbegroting 2026, inzet Ecofin-begrotingsraad en de derde aanvullende Europese begroting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24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2026-0000055738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Europese jaarbegroting 2026, inzet Ecofin-begrotingsraad en de derde aanvullende Europese begroting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2025-10-24T13:54:32Z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78a2d432-e0f9-43e6-8969-305bf8282e72</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