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A25" w:rsidRDefault="00AA5E52" w14:paraId="485733EF" w14:textId="77777777">
      <w:pPr>
        <w:pStyle w:val="StandaardAanhef"/>
      </w:pPr>
      <w:r>
        <w:t>Geachte voorzitter,</w:t>
      </w:r>
    </w:p>
    <w:p w:rsidR="00477DE6" w:rsidRDefault="00BD704A" w14:paraId="54703A94" w14:textId="77777777">
      <w:r>
        <w:t xml:space="preserve">Tijdens het debat </w:t>
      </w:r>
      <w:r w:rsidR="000A7452">
        <w:t xml:space="preserve">van 27 mei 2025 </w:t>
      </w:r>
      <w:r>
        <w:t xml:space="preserve">over het verbod op contante betalingen </w:t>
      </w:r>
      <w:r w:rsidR="000A7452">
        <w:t xml:space="preserve">boven de € 3000 </w:t>
      </w:r>
      <w:r>
        <w:t xml:space="preserve">heb ik aan </w:t>
      </w:r>
      <w:r w:rsidR="000A7452">
        <w:t>u</w:t>
      </w:r>
      <w:r>
        <w:t>w Kamer toegezegd om</w:t>
      </w:r>
      <w:r w:rsidR="00B8041D">
        <w:t xml:space="preserve"> samen met de toezichthouder</w:t>
      </w:r>
      <w:r w:rsidR="003469D2">
        <w:t xml:space="preserve">, </w:t>
      </w:r>
      <w:r w:rsidR="000A7452">
        <w:t xml:space="preserve">de </w:t>
      </w:r>
      <w:r w:rsidR="003469D2">
        <w:t>Dienst Financieel Economische Integriteit (DFEI),</w:t>
      </w:r>
      <w:r w:rsidR="00B8041D">
        <w:t xml:space="preserve"> in gesprek te gaan met de sector om te</w:t>
      </w:r>
      <w:r>
        <w:t xml:space="preserve"> kijken naar mogelijke uitzonderingen in het toezicht op dit verbod voor exporterende sectoren. </w:t>
      </w:r>
      <w:r w:rsidR="003469D2">
        <w:t xml:space="preserve">Deze gesprekken hebben </w:t>
      </w:r>
      <w:r w:rsidR="00B90377">
        <w:t>dit najaar</w:t>
      </w:r>
      <w:r w:rsidR="003469D2">
        <w:t xml:space="preserve"> plaatsgevonden. </w:t>
      </w:r>
      <w:r>
        <w:t xml:space="preserve">In deze brief informeer ik u </w:t>
      </w:r>
      <w:r w:rsidR="00B90377">
        <w:t>over de uitkomst</w:t>
      </w:r>
      <w:r w:rsidR="00EC31E0">
        <w:t xml:space="preserve">. </w:t>
      </w:r>
    </w:p>
    <w:p w:rsidR="000D5E52" w:rsidRDefault="000D5E52" w14:paraId="7084290A" w14:textId="77777777">
      <w:pPr>
        <w:rPr>
          <w:b/>
          <w:bCs/>
        </w:rPr>
      </w:pPr>
    </w:p>
    <w:p w:rsidR="0073110B" w:rsidRDefault="00B90377" w14:paraId="19274658" w14:textId="77777777">
      <w:r>
        <w:t xml:space="preserve">Tijdens het debat </w:t>
      </w:r>
      <w:r w:rsidR="000A7452">
        <w:t>uitten</w:t>
      </w:r>
      <w:r>
        <w:t xml:space="preserve"> enkele leden van uw Kamer hun zorgen over gevolgen van het verbod voor sectoren die handelen in het buitenland of met buitenlandse partijen. </w:t>
      </w:r>
      <w:r w:rsidR="000A7452">
        <w:t>In het debat noemde ik dat</w:t>
      </w:r>
      <w:r>
        <w:t xml:space="preserve"> de wettekst weinig ruimte </w:t>
      </w:r>
      <w:r w:rsidR="000A7452">
        <w:t xml:space="preserve">biedt </w:t>
      </w:r>
      <w:r>
        <w:t xml:space="preserve">voor uitzonderingen, maar </w:t>
      </w:r>
      <w:r w:rsidR="000A7452">
        <w:t>dat</w:t>
      </w:r>
      <w:r>
        <w:t xml:space="preserve"> ik met de toezichthouder </w:t>
      </w:r>
      <w:r w:rsidR="000A7452">
        <w:t xml:space="preserve">zou </w:t>
      </w:r>
      <w:r>
        <w:t>bezien wat er mogelijk was.</w:t>
      </w:r>
      <w:r w:rsidR="0073110B">
        <w:t xml:space="preserve"> </w:t>
      </w:r>
      <w:r w:rsidR="000A7452">
        <w:t>Daarbij benadrukte ik</w:t>
      </w:r>
      <w:r w:rsidR="0073110B">
        <w:t xml:space="preserve"> de balans tussen enerzijds het </w:t>
      </w:r>
      <w:r w:rsidR="000A7452">
        <w:t>mitigeren</w:t>
      </w:r>
      <w:r w:rsidR="0073110B">
        <w:t xml:space="preserve"> van witwasrisico’s en anderzijds de last die ondernemers door deze wetgeving ervaren.</w:t>
      </w:r>
    </w:p>
    <w:p w:rsidR="0073110B" w:rsidRDefault="0073110B" w14:paraId="12C24C0E" w14:textId="77777777"/>
    <w:p w:rsidR="00397547" w:rsidRDefault="000D5E52" w14:paraId="42EC5D66" w14:textId="77777777">
      <w:r>
        <w:t xml:space="preserve">Bij </w:t>
      </w:r>
      <w:r w:rsidR="00397547">
        <w:t>de verkenning naar</w:t>
      </w:r>
      <w:r>
        <w:t xml:space="preserve"> mogelijke uitzonderingen </w:t>
      </w:r>
      <w:r w:rsidR="000A7452">
        <w:t>zijn</w:t>
      </w:r>
      <w:r>
        <w:t xml:space="preserve"> </w:t>
      </w:r>
      <w:r w:rsidR="0073110B">
        <w:t xml:space="preserve">daarom </w:t>
      </w:r>
      <w:r>
        <w:t xml:space="preserve">drie overwegingen meegenomen. Ten eerste </w:t>
      </w:r>
      <w:r w:rsidR="003F59EF">
        <w:t>dat</w:t>
      </w:r>
      <w:r>
        <w:t xml:space="preserve"> het doel en de strekking van de maatregel, namelijk het voorkomen van witwassen, niet ondermijnd </w:t>
      </w:r>
      <w:r w:rsidR="003F59EF">
        <w:t xml:space="preserve">mag </w:t>
      </w:r>
      <w:r w:rsidR="00EC31E0">
        <w:t>worden</w:t>
      </w:r>
      <w:r>
        <w:t xml:space="preserve">. Ten tweede moet de handhaafbaarheid van de maatregel geborgd blijven. </w:t>
      </w:r>
      <w:r w:rsidR="00B90377">
        <w:t xml:space="preserve">Tot slot </w:t>
      </w:r>
      <w:r>
        <w:t xml:space="preserve">moet de uitzondering aansluiten bij de Europese limiet op contante betalingen </w:t>
      </w:r>
      <w:r w:rsidR="00EC31E0">
        <w:t>die op 10 juli 2027 in</w:t>
      </w:r>
      <w:r w:rsidR="000A7452">
        <w:t xml:space="preserve"> </w:t>
      </w:r>
      <w:r w:rsidR="00EC31E0">
        <w:t>werking treedt</w:t>
      </w:r>
      <w:r w:rsidR="003F59EF">
        <w:t>, om te voorkomen dat regels kort na elkaar weer wijzigen</w:t>
      </w:r>
      <w:r w:rsidR="00EC31E0">
        <w:t xml:space="preserve">. </w:t>
      </w:r>
    </w:p>
    <w:p w:rsidR="00397547" w:rsidRDefault="00397547" w14:paraId="00C7E142" w14:textId="77777777"/>
    <w:p w:rsidRPr="000D5E52" w:rsidR="00397547" w:rsidP="00397547" w:rsidRDefault="00397547" w14:paraId="0F19543B" w14:textId="77777777">
      <w:pPr>
        <w:rPr>
          <w:b/>
          <w:bCs/>
        </w:rPr>
      </w:pPr>
      <w:r>
        <w:rPr>
          <w:b/>
          <w:bCs/>
        </w:rPr>
        <w:t>Uitzondering voor aankopen buiten de Europese Unie</w:t>
      </w:r>
    </w:p>
    <w:p w:rsidR="000D5E52" w:rsidRDefault="000A7452" w14:paraId="59C11833" w14:textId="77777777">
      <w:bookmarkStart w:name="_Hlk222833026" w:id="0"/>
      <w:r>
        <w:t xml:space="preserve">Dit leidde tot de conclusie dat een </w:t>
      </w:r>
      <w:r w:rsidR="00397547">
        <w:t xml:space="preserve">beperkte uitzondering kan worden </w:t>
      </w:r>
      <w:r>
        <w:t xml:space="preserve">gemaakt voor </w:t>
      </w:r>
      <w:r w:rsidR="00397547">
        <w:t xml:space="preserve">aankopen buiten de Europese Unie. In deze gevallen is redelijkerwijs te veronderstellen dat alternatieven niet ter plaatse voor handen zijn en is het witwasrisico lager omdat het aankopen betreft. De toezichthouder </w:t>
      </w:r>
      <w:r>
        <w:t>acht zo’n uitzondering</w:t>
      </w:r>
      <w:r w:rsidR="00397547">
        <w:t xml:space="preserve"> handhaafbaar</w:t>
      </w:r>
      <w:r w:rsidR="00683A0B">
        <w:t xml:space="preserve"> en </w:t>
      </w:r>
      <w:r w:rsidR="00781F58">
        <w:t>zal</w:t>
      </w:r>
      <w:r w:rsidRPr="00683A0B" w:rsidR="00683A0B">
        <w:t xml:space="preserve"> deze uitzondering in het toezicht hanteren.</w:t>
      </w:r>
      <w:r w:rsidR="00397547">
        <w:t xml:space="preserve"> </w:t>
      </w:r>
      <w:bookmarkEnd w:id="0"/>
      <w:r w:rsidR="00397547">
        <w:t>Bovendien sluit dit aan bij de toekomstige situatie als de Europese limiet gaat gelden</w:t>
      </w:r>
      <w:r>
        <w:t>,</w:t>
      </w:r>
      <w:r w:rsidR="00397547">
        <w:t xml:space="preserve"> omdat deze alleen binnen de grenzen van de EU van toepassing is. Een </w:t>
      </w:r>
      <w:r w:rsidR="00BC562C">
        <w:t xml:space="preserve">brede uitzondering voor specifieke goederen of sectoren zou in strijd zijn met doel van de maatregel, niet handhaafbaar zijn en niet goed aansluiten op de Europese </w:t>
      </w:r>
      <w:proofErr w:type="gramStart"/>
      <w:r w:rsidR="00BC562C">
        <w:lastRenderedPageBreak/>
        <w:t>limiet</w:t>
      </w:r>
      <w:proofErr w:type="gramEnd"/>
      <w:r w:rsidR="00BC562C">
        <w:t xml:space="preserve">. </w:t>
      </w:r>
      <w:r w:rsidR="00EC31E0">
        <w:t xml:space="preserve">In deze brief licht </w:t>
      </w:r>
      <w:r w:rsidR="00397547">
        <w:t>ik bovenstaande toe aan de hand van de gehanteerde</w:t>
      </w:r>
      <w:r w:rsidR="00EC31E0">
        <w:t xml:space="preserve"> overwegingen</w:t>
      </w:r>
      <w:r w:rsidR="00397547">
        <w:t>.</w:t>
      </w:r>
    </w:p>
    <w:p w:rsidR="00754A34" w:rsidRDefault="00754A34" w14:paraId="5FCA4DC8" w14:textId="77777777"/>
    <w:p w:rsidRPr="00633CAA" w:rsidR="00633CAA" w:rsidRDefault="00633CAA" w14:paraId="6F16CD5E" w14:textId="77777777">
      <w:pPr>
        <w:rPr>
          <w:b/>
          <w:bCs/>
        </w:rPr>
      </w:pPr>
      <w:r>
        <w:rPr>
          <w:b/>
          <w:bCs/>
        </w:rPr>
        <w:t>Het verbod op contante betalingen vanaf €</w:t>
      </w:r>
      <w:r w:rsidR="000647AC">
        <w:rPr>
          <w:b/>
          <w:bCs/>
        </w:rPr>
        <w:t> </w:t>
      </w:r>
      <w:r>
        <w:rPr>
          <w:b/>
          <w:bCs/>
        </w:rPr>
        <w:t>3.000</w:t>
      </w:r>
    </w:p>
    <w:p w:rsidR="005F1627" w:rsidRDefault="00754A34" w14:paraId="58D17593" w14:textId="77777777">
      <w:r>
        <w:t>Op 1 januari 2026 is het verbod op contante betalingen voor goederen vanaf €</w:t>
      </w:r>
      <w:r w:rsidR="000647AC">
        <w:t> </w:t>
      </w:r>
      <w:r>
        <w:t xml:space="preserve">3.000 </w:t>
      </w:r>
      <w:r w:rsidR="00EC31E0">
        <w:t>inwerking getreden</w:t>
      </w:r>
      <w:r>
        <w:t xml:space="preserve">. Dit verbod geldt voor handelaren die </w:t>
      </w:r>
      <w:r w:rsidR="00633CAA">
        <w:t>‘</w:t>
      </w:r>
      <w:r>
        <w:t>in of vanuit</w:t>
      </w:r>
      <w:r w:rsidR="00633CAA">
        <w:t>’</w:t>
      </w:r>
      <w:r>
        <w:t xml:space="preserve"> Nederland transacties verrichten.</w:t>
      </w:r>
      <w:r w:rsidR="003469D2">
        <w:t xml:space="preserve"> ‘Vanuit Nederland’ houdt in dat ook transacties in het buitenland door </w:t>
      </w:r>
      <w:r w:rsidR="00EC31E0">
        <w:t xml:space="preserve">handelaren die </w:t>
      </w:r>
      <w:r w:rsidR="003469D2">
        <w:t xml:space="preserve">in Nederland </w:t>
      </w:r>
      <w:r w:rsidR="00860FE6">
        <w:t>gevestigd</w:t>
      </w:r>
      <w:r w:rsidR="00EC31E0">
        <w:t xml:space="preserve"> zijn</w:t>
      </w:r>
      <w:r w:rsidR="003469D2">
        <w:t xml:space="preserve"> onder het verbod vallen. Hier is </w:t>
      </w:r>
      <w:r w:rsidR="000A7452">
        <w:t xml:space="preserve">voor gekozen </w:t>
      </w:r>
      <w:r w:rsidR="003469D2">
        <w:t xml:space="preserve">naar aanleiding van de uitvoeringstoets van de </w:t>
      </w:r>
      <w:r w:rsidR="00EC31E0">
        <w:t>toezichthouder</w:t>
      </w:r>
      <w:r w:rsidR="000A7452">
        <w:t>,</w:t>
      </w:r>
      <w:r w:rsidR="003469D2">
        <w:t xml:space="preserve"> om te voorkomen dat het verbod </w:t>
      </w:r>
      <w:r w:rsidR="000A7452">
        <w:t xml:space="preserve">wordt </w:t>
      </w:r>
      <w:r w:rsidR="003469D2">
        <w:t>omzeild door de betaling net over de grens te laten plaatsvinden.</w:t>
      </w:r>
      <w:r w:rsidR="003469D2">
        <w:rPr>
          <w:rStyle w:val="Voetnootmarkering"/>
        </w:rPr>
        <w:footnoteReference w:id="1"/>
      </w:r>
    </w:p>
    <w:p w:rsidR="00633CAA" w:rsidRDefault="00633CAA" w14:paraId="76986DED" w14:textId="77777777"/>
    <w:p w:rsidR="00633CAA" w:rsidRDefault="00633CAA" w14:paraId="50BE2205" w14:textId="77777777">
      <w:r>
        <w:t xml:space="preserve">Op 10 juli 2027 treedt via de Europese </w:t>
      </w:r>
      <w:proofErr w:type="spellStart"/>
      <w:r>
        <w:t>antiwitwasverordening</w:t>
      </w:r>
      <w:proofErr w:type="spellEnd"/>
      <w:r>
        <w:t xml:space="preserve"> een Europes</w:t>
      </w:r>
      <w:r w:rsidR="000647AC">
        <w:t>e</w:t>
      </w:r>
      <w:r>
        <w:t xml:space="preserve"> limiet vanaf €</w:t>
      </w:r>
      <w:r w:rsidR="000647AC">
        <w:t> </w:t>
      </w:r>
      <w:r>
        <w:t xml:space="preserve">10.000 in werking voor goederen en diensten. Lidstaten krijgen de mogelijkheid om die limiet lager vast te stellen. </w:t>
      </w:r>
      <w:r w:rsidR="00B90377">
        <w:t>In</w:t>
      </w:r>
      <w:r w:rsidR="007F6A27">
        <w:t xml:space="preserve"> het</w:t>
      </w:r>
      <w:r w:rsidR="00B90377">
        <w:t xml:space="preserve"> recent geconsulteerde</w:t>
      </w:r>
      <w:r w:rsidR="007F6A27">
        <w:t xml:space="preserve"> wetsvoorstel</w:t>
      </w:r>
      <w:r w:rsidR="00B90377">
        <w:t xml:space="preserve"> Implementatiewet ter voorkoming van witwassen en terrorismefinanciering is</w:t>
      </w:r>
      <w:r w:rsidR="00522149">
        <w:t xml:space="preserve"> het</w:t>
      </w:r>
      <w:r w:rsidR="00B90377">
        <w:t xml:space="preserve"> </w:t>
      </w:r>
      <w:r w:rsidR="007F6A27">
        <w:t>voorstel opgenomen om voor diensten aan te sluiten bij de bestaande limiet voor goederen van €</w:t>
      </w:r>
      <w:r w:rsidR="000647AC">
        <w:t> </w:t>
      </w:r>
      <w:r w:rsidR="007F6A27">
        <w:t xml:space="preserve">3.000. </w:t>
      </w:r>
    </w:p>
    <w:p w:rsidR="000632E0" w:rsidRDefault="000632E0" w14:paraId="292BFCA6" w14:textId="77777777"/>
    <w:p w:rsidRPr="003469D2" w:rsidR="004278AB" w:rsidP="004278AB" w:rsidRDefault="004278AB" w14:paraId="17883630" w14:textId="77777777">
      <w:pPr>
        <w:rPr>
          <w:b/>
          <w:bCs/>
        </w:rPr>
      </w:pPr>
      <w:r>
        <w:rPr>
          <w:b/>
          <w:bCs/>
        </w:rPr>
        <w:t>Knelpunten voor internationale handelaren</w:t>
      </w:r>
    </w:p>
    <w:p w:rsidR="00032914" w:rsidP="004278AB" w:rsidRDefault="004278AB" w14:paraId="5F9386A8" w14:textId="77777777">
      <w:r>
        <w:t>Tijdens de behandeling</w:t>
      </w:r>
      <w:r w:rsidR="000B4644">
        <w:t xml:space="preserve"> van het verbod op contante betalingen vanaf €3.000 </w:t>
      </w:r>
      <w:r>
        <w:t xml:space="preserve">in de Eerste Kamer </w:t>
      </w:r>
      <w:r w:rsidR="000647AC">
        <w:t>is gesproken over</w:t>
      </w:r>
      <w:r>
        <w:t xml:space="preserve"> bepaalde sectoren die veel transacties met buitenlandse partijen contant afhandelen, </w:t>
      </w:r>
      <w:r w:rsidR="000647AC">
        <w:t xml:space="preserve">waardoor deze regelgeving </w:t>
      </w:r>
      <w:r>
        <w:t xml:space="preserve">mogelijk belemmerend zou kunnen werken. Het gaat hierbij om sectoren die contante betalingen doen naar landen met een minder ontwikkeld digitaal betalingssysteem. </w:t>
      </w:r>
      <w:r w:rsidR="00032914">
        <w:t>Ik heb vertegenwoordigers van die sectoren opgeroepen om zich te melden. Hier</w:t>
      </w:r>
      <w:r w:rsidR="000A7452">
        <w:t>van</w:t>
      </w:r>
      <w:r w:rsidR="00032914">
        <w:t xml:space="preserve"> hebben vertegenwoordigers van verschillende voertuig-, metaal- en scheepsvaartbranches gebruik gemaakt.</w:t>
      </w:r>
    </w:p>
    <w:p w:rsidR="004278AB" w:rsidP="004278AB" w:rsidRDefault="004278AB" w14:paraId="39A1D637" w14:textId="77777777"/>
    <w:p w:rsidR="004278AB" w:rsidP="004278AB" w:rsidRDefault="00397547" w14:paraId="10A3C723" w14:textId="77777777">
      <w:r>
        <w:t xml:space="preserve">De brancheorganisaties </w:t>
      </w:r>
      <w:r w:rsidR="00032914">
        <w:t>hebben</w:t>
      </w:r>
      <w:r>
        <w:t xml:space="preserve"> op verzoek van het ministerie </w:t>
      </w:r>
      <w:r w:rsidR="004278AB">
        <w:t>voorbeelden gegeven van knelpunten. De aangedragen voorbeelden komen vooral neer op transacties met partijen uit Afrika, Zuid-Amerika en Oost-Europa, die voertuigen of onderdelen voor hoge sommen contant geld ter plekke afrekenen.</w:t>
      </w:r>
      <w:r w:rsidR="00B90377">
        <w:t xml:space="preserve"> </w:t>
      </w:r>
      <w:r w:rsidR="00B715B2">
        <w:t xml:space="preserve">Ook </w:t>
      </w:r>
      <w:r w:rsidR="00B90377">
        <w:t xml:space="preserve">dienen handelaren die actief zijn buiten de EU soms ter plekke noodzakelijke inkopen te doen. </w:t>
      </w:r>
    </w:p>
    <w:p w:rsidR="005619B6" w:rsidRDefault="005619B6" w14:paraId="761B444E" w14:textId="77777777"/>
    <w:p w:rsidRPr="001859C4" w:rsidR="001859C4" w:rsidRDefault="004278AB" w14:paraId="0F186631" w14:textId="77777777">
      <w:pPr>
        <w:rPr>
          <w:b/>
          <w:bCs/>
        </w:rPr>
      </w:pPr>
      <w:r>
        <w:rPr>
          <w:b/>
          <w:bCs/>
        </w:rPr>
        <w:t>Doel en strekking van de maatregel</w:t>
      </w:r>
      <w:r w:rsidR="002D79FD">
        <w:rPr>
          <w:b/>
          <w:bCs/>
        </w:rPr>
        <w:t xml:space="preserve"> en handhaafbaarheid</w:t>
      </w:r>
    </w:p>
    <w:p w:rsidR="002D79FD" w:rsidRDefault="000B4644" w14:paraId="36151109" w14:textId="77777777">
      <w:r>
        <w:t>Een</w:t>
      </w:r>
      <w:r w:rsidR="00D117DA">
        <w:t xml:space="preserve"> uitzondering </w:t>
      </w:r>
      <w:r w:rsidR="0082082E">
        <w:t xml:space="preserve">voor </w:t>
      </w:r>
      <w:r w:rsidR="004278AB">
        <w:t>verkoop van</w:t>
      </w:r>
      <w:r w:rsidR="00DB759E">
        <w:t xml:space="preserve"> specifieke</w:t>
      </w:r>
      <w:r w:rsidR="004278AB">
        <w:t xml:space="preserve"> goederen</w:t>
      </w:r>
      <w:r w:rsidR="00DB759E">
        <w:t xml:space="preserve"> of voor specifieke handelaren</w:t>
      </w:r>
      <w:r w:rsidR="005B04D3">
        <w:t xml:space="preserve"> in Nederland </w:t>
      </w:r>
      <w:r>
        <w:t xml:space="preserve">is met oog op het doel en de strekking van de maatregel </w:t>
      </w:r>
      <w:r w:rsidR="0082082E">
        <w:t xml:space="preserve">niet </w:t>
      </w:r>
      <w:r w:rsidR="00522149">
        <w:t>wenselijk</w:t>
      </w:r>
      <w:r w:rsidR="0082082E">
        <w:t xml:space="preserve">. </w:t>
      </w:r>
      <w:r w:rsidR="009B3467">
        <w:t>Een uitzondering</w:t>
      </w:r>
      <w:r w:rsidR="00397547">
        <w:t xml:space="preserve"> voor </w:t>
      </w:r>
      <w:proofErr w:type="spellStart"/>
      <w:r w:rsidR="00397547">
        <w:t>hoogrisicosectoren</w:t>
      </w:r>
      <w:proofErr w:type="spellEnd"/>
      <w:r w:rsidR="00397547">
        <w:t xml:space="preserve"> voor transacties </w:t>
      </w:r>
      <w:r w:rsidR="00F45A35">
        <w:t xml:space="preserve">die worden </w:t>
      </w:r>
      <w:r w:rsidR="00397547">
        <w:t>uitgevoerd in Nederland</w:t>
      </w:r>
      <w:r w:rsidR="009B3467">
        <w:t xml:space="preserve"> zou namelijk precies datgene toestaan dat de wet beoogt te voorkomen. </w:t>
      </w:r>
      <w:r w:rsidR="000632E0">
        <w:t xml:space="preserve">Uit diverse onderzoeken komen juist de sectoren </w:t>
      </w:r>
      <w:r w:rsidR="004278AB">
        <w:t xml:space="preserve">die mogelijk belemmerd worden </w:t>
      </w:r>
      <w:r w:rsidR="000632E0">
        <w:t xml:space="preserve">naar voren als </w:t>
      </w:r>
      <w:r w:rsidR="005619B6">
        <w:t>sectoren met een hoog risico op witwassen</w:t>
      </w:r>
      <w:r w:rsidR="000632E0">
        <w:t>.</w:t>
      </w:r>
      <w:r w:rsidR="00522149">
        <w:rPr>
          <w:rStyle w:val="Voetnootmarkering"/>
        </w:rPr>
        <w:footnoteReference w:id="2"/>
      </w:r>
      <w:r w:rsidR="005B04D3">
        <w:t xml:space="preserve"> Een </w:t>
      </w:r>
      <w:r w:rsidR="009B3467">
        <w:t xml:space="preserve">te ruime </w:t>
      </w:r>
      <w:r w:rsidR="005B04D3">
        <w:t xml:space="preserve">uitzondering voor deze transacties zou leiden tot een </w:t>
      </w:r>
      <w:r w:rsidR="005B04D3">
        <w:lastRenderedPageBreak/>
        <w:t xml:space="preserve">forse ondermijning van de strekking en het doel </w:t>
      </w:r>
      <w:r w:rsidR="009B3467">
        <w:t>van het verbod</w:t>
      </w:r>
      <w:r w:rsidR="00397547">
        <w:t xml:space="preserve"> en zou te ver afwijken van de strekking van de wet</w:t>
      </w:r>
      <w:r w:rsidR="00F45A35">
        <w:t>.</w:t>
      </w:r>
      <w:r w:rsidR="005B04D3">
        <w:t xml:space="preserve"> </w:t>
      </w:r>
    </w:p>
    <w:p w:rsidR="002D79FD" w:rsidRDefault="002D79FD" w14:paraId="613B58B0" w14:textId="77777777"/>
    <w:p w:rsidR="002D79FD" w:rsidRDefault="00F45A35" w14:paraId="3CC650A6" w14:textId="77777777">
      <w:r>
        <w:t>Er is</w:t>
      </w:r>
      <w:r w:rsidR="002D79FD">
        <w:t xml:space="preserve"> ook onderzocht of er een bredere uitzondering gemaakt kan worden voor </w:t>
      </w:r>
      <w:r w:rsidR="005B04D3">
        <w:t>verkoop</w:t>
      </w:r>
      <w:r w:rsidR="002D79FD">
        <w:t>transacties met buitenlandse partijen. Dit is echter niet goed handhaafbaar. Het is vrijwel onmogelijk voor de toezichthouder om met zekerheid achteraf vast te kunnen stellen of een transactie</w:t>
      </w:r>
      <w:r w:rsidRPr="00B90377" w:rsidR="002D79FD">
        <w:t xml:space="preserve"> </w:t>
      </w:r>
      <w:r w:rsidR="002D79FD">
        <w:t>daadwerkelijk in het buitenland heeft plaatsgevonden. Bovendien zou er bij een algehele uitzondering voor transacties met buitenlandse partijen een te groot risico zijn dat een buitenlandse partij tussen een transactie van twee Nederlandse partijen wordt geschoven om het verbod te omzeilen. Een uitzondering zou daarmee neerkomen op een flinke maas in de wet</w:t>
      </w:r>
      <w:r w:rsidR="00397547">
        <w:t xml:space="preserve"> die vatbaar zou zijn voor misbruik</w:t>
      </w:r>
      <w:r w:rsidR="002D79FD">
        <w:t>.</w:t>
      </w:r>
    </w:p>
    <w:p w:rsidR="00C34B9F" w:rsidRDefault="00C34B9F" w14:paraId="1F10BBAF" w14:textId="77777777"/>
    <w:p w:rsidR="00AE66B3" w:rsidRDefault="000B4644" w14:paraId="5FFCF812" w14:textId="77777777">
      <w:r>
        <w:t xml:space="preserve">Een uitzondering voor de aankoop van goederen </w:t>
      </w:r>
      <w:r w:rsidR="00860FE6">
        <w:t xml:space="preserve">buiten de EU </w:t>
      </w:r>
      <w:r>
        <w:t xml:space="preserve">zou het doel en de strekking van het verbod niet </w:t>
      </w:r>
      <w:r w:rsidR="00397547">
        <w:t xml:space="preserve">te zeer </w:t>
      </w:r>
      <w:r>
        <w:t xml:space="preserve">ondermijnen. Aankoop van goederen is een activiteit met een </w:t>
      </w:r>
      <w:r w:rsidR="00860FE6">
        <w:t>lager</w:t>
      </w:r>
      <w:r>
        <w:t xml:space="preserve"> risico op witwasse</w:t>
      </w:r>
      <w:r w:rsidR="00522149">
        <w:t xml:space="preserve">n. Witwassen draait immers om het legitimeren van geld dat de economie binnenkomt. Bij de aankoop van goederen verlaat het geld het systeem en is het risico op witwassen dus </w:t>
      </w:r>
      <w:r w:rsidR="00860FE6">
        <w:t>lager</w:t>
      </w:r>
      <w:r w:rsidR="00522149">
        <w:t>.</w:t>
      </w:r>
      <w:r w:rsidR="002D79FD">
        <w:t xml:space="preserve"> Ook</w:t>
      </w:r>
      <w:r w:rsidR="00AE66B3">
        <w:t xml:space="preserve"> heeft </w:t>
      </w:r>
      <w:r w:rsidR="00B715B2">
        <w:t xml:space="preserve">de toezichthouder </w:t>
      </w:r>
      <w:r w:rsidR="00AE66B3">
        <w:t xml:space="preserve">DFEI aangegeven dat een uitzondering voor de aankoop van goederen buiten de Europese Unie </w:t>
      </w:r>
      <w:r w:rsidR="00C80A9F">
        <w:t>met oog op de handhaafbaarheid een acceptabel risico vormt</w:t>
      </w:r>
      <w:r w:rsidR="00AE66B3">
        <w:t>.</w:t>
      </w:r>
    </w:p>
    <w:p w:rsidR="000D5E52" w:rsidRDefault="000D5E52" w14:paraId="06C5C008" w14:textId="77777777"/>
    <w:p w:rsidR="000D5E52" w:rsidRDefault="000D5E52" w14:paraId="6B649F30" w14:textId="77777777">
      <w:pPr>
        <w:rPr>
          <w:b/>
          <w:bCs/>
        </w:rPr>
      </w:pPr>
      <w:r>
        <w:rPr>
          <w:b/>
          <w:bCs/>
        </w:rPr>
        <w:t>Europese limiet op contante betalingen</w:t>
      </w:r>
    </w:p>
    <w:p w:rsidR="000D5E52" w:rsidRDefault="000D5E52" w14:paraId="0E3BDBB1" w14:textId="77777777">
      <w:r>
        <w:t xml:space="preserve">Zoals </w:t>
      </w:r>
      <w:r w:rsidR="00AE66B3">
        <w:t>eerder</w:t>
      </w:r>
      <w:r>
        <w:t xml:space="preserve"> aangegeven treedt op 10 juli 2027 een Europees limiet voor contant geld voor goederen en diensten in werking</w:t>
      </w:r>
      <w:r w:rsidR="00C34B9F">
        <w:t xml:space="preserve"> via de Europese </w:t>
      </w:r>
      <w:proofErr w:type="spellStart"/>
      <w:r w:rsidR="00C34B9F">
        <w:t>antiwitwasverordening</w:t>
      </w:r>
      <w:proofErr w:type="spellEnd"/>
      <w:r w:rsidR="00C34B9F">
        <w:t xml:space="preserve">. De </w:t>
      </w:r>
      <w:proofErr w:type="spellStart"/>
      <w:r w:rsidR="00C34B9F">
        <w:t>antiwitwasverordening</w:t>
      </w:r>
      <w:proofErr w:type="spellEnd"/>
      <w:r w:rsidR="00C34B9F">
        <w:t xml:space="preserve"> biedt geen ruimte aan lidstaten om hier uitzonderingen op te maken</w:t>
      </w:r>
      <w:r w:rsidR="00AE66B3">
        <w:t xml:space="preserve"> binnen de Europese Unie</w:t>
      </w:r>
      <w:r w:rsidR="00B715B2">
        <w:t xml:space="preserve">. De enige optie die voor lidstaten bestaat is het </w:t>
      </w:r>
      <w:r w:rsidR="00397547">
        <w:t xml:space="preserve">nationaal </w:t>
      </w:r>
      <w:r w:rsidR="00B715B2">
        <w:t xml:space="preserve">hanteren van </w:t>
      </w:r>
      <w:r w:rsidR="00397547">
        <w:t>een lagere limiet</w:t>
      </w:r>
      <w:r w:rsidR="00C34B9F">
        <w:t xml:space="preserve">. </w:t>
      </w:r>
      <w:r w:rsidR="00F45A35">
        <w:t>Dus ook o</w:t>
      </w:r>
      <w:r w:rsidR="00C34B9F">
        <w:t>m aan te sluiten bij de</w:t>
      </w:r>
      <w:r w:rsidR="00397547">
        <w:t xml:space="preserve"> generieke</w:t>
      </w:r>
      <w:r w:rsidR="00C34B9F">
        <w:t xml:space="preserve"> Europese limiet </w:t>
      </w:r>
      <w:r w:rsidR="00AE66B3">
        <w:t>kan er alleen een uitzondering gemaakt worden voor transacties die buiten de Europese Unie plaatsvinden.</w:t>
      </w:r>
      <w:r w:rsidR="00B715B2">
        <w:t xml:space="preserve"> Zoals hierboven toegelicht zal toezichthouder DFEI die uitzondering in het toezicht maken.</w:t>
      </w:r>
    </w:p>
    <w:p w:rsidR="00F45A35" w:rsidRDefault="00F45A35" w14:paraId="2967D478" w14:textId="77777777"/>
    <w:p w:rsidR="001859C4" w:rsidRDefault="00F45A35" w14:paraId="0F4EB7CB" w14:textId="77777777">
      <w:r>
        <w:t>Ik hoop u hiermee voldoende te hebben geïnformeerd.</w:t>
      </w:r>
    </w:p>
    <w:p w:rsidR="00986A25" w:rsidRDefault="00AA5E52" w14:paraId="59EDA310" w14:textId="77777777">
      <w:pPr>
        <w:pStyle w:val="StandaardSlotzin"/>
      </w:pPr>
      <w:r>
        <w:t>Hoogachtend,</w:t>
      </w:r>
    </w:p>
    <w:p w:rsidR="00986A25" w:rsidRDefault="00986A25" w14:paraId="0C957F1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86A25" w14:paraId="6E1F6BC6" w14:textId="77777777">
        <w:tc>
          <w:tcPr>
            <w:tcW w:w="3592" w:type="dxa"/>
          </w:tcPr>
          <w:p w:rsidR="00986A25" w:rsidRDefault="00AA5E52" w14:paraId="5E3A87B9"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986A25" w:rsidRDefault="00986A25" w14:paraId="0675BEA5" w14:textId="77777777"/>
        </w:tc>
      </w:tr>
      <w:tr w:rsidR="00986A25" w14:paraId="63BF2002" w14:textId="77777777">
        <w:tc>
          <w:tcPr>
            <w:tcW w:w="3592" w:type="dxa"/>
          </w:tcPr>
          <w:p w:rsidR="00986A25" w:rsidRDefault="00986A25" w14:paraId="46766EBC" w14:textId="77777777"/>
        </w:tc>
        <w:tc>
          <w:tcPr>
            <w:tcW w:w="3892" w:type="dxa"/>
          </w:tcPr>
          <w:p w:rsidR="00986A25" w:rsidRDefault="00986A25" w14:paraId="4882FA0A" w14:textId="77777777"/>
        </w:tc>
      </w:tr>
      <w:tr w:rsidR="00986A25" w14:paraId="2AFEADF1" w14:textId="77777777">
        <w:tc>
          <w:tcPr>
            <w:tcW w:w="3592" w:type="dxa"/>
          </w:tcPr>
          <w:p w:rsidR="00986A25" w:rsidRDefault="00986A25" w14:paraId="363BC66B" w14:textId="77777777"/>
        </w:tc>
        <w:tc>
          <w:tcPr>
            <w:tcW w:w="3892" w:type="dxa"/>
          </w:tcPr>
          <w:p w:rsidR="00986A25" w:rsidRDefault="00986A25" w14:paraId="2E37BA9C" w14:textId="77777777"/>
        </w:tc>
      </w:tr>
      <w:tr w:rsidR="00986A25" w14:paraId="2F46BF6E" w14:textId="77777777">
        <w:tc>
          <w:tcPr>
            <w:tcW w:w="3592" w:type="dxa"/>
          </w:tcPr>
          <w:p w:rsidR="00986A25" w:rsidRDefault="00986A25" w14:paraId="0763C408" w14:textId="77777777"/>
        </w:tc>
        <w:tc>
          <w:tcPr>
            <w:tcW w:w="3892" w:type="dxa"/>
          </w:tcPr>
          <w:p w:rsidR="00986A25" w:rsidRDefault="00986A25" w14:paraId="19641357" w14:textId="77777777"/>
        </w:tc>
      </w:tr>
      <w:tr w:rsidR="00986A25" w14:paraId="5FDC3205" w14:textId="77777777">
        <w:tc>
          <w:tcPr>
            <w:tcW w:w="3592" w:type="dxa"/>
          </w:tcPr>
          <w:p w:rsidR="00986A25" w:rsidRDefault="00986A25" w14:paraId="482ABC19" w14:textId="77777777"/>
        </w:tc>
        <w:tc>
          <w:tcPr>
            <w:tcW w:w="3892" w:type="dxa"/>
          </w:tcPr>
          <w:p w:rsidR="00986A25" w:rsidRDefault="00986A25" w14:paraId="2A7EDC75" w14:textId="77777777"/>
        </w:tc>
      </w:tr>
    </w:tbl>
    <w:p w:rsidR="00986A25" w:rsidRDefault="00986A25" w14:paraId="1D77C887" w14:textId="77777777">
      <w:pPr>
        <w:pStyle w:val="Verdana7"/>
      </w:pPr>
    </w:p>
    <w:sectPr w:rsidR="00986A2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653D" w14:textId="77777777" w:rsidR="00AA5E52" w:rsidRDefault="00AA5E52">
      <w:pPr>
        <w:spacing w:line="240" w:lineRule="auto"/>
      </w:pPr>
      <w:r>
        <w:separator/>
      </w:r>
    </w:p>
  </w:endnote>
  <w:endnote w:type="continuationSeparator" w:id="0">
    <w:p w14:paraId="2B0384B1" w14:textId="77777777" w:rsidR="00AA5E52" w:rsidRDefault="00AA5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D4FB" w14:textId="77777777" w:rsidR="006C61E6" w:rsidRDefault="006C6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745C" w14:textId="77777777" w:rsidR="006C61E6" w:rsidRDefault="006C61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1FB7" w14:textId="77777777" w:rsidR="006C61E6" w:rsidRDefault="006C61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F841" w14:textId="77777777" w:rsidR="00AA5E52" w:rsidRDefault="00AA5E52">
      <w:pPr>
        <w:spacing w:line="240" w:lineRule="auto"/>
      </w:pPr>
      <w:r>
        <w:separator/>
      </w:r>
    </w:p>
  </w:footnote>
  <w:footnote w:type="continuationSeparator" w:id="0">
    <w:p w14:paraId="311D1EED" w14:textId="77777777" w:rsidR="00AA5E52" w:rsidRDefault="00AA5E52">
      <w:pPr>
        <w:spacing w:line="240" w:lineRule="auto"/>
      </w:pPr>
      <w:r>
        <w:continuationSeparator/>
      </w:r>
    </w:p>
  </w:footnote>
  <w:footnote w:id="1">
    <w:p w14:paraId="6F834CDD" w14:textId="77777777" w:rsidR="003469D2" w:rsidRDefault="003469D2">
      <w:pPr>
        <w:pStyle w:val="Voetnoottekst"/>
      </w:pPr>
      <w:r w:rsidRPr="000B4644">
        <w:rPr>
          <w:rStyle w:val="Voetnootmarkering"/>
          <w:sz w:val="16"/>
          <w:szCs w:val="16"/>
        </w:rPr>
        <w:footnoteRef/>
      </w:r>
      <w:r w:rsidRPr="000B4644">
        <w:rPr>
          <w:sz w:val="16"/>
          <w:szCs w:val="16"/>
        </w:rPr>
        <w:t xml:space="preserve"> </w:t>
      </w:r>
      <w:r w:rsidR="000B4644" w:rsidRPr="000B4644">
        <w:rPr>
          <w:sz w:val="16"/>
          <w:szCs w:val="16"/>
        </w:rPr>
        <w:t>Dit</w:t>
      </w:r>
      <w:r w:rsidR="000B4644" w:rsidRPr="00EC31E0">
        <w:rPr>
          <w:sz w:val="16"/>
          <w:szCs w:val="16"/>
        </w:rPr>
        <w:t xml:space="preserve"> was </w:t>
      </w:r>
      <w:r w:rsidR="000B4644">
        <w:rPr>
          <w:sz w:val="16"/>
          <w:szCs w:val="16"/>
        </w:rPr>
        <w:t>ten tijde van de uitvoeringstoets nog</w:t>
      </w:r>
      <w:r w:rsidR="000B4644" w:rsidRPr="00EC31E0">
        <w:rPr>
          <w:sz w:val="16"/>
          <w:szCs w:val="16"/>
        </w:rPr>
        <w:t xml:space="preserve"> de Belastingdienst. Per 1 januari 2026 is </w:t>
      </w:r>
      <w:proofErr w:type="gramStart"/>
      <w:r w:rsidR="000B4644" w:rsidRPr="00EC31E0">
        <w:rPr>
          <w:sz w:val="16"/>
          <w:szCs w:val="16"/>
        </w:rPr>
        <w:t xml:space="preserve">DFEI </w:t>
      </w:r>
      <w:r w:rsidR="000B4644">
        <w:rPr>
          <w:sz w:val="16"/>
          <w:szCs w:val="16"/>
        </w:rPr>
        <w:t>toezichthouder</w:t>
      </w:r>
      <w:proofErr w:type="gramEnd"/>
      <w:r w:rsidR="000B4644">
        <w:rPr>
          <w:sz w:val="16"/>
          <w:szCs w:val="16"/>
        </w:rPr>
        <w:t xml:space="preserve"> geworden.</w:t>
      </w:r>
      <w:r w:rsidR="002519C5">
        <w:rPr>
          <w:sz w:val="16"/>
          <w:szCs w:val="16"/>
        </w:rPr>
        <w:t xml:space="preserve"> </w:t>
      </w:r>
      <w:hyperlink r:id="rId1" w:history="1">
        <w:r w:rsidR="002519C5" w:rsidRPr="00673812">
          <w:rPr>
            <w:rStyle w:val="Hyperlink"/>
            <w:sz w:val="16"/>
            <w:szCs w:val="16"/>
          </w:rPr>
          <w:t>https://wetgevingskalender.overheid.nl/Regeling/WGK011420</w:t>
        </w:r>
      </w:hyperlink>
      <w:r w:rsidR="002519C5">
        <w:rPr>
          <w:sz w:val="16"/>
          <w:szCs w:val="16"/>
        </w:rPr>
        <w:t xml:space="preserve"> .</w:t>
      </w:r>
    </w:p>
  </w:footnote>
  <w:footnote w:id="2">
    <w:p w14:paraId="1B28BDC9" w14:textId="77777777" w:rsidR="00522149" w:rsidRDefault="00522149">
      <w:pPr>
        <w:pStyle w:val="Voetnoottekst"/>
      </w:pPr>
      <w:r w:rsidRPr="00EA3279">
        <w:rPr>
          <w:rStyle w:val="Voetnootmarkering"/>
          <w:sz w:val="16"/>
          <w:szCs w:val="16"/>
        </w:rPr>
        <w:footnoteRef/>
      </w:r>
      <w:r>
        <w:t xml:space="preserve"> </w:t>
      </w:r>
      <w:r w:rsidRPr="00D23440">
        <w:rPr>
          <w:sz w:val="16"/>
          <w:szCs w:val="16"/>
        </w:rPr>
        <w:t xml:space="preserve">Zie bijvoorbeeld een onderzoek van de Anti Money </w:t>
      </w:r>
      <w:proofErr w:type="spellStart"/>
      <w:r w:rsidRPr="00D23440">
        <w:rPr>
          <w:sz w:val="16"/>
          <w:szCs w:val="16"/>
        </w:rPr>
        <w:t>Laundering</w:t>
      </w:r>
      <w:proofErr w:type="spellEnd"/>
      <w:r w:rsidRPr="00D23440">
        <w:rPr>
          <w:sz w:val="16"/>
          <w:szCs w:val="16"/>
        </w:rPr>
        <w:t xml:space="preserve"> Centre (AMLC) dat contant geld in de autohandel helemaal niet zo gebruikelijk is als vaak wordt verondersteld, maar dat het enkel een paar autohandelaren zijn die veel contant geld gebruiken en een onderzoek van de FIOD waaruit blijkt dat de handel in aardappelen en uien vatbaar is voor grootschalige witwaspraktijken, onder andere vanwege soepele regels in Nederland met betrekking tot contante betalingen.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6DCF" w14:textId="77777777" w:rsidR="006C61E6" w:rsidRDefault="006C6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9952" w14:textId="77777777" w:rsidR="00986A25" w:rsidRDefault="00AA5E52">
    <w:r>
      <w:rPr>
        <w:noProof/>
      </w:rPr>
      <mc:AlternateContent>
        <mc:Choice Requires="wps">
          <w:drawing>
            <wp:anchor distT="0" distB="0" distL="0" distR="0" simplePos="0" relativeHeight="251652096" behindDoc="0" locked="1" layoutInCell="1" allowOverlap="1" wp14:anchorId="6AEE1B23" wp14:editId="4B93FF6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DD5514" w14:textId="77777777" w:rsidR="00986A25" w:rsidRDefault="00AA5E52">
                          <w:pPr>
                            <w:pStyle w:val="StandaardReferentiegegevensKop"/>
                          </w:pPr>
                          <w:r>
                            <w:t>Ons kenmerk</w:t>
                          </w:r>
                        </w:p>
                        <w:p w14:paraId="4015BADB" w14:textId="77777777" w:rsidR="008E4ACF" w:rsidRDefault="006C61E6">
                          <w:pPr>
                            <w:pStyle w:val="StandaardReferentiegegevens"/>
                          </w:pPr>
                          <w:r>
                            <w:fldChar w:fldCharType="begin"/>
                          </w:r>
                          <w:r>
                            <w:instrText xml:space="preserve"> DOCPROPERTY  "Kenmerk"  \* MERGEFORMAT </w:instrText>
                          </w:r>
                          <w:r>
                            <w:fldChar w:fldCharType="separate"/>
                          </w:r>
                          <w:r>
                            <w:t>2026-0000031419</w:t>
                          </w:r>
                          <w:r>
                            <w:fldChar w:fldCharType="end"/>
                          </w:r>
                        </w:p>
                      </w:txbxContent>
                    </wps:txbx>
                    <wps:bodyPr vert="horz" wrap="square" lIns="0" tIns="0" rIns="0" bIns="0" anchor="t" anchorCtr="0"/>
                  </wps:wsp>
                </a:graphicData>
              </a:graphic>
            </wp:anchor>
          </w:drawing>
        </mc:Choice>
        <mc:Fallback>
          <w:pict>
            <v:shapetype w14:anchorId="6AEE1B2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2DD5514" w14:textId="77777777" w:rsidR="00986A25" w:rsidRDefault="00AA5E52">
                    <w:pPr>
                      <w:pStyle w:val="StandaardReferentiegegevensKop"/>
                    </w:pPr>
                    <w:r>
                      <w:t>Ons kenmerk</w:t>
                    </w:r>
                  </w:p>
                  <w:p w14:paraId="4015BADB" w14:textId="77777777" w:rsidR="008E4ACF" w:rsidRDefault="006C61E6">
                    <w:pPr>
                      <w:pStyle w:val="StandaardReferentiegegevens"/>
                    </w:pPr>
                    <w:r>
                      <w:fldChar w:fldCharType="begin"/>
                    </w:r>
                    <w:r>
                      <w:instrText xml:space="preserve"> DOCPROPERTY  "Kenmerk"  \* MERGEFORMAT </w:instrText>
                    </w:r>
                    <w:r>
                      <w:fldChar w:fldCharType="separate"/>
                    </w:r>
                    <w:r>
                      <w:t>2026-0000031419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7B91B36" wp14:editId="63559A7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2EBDFA" w14:textId="77777777" w:rsidR="008E4ACF" w:rsidRDefault="006C61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B91B3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12EBDFA" w14:textId="77777777" w:rsidR="008E4ACF" w:rsidRDefault="006C61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613BBBE" wp14:editId="1E16532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B1A856E" w14:textId="77777777" w:rsidR="008E4ACF" w:rsidRDefault="006C61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13BBB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B1A856E" w14:textId="77777777" w:rsidR="008E4ACF" w:rsidRDefault="006C61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24D" w14:textId="77777777" w:rsidR="00986A25" w:rsidRDefault="00AA5E52">
    <w:pPr>
      <w:spacing w:after="7029" w:line="14" w:lineRule="exact"/>
    </w:pPr>
    <w:r>
      <w:rPr>
        <w:noProof/>
      </w:rPr>
      <mc:AlternateContent>
        <mc:Choice Requires="wps">
          <w:drawing>
            <wp:anchor distT="0" distB="0" distL="0" distR="0" simplePos="0" relativeHeight="251655168" behindDoc="0" locked="1" layoutInCell="1" allowOverlap="1" wp14:anchorId="59818F15" wp14:editId="5A5AF92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7FEA66E" w14:textId="77777777" w:rsidR="00986A25" w:rsidRDefault="00AA5E52">
                          <w:pPr>
                            <w:spacing w:line="240" w:lineRule="auto"/>
                          </w:pPr>
                          <w:r>
                            <w:rPr>
                              <w:noProof/>
                            </w:rPr>
                            <w:drawing>
                              <wp:inline distT="0" distB="0" distL="0" distR="0" wp14:anchorId="5D35EC44" wp14:editId="78B5CE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818F1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7FEA66E" w14:textId="77777777" w:rsidR="00986A25" w:rsidRDefault="00AA5E52">
                    <w:pPr>
                      <w:spacing w:line="240" w:lineRule="auto"/>
                    </w:pPr>
                    <w:r>
                      <w:rPr>
                        <w:noProof/>
                      </w:rPr>
                      <w:drawing>
                        <wp:inline distT="0" distB="0" distL="0" distR="0" wp14:anchorId="5D35EC44" wp14:editId="78B5CE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F148BC1" wp14:editId="0242555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CBF9161" w14:textId="77777777" w:rsidR="00AA5E52" w:rsidRDefault="00AA5E52"/>
                      </w:txbxContent>
                    </wps:txbx>
                    <wps:bodyPr vert="horz" wrap="square" lIns="0" tIns="0" rIns="0" bIns="0" anchor="t" anchorCtr="0"/>
                  </wps:wsp>
                </a:graphicData>
              </a:graphic>
            </wp:anchor>
          </w:drawing>
        </mc:Choice>
        <mc:Fallback>
          <w:pict>
            <v:shape w14:anchorId="6F148BC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CBF9161" w14:textId="77777777" w:rsidR="00AA5E52" w:rsidRDefault="00AA5E5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5D19A24" wp14:editId="15132A4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A3DBAFA" w14:textId="77777777" w:rsidR="00986A25" w:rsidRDefault="00AA5E52">
                          <w:pPr>
                            <w:pStyle w:val="StandaardReferentiegegevens"/>
                          </w:pPr>
                          <w:r>
                            <w:t>Korte Voorhout 7</w:t>
                          </w:r>
                        </w:p>
                        <w:p w14:paraId="4D3AB76D" w14:textId="77777777" w:rsidR="00986A25" w:rsidRDefault="00AA5E52">
                          <w:pPr>
                            <w:pStyle w:val="StandaardReferentiegegevens"/>
                          </w:pPr>
                          <w:r>
                            <w:t>2511 CW  'S-GRAVENHAGE</w:t>
                          </w:r>
                        </w:p>
                        <w:p w14:paraId="609BA9B0" w14:textId="77777777" w:rsidR="00986A25" w:rsidRDefault="00AA5E52">
                          <w:pPr>
                            <w:pStyle w:val="StandaardReferentiegegevens"/>
                          </w:pPr>
                          <w:r>
                            <w:t>POSTBUS 20201</w:t>
                          </w:r>
                        </w:p>
                        <w:p w14:paraId="4EC99DA7" w14:textId="77777777" w:rsidR="00986A25" w:rsidRPr="00AA5E52" w:rsidRDefault="00AA5E52">
                          <w:pPr>
                            <w:pStyle w:val="StandaardReferentiegegevens"/>
                            <w:rPr>
                              <w:lang w:val="es-ES"/>
                            </w:rPr>
                          </w:pPr>
                          <w:r w:rsidRPr="00AA5E52">
                            <w:rPr>
                              <w:lang w:val="es-ES"/>
                            </w:rPr>
                            <w:t xml:space="preserve">2500 </w:t>
                          </w:r>
                          <w:proofErr w:type="gramStart"/>
                          <w:r w:rsidRPr="00AA5E52">
                            <w:rPr>
                              <w:lang w:val="es-ES"/>
                            </w:rPr>
                            <w:t>EE  '</w:t>
                          </w:r>
                          <w:proofErr w:type="gramEnd"/>
                          <w:r w:rsidRPr="00AA5E52">
                            <w:rPr>
                              <w:lang w:val="es-ES"/>
                            </w:rPr>
                            <w:t>S-GRAVENHAGE</w:t>
                          </w:r>
                        </w:p>
                        <w:p w14:paraId="27B1EBE8" w14:textId="77777777" w:rsidR="00986A25" w:rsidRPr="00AA5E52" w:rsidRDefault="00AA5E52">
                          <w:pPr>
                            <w:pStyle w:val="StandaardReferentiegegevens"/>
                            <w:rPr>
                              <w:lang w:val="es-ES"/>
                            </w:rPr>
                          </w:pPr>
                          <w:r w:rsidRPr="00AA5E52">
                            <w:rPr>
                              <w:lang w:val="es-ES"/>
                            </w:rPr>
                            <w:t>www.rijksoverheid.nl/fin</w:t>
                          </w:r>
                        </w:p>
                        <w:p w14:paraId="6FB3EDC2" w14:textId="77777777" w:rsidR="00986A25" w:rsidRPr="00AA5E52" w:rsidRDefault="00986A25">
                          <w:pPr>
                            <w:pStyle w:val="WitregelW2"/>
                            <w:rPr>
                              <w:lang w:val="es-ES"/>
                            </w:rPr>
                          </w:pPr>
                        </w:p>
                        <w:p w14:paraId="64B51A72" w14:textId="77777777" w:rsidR="00986A25" w:rsidRDefault="00AA5E52">
                          <w:pPr>
                            <w:pStyle w:val="StandaardReferentiegegevensKop"/>
                          </w:pPr>
                          <w:r>
                            <w:t>Ons kenmerk</w:t>
                          </w:r>
                        </w:p>
                        <w:p w14:paraId="12C461B5" w14:textId="77777777" w:rsidR="008E4ACF" w:rsidRDefault="006C61E6">
                          <w:pPr>
                            <w:pStyle w:val="StandaardReferentiegegevens"/>
                          </w:pPr>
                          <w:r>
                            <w:fldChar w:fldCharType="begin"/>
                          </w:r>
                          <w:r>
                            <w:instrText xml:space="preserve"> DOCPROPERTY  "Kenmerk"  \* MERGEFORMAT </w:instrText>
                          </w:r>
                          <w:r>
                            <w:fldChar w:fldCharType="separate"/>
                          </w:r>
                          <w:r>
                            <w:t>2026-0000031419</w:t>
                          </w:r>
                          <w:r>
                            <w:fldChar w:fldCharType="end"/>
                          </w:r>
                        </w:p>
                        <w:p w14:paraId="12E50B83" w14:textId="77777777" w:rsidR="00986A25" w:rsidRDefault="00986A25">
                          <w:pPr>
                            <w:pStyle w:val="WitregelW1"/>
                          </w:pPr>
                        </w:p>
                        <w:p w14:paraId="77F76140" w14:textId="77777777" w:rsidR="00986A25" w:rsidRDefault="00AA5E52">
                          <w:pPr>
                            <w:pStyle w:val="StandaardReferentiegegevensKop"/>
                          </w:pPr>
                          <w:r>
                            <w:t>Uw brief (kenmerk)</w:t>
                          </w:r>
                        </w:p>
                        <w:p w14:paraId="685ACB16" w14:textId="77777777" w:rsidR="008E4ACF" w:rsidRDefault="006C61E6">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5D19A2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A3DBAFA" w14:textId="77777777" w:rsidR="00986A25" w:rsidRDefault="00AA5E52">
                    <w:pPr>
                      <w:pStyle w:val="StandaardReferentiegegevens"/>
                    </w:pPr>
                    <w:r>
                      <w:t>Korte Voorhout 7</w:t>
                    </w:r>
                  </w:p>
                  <w:p w14:paraId="4D3AB76D" w14:textId="77777777" w:rsidR="00986A25" w:rsidRDefault="00AA5E52">
                    <w:pPr>
                      <w:pStyle w:val="StandaardReferentiegegevens"/>
                    </w:pPr>
                    <w:r>
                      <w:t>2511 CW  'S-GRAVENHAGE</w:t>
                    </w:r>
                  </w:p>
                  <w:p w14:paraId="609BA9B0" w14:textId="77777777" w:rsidR="00986A25" w:rsidRDefault="00AA5E52">
                    <w:pPr>
                      <w:pStyle w:val="StandaardReferentiegegevens"/>
                    </w:pPr>
                    <w:r>
                      <w:t>POSTBUS 20201</w:t>
                    </w:r>
                  </w:p>
                  <w:p w14:paraId="4EC99DA7" w14:textId="77777777" w:rsidR="00986A25" w:rsidRPr="00AA5E52" w:rsidRDefault="00AA5E52">
                    <w:pPr>
                      <w:pStyle w:val="StandaardReferentiegegevens"/>
                      <w:rPr>
                        <w:lang w:val="es-ES"/>
                      </w:rPr>
                    </w:pPr>
                    <w:r w:rsidRPr="00AA5E52">
                      <w:rPr>
                        <w:lang w:val="es-ES"/>
                      </w:rPr>
                      <w:t xml:space="preserve">2500 </w:t>
                    </w:r>
                    <w:proofErr w:type="gramStart"/>
                    <w:r w:rsidRPr="00AA5E52">
                      <w:rPr>
                        <w:lang w:val="es-ES"/>
                      </w:rPr>
                      <w:t>EE  '</w:t>
                    </w:r>
                    <w:proofErr w:type="gramEnd"/>
                    <w:r w:rsidRPr="00AA5E52">
                      <w:rPr>
                        <w:lang w:val="es-ES"/>
                      </w:rPr>
                      <w:t>S-GRAVENHAGE</w:t>
                    </w:r>
                  </w:p>
                  <w:p w14:paraId="27B1EBE8" w14:textId="77777777" w:rsidR="00986A25" w:rsidRPr="00AA5E52" w:rsidRDefault="00AA5E52">
                    <w:pPr>
                      <w:pStyle w:val="StandaardReferentiegegevens"/>
                      <w:rPr>
                        <w:lang w:val="es-ES"/>
                      </w:rPr>
                    </w:pPr>
                    <w:r w:rsidRPr="00AA5E52">
                      <w:rPr>
                        <w:lang w:val="es-ES"/>
                      </w:rPr>
                      <w:t>www.rijksoverheid.nl/fin</w:t>
                    </w:r>
                  </w:p>
                  <w:p w14:paraId="6FB3EDC2" w14:textId="77777777" w:rsidR="00986A25" w:rsidRPr="00AA5E52" w:rsidRDefault="00986A25">
                    <w:pPr>
                      <w:pStyle w:val="WitregelW2"/>
                      <w:rPr>
                        <w:lang w:val="es-ES"/>
                      </w:rPr>
                    </w:pPr>
                  </w:p>
                  <w:p w14:paraId="64B51A72" w14:textId="77777777" w:rsidR="00986A25" w:rsidRDefault="00AA5E52">
                    <w:pPr>
                      <w:pStyle w:val="StandaardReferentiegegevensKop"/>
                    </w:pPr>
                    <w:r>
                      <w:t>Ons kenmerk</w:t>
                    </w:r>
                  </w:p>
                  <w:p w14:paraId="12C461B5" w14:textId="77777777" w:rsidR="008E4ACF" w:rsidRDefault="006C61E6">
                    <w:pPr>
                      <w:pStyle w:val="StandaardReferentiegegevens"/>
                    </w:pPr>
                    <w:r>
                      <w:fldChar w:fldCharType="begin"/>
                    </w:r>
                    <w:r>
                      <w:instrText xml:space="preserve"> DOCPROPERTY  "Kenmerk"  \* MERGEFORMAT </w:instrText>
                    </w:r>
                    <w:r>
                      <w:fldChar w:fldCharType="separate"/>
                    </w:r>
                    <w:r>
                      <w:t>2026-0000031419</w:t>
                    </w:r>
                    <w:r>
                      <w:fldChar w:fldCharType="end"/>
                    </w:r>
                  </w:p>
                  <w:p w14:paraId="12E50B83" w14:textId="77777777" w:rsidR="00986A25" w:rsidRDefault="00986A25">
                    <w:pPr>
                      <w:pStyle w:val="WitregelW1"/>
                    </w:pPr>
                  </w:p>
                  <w:p w14:paraId="77F76140" w14:textId="77777777" w:rsidR="00986A25" w:rsidRDefault="00AA5E52">
                    <w:pPr>
                      <w:pStyle w:val="StandaardReferentiegegevensKop"/>
                    </w:pPr>
                    <w:r>
                      <w:t>Uw brief (kenmerk)</w:t>
                    </w:r>
                  </w:p>
                  <w:p w14:paraId="685ACB16" w14:textId="77777777" w:rsidR="008E4ACF" w:rsidRDefault="006C61E6">
                    <w:pPr>
                      <w:pStyle w:val="StandaardReferentiegegevens"/>
                    </w:pPr>
                    <w:r>
                      <w:fldChar w:fldCharType="begin"/>
                    </w:r>
                    <w:r>
                      <w:instrText xml:space="preserve"> DOCPROPERTY  "UwKenmerk"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B48BB8F" wp14:editId="50501C6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22F0B5C" w14:textId="77777777" w:rsidR="00986A25" w:rsidRDefault="00AA5E5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B48BB8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22F0B5C" w14:textId="77777777" w:rsidR="00986A25" w:rsidRDefault="00AA5E5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C5EE294" wp14:editId="4F2719F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8BA46C" w14:textId="77777777" w:rsidR="008E4ACF" w:rsidRDefault="006C61E6">
                          <w:pPr>
                            <w:pStyle w:val="Rubricering"/>
                          </w:pPr>
                          <w:r>
                            <w:fldChar w:fldCharType="begin"/>
                          </w:r>
                          <w:r>
                            <w:instrText xml:space="preserve"> DOCPROPERTY  "Rubricering"  \* MERGEFORMAT </w:instrText>
                          </w:r>
                          <w:r>
                            <w:fldChar w:fldCharType="end"/>
                          </w:r>
                        </w:p>
                        <w:p w14:paraId="182FAB9D" w14:textId="77777777" w:rsidR="006C61E6" w:rsidRDefault="00AA5E52">
                          <w:r>
                            <w:fldChar w:fldCharType="begin"/>
                          </w:r>
                          <w:r w:rsidR="006C61E6">
                            <w:instrText xml:space="preserve"> DOCPROPERTY  "Aan"  \* MERGEFORMAT </w:instrText>
                          </w:r>
                          <w:r>
                            <w:fldChar w:fldCharType="separate"/>
                          </w:r>
                          <w:r w:rsidR="006C61E6">
                            <w:t>Voorzitter van de Eerste Kamer der Staten-Generaal</w:t>
                          </w:r>
                        </w:p>
                        <w:p w14:paraId="77D75A7B" w14:textId="77777777" w:rsidR="006C61E6" w:rsidRDefault="006C61E6">
                          <w:r>
                            <w:t xml:space="preserve">Postbus 20017 </w:t>
                          </w:r>
                        </w:p>
                        <w:p w14:paraId="1BB72695" w14:textId="77777777" w:rsidR="006C61E6" w:rsidRDefault="006C61E6">
                          <w:r>
                            <w:t>2500 EA  DEN HAAG</w:t>
                          </w:r>
                        </w:p>
                        <w:p w14:paraId="5C4FEC62" w14:textId="77777777" w:rsidR="006C61E6" w:rsidRDefault="006C61E6"/>
                        <w:p w14:paraId="012C45AB" w14:textId="77777777" w:rsidR="00986A25" w:rsidRDefault="00AA5E52">
                          <w:r>
                            <w:fldChar w:fldCharType="end"/>
                          </w:r>
                        </w:p>
                      </w:txbxContent>
                    </wps:txbx>
                    <wps:bodyPr vert="horz" wrap="square" lIns="0" tIns="0" rIns="0" bIns="0" anchor="t" anchorCtr="0"/>
                  </wps:wsp>
                </a:graphicData>
              </a:graphic>
            </wp:anchor>
          </w:drawing>
        </mc:Choice>
        <mc:Fallback>
          <w:pict>
            <v:shape w14:anchorId="2C5EE29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8BA46C" w14:textId="77777777" w:rsidR="008E4ACF" w:rsidRDefault="006C61E6">
                    <w:pPr>
                      <w:pStyle w:val="Rubricering"/>
                    </w:pPr>
                    <w:r>
                      <w:fldChar w:fldCharType="begin"/>
                    </w:r>
                    <w:r>
                      <w:instrText xml:space="preserve"> DOCPROPERTY  "Rubricering"  \* MERGEFORMAT </w:instrText>
                    </w:r>
                    <w:r>
                      <w:fldChar w:fldCharType="end"/>
                    </w:r>
                  </w:p>
                  <w:p w14:paraId="182FAB9D" w14:textId="77777777" w:rsidR="006C61E6" w:rsidRDefault="00AA5E52">
                    <w:r>
                      <w:fldChar w:fldCharType="begin"/>
                    </w:r>
                    <w:r w:rsidR="006C61E6">
                      <w:instrText xml:space="preserve"> DOCPROPERTY  "Aan"  \* MERGEFORMAT </w:instrText>
                    </w:r>
                    <w:r>
                      <w:fldChar w:fldCharType="separate"/>
                    </w:r>
                    <w:r w:rsidR="006C61E6">
                      <w:t>Voorzitter van de Eerste Kamer der Staten-Generaal</w:t>
                    </w:r>
                  </w:p>
                  <w:p w14:paraId="77D75A7B" w14:textId="77777777" w:rsidR="006C61E6" w:rsidRDefault="006C61E6">
                    <w:r>
                      <w:t xml:space="preserve">Postbus 20017 </w:t>
                    </w:r>
                  </w:p>
                  <w:p w14:paraId="1BB72695" w14:textId="77777777" w:rsidR="006C61E6" w:rsidRDefault="006C61E6">
                    <w:r>
                      <w:t>2500 EA  DEN HAAG</w:t>
                    </w:r>
                  </w:p>
                  <w:p w14:paraId="5C4FEC62" w14:textId="77777777" w:rsidR="006C61E6" w:rsidRDefault="006C61E6"/>
                  <w:p w14:paraId="012C45AB" w14:textId="77777777" w:rsidR="00986A25" w:rsidRDefault="00AA5E5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A1BD62C" wp14:editId="08F42DB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FDBD45" w14:textId="77777777" w:rsidR="008E4ACF" w:rsidRDefault="006C61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1BD62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FDBD45" w14:textId="77777777" w:rsidR="008E4ACF" w:rsidRDefault="006C61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A8B06F3" wp14:editId="62964B9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86A25" w14:paraId="43EA2CE4" w14:textId="77777777">
                            <w:trPr>
                              <w:trHeight w:val="200"/>
                            </w:trPr>
                            <w:tc>
                              <w:tcPr>
                                <w:tcW w:w="1140" w:type="dxa"/>
                              </w:tcPr>
                              <w:p w14:paraId="79A5393E" w14:textId="77777777" w:rsidR="00986A25" w:rsidRDefault="00986A25"/>
                            </w:tc>
                            <w:tc>
                              <w:tcPr>
                                <w:tcW w:w="5400" w:type="dxa"/>
                              </w:tcPr>
                              <w:p w14:paraId="5291F17D" w14:textId="77777777" w:rsidR="00986A25" w:rsidRDefault="00986A25"/>
                            </w:tc>
                          </w:tr>
                          <w:tr w:rsidR="00986A25" w14:paraId="239663A5" w14:textId="77777777">
                            <w:trPr>
                              <w:trHeight w:val="240"/>
                            </w:trPr>
                            <w:tc>
                              <w:tcPr>
                                <w:tcW w:w="1140" w:type="dxa"/>
                              </w:tcPr>
                              <w:p w14:paraId="09C8F090" w14:textId="77777777" w:rsidR="00986A25" w:rsidRDefault="00AA5E52">
                                <w:r>
                                  <w:t>Datum</w:t>
                                </w:r>
                              </w:p>
                            </w:tc>
                            <w:tc>
                              <w:tcPr>
                                <w:tcW w:w="5400" w:type="dxa"/>
                              </w:tcPr>
                              <w:p w14:paraId="7CC16D98" w14:textId="03419423" w:rsidR="00986A25" w:rsidRDefault="006C61E6">
                                <w:r>
                                  <w:t>3 maart 2026</w:t>
                                </w:r>
                              </w:p>
                            </w:tc>
                          </w:tr>
                          <w:tr w:rsidR="00986A25" w14:paraId="76D3CA35" w14:textId="77777777">
                            <w:trPr>
                              <w:trHeight w:val="240"/>
                            </w:trPr>
                            <w:tc>
                              <w:tcPr>
                                <w:tcW w:w="1140" w:type="dxa"/>
                              </w:tcPr>
                              <w:p w14:paraId="5B797B7E" w14:textId="77777777" w:rsidR="00986A25" w:rsidRDefault="00AA5E52">
                                <w:r>
                                  <w:t>Betreft</w:t>
                                </w:r>
                              </w:p>
                            </w:tc>
                            <w:tc>
                              <w:tcPr>
                                <w:tcW w:w="5400" w:type="dxa"/>
                              </w:tcPr>
                              <w:p w14:paraId="5E8386B6" w14:textId="77777777" w:rsidR="002F17F8" w:rsidRDefault="00F45A35">
                                <w:r>
                                  <w:t>Uitzondering op verbod contante betalingen</w:t>
                                </w:r>
                              </w:p>
                            </w:tc>
                          </w:tr>
                          <w:tr w:rsidR="00986A25" w14:paraId="393EFF3F" w14:textId="77777777">
                            <w:trPr>
                              <w:trHeight w:val="200"/>
                            </w:trPr>
                            <w:tc>
                              <w:tcPr>
                                <w:tcW w:w="1140" w:type="dxa"/>
                              </w:tcPr>
                              <w:p w14:paraId="36014825" w14:textId="77777777" w:rsidR="00986A25" w:rsidRDefault="00986A25"/>
                            </w:tc>
                            <w:tc>
                              <w:tcPr>
                                <w:tcW w:w="4738" w:type="dxa"/>
                              </w:tcPr>
                              <w:p w14:paraId="6A3974B4" w14:textId="77777777" w:rsidR="00986A25" w:rsidRDefault="00986A25"/>
                            </w:tc>
                          </w:tr>
                        </w:tbl>
                        <w:p w14:paraId="40D2F645" w14:textId="77777777" w:rsidR="00AA5E52" w:rsidRDefault="00AA5E52"/>
                      </w:txbxContent>
                    </wps:txbx>
                    <wps:bodyPr vert="horz" wrap="square" lIns="0" tIns="0" rIns="0" bIns="0" anchor="t" anchorCtr="0"/>
                  </wps:wsp>
                </a:graphicData>
              </a:graphic>
            </wp:anchor>
          </w:drawing>
        </mc:Choice>
        <mc:Fallback>
          <w:pict>
            <v:shape w14:anchorId="1A8B06F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86A25" w14:paraId="43EA2CE4" w14:textId="77777777">
                      <w:trPr>
                        <w:trHeight w:val="200"/>
                      </w:trPr>
                      <w:tc>
                        <w:tcPr>
                          <w:tcW w:w="1140" w:type="dxa"/>
                        </w:tcPr>
                        <w:p w14:paraId="79A5393E" w14:textId="77777777" w:rsidR="00986A25" w:rsidRDefault="00986A25"/>
                      </w:tc>
                      <w:tc>
                        <w:tcPr>
                          <w:tcW w:w="5400" w:type="dxa"/>
                        </w:tcPr>
                        <w:p w14:paraId="5291F17D" w14:textId="77777777" w:rsidR="00986A25" w:rsidRDefault="00986A25"/>
                      </w:tc>
                    </w:tr>
                    <w:tr w:rsidR="00986A25" w14:paraId="239663A5" w14:textId="77777777">
                      <w:trPr>
                        <w:trHeight w:val="240"/>
                      </w:trPr>
                      <w:tc>
                        <w:tcPr>
                          <w:tcW w:w="1140" w:type="dxa"/>
                        </w:tcPr>
                        <w:p w14:paraId="09C8F090" w14:textId="77777777" w:rsidR="00986A25" w:rsidRDefault="00AA5E52">
                          <w:r>
                            <w:t>Datum</w:t>
                          </w:r>
                        </w:p>
                      </w:tc>
                      <w:tc>
                        <w:tcPr>
                          <w:tcW w:w="5400" w:type="dxa"/>
                        </w:tcPr>
                        <w:p w14:paraId="7CC16D98" w14:textId="03419423" w:rsidR="00986A25" w:rsidRDefault="006C61E6">
                          <w:r>
                            <w:t>3 maart 2026</w:t>
                          </w:r>
                        </w:p>
                      </w:tc>
                    </w:tr>
                    <w:tr w:rsidR="00986A25" w14:paraId="76D3CA35" w14:textId="77777777">
                      <w:trPr>
                        <w:trHeight w:val="240"/>
                      </w:trPr>
                      <w:tc>
                        <w:tcPr>
                          <w:tcW w:w="1140" w:type="dxa"/>
                        </w:tcPr>
                        <w:p w14:paraId="5B797B7E" w14:textId="77777777" w:rsidR="00986A25" w:rsidRDefault="00AA5E52">
                          <w:r>
                            <w:t>Betreft</w:t>
                          </w:r>
                        </w:p>
                      </w:tc>
                      <w:tc>
                        <w:tcPr>
                          <w:tcW w:w="5400" w:type="dxa"/>
                        </w:tcPr>
                        <w:p w14:paraId="5E8386B6" w14:textId="77777777" w:rsidR="002F17F8" w:rsidRDefault="00F45A35">
                          <w:r>
                            <w:t>Uitzondering op verbod contante betalingen</w:t>
                          </w:r>
                        </w:p>
                      </w:tc>
                    </w:tr>
                    <w:tr w:rsidR="00986A25" w14:paraId="393EFF3F" w14:textId="77777777">
                      <w:trPr>
                        <w:trHeight w:val="200"/>
                      </w:trPr>
                      <w:tc>
                        <w:tcPr>
                          <w:tcW w:w="1140" w:type="dxa"/>
                        </w:tcPr>
                        <w:p w14:paraId="36014825" w14:textId="77777777" w:rsidR="00986A25" w:rsidRDefault="00986A25"/>
                      </w:tc>
                      <w:tc>
                        <w:tcPr>
                          <w:tcW w:w="4738" w:type="dxa"/>
                        </w:tcPr>
                        <w:p w14:paraId="6A3974B4" w14:textId="77777777" w:rsidR="00986A25" w:rsidRDefault="00986A25"/>
                      </w:tc>
                    </w:tr>
                  </w:tbl>
                  <w:p w14:paraId="40D2F645" w14:textId="77777777" w:rsidR="00AA5E52" w:rsidRDefault="00AA5E5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ADF3D0B" wp14:editId="2135B0A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014AD74" w14:textId="77777777" w:rsidR="008E4ACF" w:rsidRDefault="006C61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DF3D0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014AD74" w14:textId="77777777" w:rsidR="008E4ACF" w:rsidRDefault="006C61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3C5DDF7" wp14:editId="78E11F8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211017C" w14:textId="77777777" w:rsidR="00AA5E52" w:rsidRDefault="00AA5E52"/>
                      </w:txbxContent>
                    </wps:txbx>
                    <wps:bodyPr vert="horz" wrap="square" lIns="0" tIns="0" rIns="0" bIns="0" anchor="t" anchorCtr="0"/>
                  </wps:wsp>
                </a:graphicData>
              </a:graphic>
            </wp:anchor>
          </w:drawing>
        </mc:Choice>
        <mc:Fallback>
          <w:pict>
            <v:shape w14:anchorId="23C5DDF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211017C" w14:textId="77777777" w:rsidR="00AA5E52" w:rsidRDefault="00AA5E5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0EFED6"/>
    <w:multiLevelType w:val="multilevel"/>
    <w:tmpl w:val="0F5044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6E38D7F"/>
    <w:multiLevelType w:val="multilevel"/>
    <w:tmpl w:val="120179C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F505F"/>
    <w:multiLevelType w:val="multilevel"/>
    <w:tmpl w:val="D6382B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2E73A3B"/>
    <w:multiLevelType w:val="multilevel"/>
    <w:tmpl w:val="FF5C210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17D29A"/>
    <w:multiLevelType w:val="multilevel"/>
    <w:tmpl w:val="BB737B5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B7B381"/>
    <w:multiLevelType w:val="multilevel"/>
    <w:tmpl w:val="D8E56C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67364386">
    <w:abstractNumId w:val="4"/>
  </w:num>
  <w:num w:numId="2" w16cid:durableId="127403126">
    <w:abstractNumId w:val="3"/>
  </w:num>
  <w:num w:numId="3" w16cid:durableId="2023702834">
    <w:abstractNumId w:val="2"/>
  </w:num>
  <w:num w:numId="4" w16cid:durableId="1836144904">
    <w:abstractNumId w:val="5"/>
  </w:num>
  <w:num w:numId="5" w16cid:durableId="1632979330">
    <w:abstractNumId w:val="1"/>
  </w:num>
  <w:num w:numId="6" w16cid:durableId="205731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25"/>
    <w:rsid w:val="000300A6"/>
    <w:rsid w:val="00032914"/>
    <w:rsid w:val="000632E0"/>
    <w:rsid w:val="000647AC"/>
    <w:rsid w:val="000754D8"/>
    <w:rsid w:val="000A7452"/>
    <w:rsid w:val="000B4644"/>
    <w:rsid w:val="000B4D3E"/>
    <w:rsid w:val="000C5921"/>
    <w:rsid w:val="000D5E52"/>
    <w:rsid w:val="000F3750"/>
    <w:rsid w:val="00123454"/>
    <w:rsid w:val="0012617A"/>
    <w:rsid w:val="00181ABA"/>
    <w:rsid w:val="001859C4"/>
    <w:rsid w:val="00196737"/>
    <w:rsid w:val="00202BD0"/>
    <w:rsid w:val="002519C5"/>
    <w:rsid w:val="002B0872"/>
    <w:rsid w:val="002D79FD"/>
    <w:rsid w:val="002F17F8"/>
    <w:rsid w:val="00306A62"/>
    <w:rsid w:val="003469D2"/>
    <w:rsid w:val="00356C46"/>
    <w:rsid w:val="00360106"/>
    <w:rsid w:val="00397547"/>
    <w:rsid w:val="003F59EF"/>
    <w:rsid w:val="003F681B"/>
    <w:rsid w:val="004278AB"/>
    <w:rsid w:val="0045028D"/>
    <w:rsid w:val="00475622"/>
    <w:rsid w:val="00477DE6"/>
    <w:rsid w:val="00497856"/>
    <w:rsid w:val="004C2287"/>
    <w:rsid w:val="004C3A53"/>
    <w:rsid w:val="00522149"/>
    <w:rsid w:val="00525891"/>
    <w:rsid w:val="005619B6"/>
    <w:rsid w:val="00583E6B"/>
    <w:rsid w:val="005B04D3"/>
    <w:rsid w:val="005C5F13"/>
    <w:rsid w:val="005F1627"/>
    <w:rsid w:val="005F2965"/>
    <w:rsid w:val="00604278"/>
    <w:rsid w:val="00633CAA"/>
    <w:rsid w:val="00683A0B"/>
    <w:rsid w:val="006C3556"/>
    <w:rsid w:val="006C61E6"/>
    <w:rsid w:val="006C6849"/>
    <w:rsid w:val="006E6596"/>
    <w:rsid w:val="0073110B"/>
    <w:rsid w:val="00754A34"/>
    <w:rsid w:val="00763040"/>
    <w:rsid w:val="00772A59"/>
    <w:rsid w:val="0078191E"/>
    <w:rsid w:val="00781F58"/>
    <w:rsid w:val="007F6A27"/>
    <w:rsid w:val="008142F0"/>
    <w:rsid w:val="0082082E"/>
    <w:rsid w:val="0083306B"/>
    <w:rsid w:val="00860FE6"/>
    <w:rsid w:val="00870D0F"/>
    <w:rsid w:val="00880BA3"/>
    <w:rsid w:val="008863B6"/>
    <w:rsid w:val="008E4ACF"/>
    <w:rsid w:val="008F20F3"/>
    <w:rsid w:val="00986A25"/>
    <w:rsid w:val="009B3467"/>
    <w:rsid w:val="009E1E96"/>
    <w:rsid w:val="00A03864"/>
    <w:rsid w:val="00A44DBE"/>
    <w:rsid w:val="00AA5E52"/>
    <w:rsid w:val="00AE66B3"/>
    <w:rsid w:val="00B14806"/>
    <w:rsid w:val="00B715B2"/>
    <w:rsid w:val="00B8041D"/>
    <w:rsid w:val="00B90377"/>
    <w:rsid w:val="00B9093E"/>
    <w:rsid w:val="00BA7343"/>
    <w:rsid w:val="00BC562C"/>
    <w:rsid w:val="00BD704A"/>
    <w:rsid w:val="00C34B9F"/>
    <w:rsid w:val="00C80A9F"/>
    <w:rsid w:val="00C94C9A"/>
    <w:rsid w:val="00D117DA"/>
    <w:rsid w:val="00D23440"/>
    <w:rsid w:val="00DB759E"/>
    <w:rsid w:val="00DD1BFD"/>
    <w:rsid w:val="00DD6DB8"/>
    <w:rsid w:val="00EA3279"/>
    <w:rsid w:val="00EB39CF"/>
    <w:rsid w:val="00EC31E0"/>
    <w:rsid w:val="00F25D3C"/>
    <w:rsid w:val="00F2630A"/>
    <w:rsid w:val="00F45A35"/>
    <w:rsid w:val="00F63A7C"/>
    <w:rsid w:val="00F81092"/>
    <w:rsid w:val="00F87A83"/>
    <w:rsid w:val="00FD1B26"/>
    <w:rsid w:val="00FF6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46E0938"/>
  <w15:docId w15:val="{A6484D14-E3BF-45C9-8BEB-0131531F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A5E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5E52"/>
    <w:rPr>
      <w:rFonts w:ascii="Verdana" w:hAnsi="Verdana"/>
      <w:color w:val="000000"/>
      <w:sz w:val="18"/>
      <w:szCs w:val="18"/>
    </w:rPr>
  </w:style>
  <w:style w:type="paragraph" w:styleId="Voettekst">
    <w:name w:val="footer"/>
    <w:basedOn w:val="Standaard"/>
    <w:link w:val="VoettekstChar"/>
    <w:uiPriority w:val="99"/>
    <w:unhideWhenUsed/>
    <w:rsid w:val="00AA5E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5E52"/>
    <w:rPr>
      <w:rFonts w:ascii="Verdana" w:hAnsi="Verdana"/>
      <w:color w:val="000000"/>
      <w:sz w:val="18"/>
      <w:szCs w:val="18"/>
    </w:rPr>
  </w:style>
  <w:style w:type="paragraph" w:styleId="Voetnoottekst">
    <w:name w:val="footnote text"/>
    <w:basedOn w:val="Standaard"/>
    <w:link w:val="VoetnoottekstChar"/>
    <w:uiPriority w:val="99"/>
    <w:semiHidden/>
    <w:unhideWhenUsed/>
    <w:rsid w:val="00BD70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704A"/>
    <w:rPr>
      <w:rFonts w:ascii="Verdana" w:hAnsi="Verdana"/>
      <w:color w:val="000000"/>
    </w:rPr>
  </w:style>
  <w:style w:type="character" w:styleId="Voetnootmarkering">
    <w:name w:val="footnote reference"/>
    <w:basedOn w:val="Standaardalinea-lettertype"/>
    <w:uiPriority w:val="99"/>
    <w:semiHidden/>
    <w:unhideWhenUsed/>
    <w:rsid w:val="00BD704A"/>
    <w:rPr>
      <w:vertAlign w:val="superscript"/>
    </w:rPr>
  </w:style>
  <w:style w:type="character" w:styleId="Verwijzingopmerking">
    <w:name w:val="annotation reference"/>
    <w:basedOn w:val="Standaardalinea-lettertype"/>
    <w:uiPriority w:val="99"/>
    <w:semiHidden/>
    <w:unhideWhenUsed/>
    <w:rsid w:val="00B8041D"/>
    <w:rPr>
      <w:sz w:val="16"/>
      <w:szCs w:val="16"/>
    </w:rPr>
  </w:style>
  <w:style w:type="paragraph" w:styleId="Tekstopmerking">
    <w:name w:val="annotation text"/>
    <w:basedOn w:val="Standaard"/>
    <w:link w:val="TekstopmerkingChar"/>
    <w:uiPriority w:val="99"/>
    <w:unhideWhenUsed/>
    <w:rsid w:val="00B8041D"/>
    <w:pPr>
      <w:spacing w:line="240" w:lineRule="auto"/>
    </w:pPr>
    <w:rPr>
      <w:sz w:val="20"/>
      <w:szCs w:val="20"/>
    </w:rPr>
  </w:style>
  <w:style w:type="character" w:customStyle="1" w:styleId="TekstopmerkingChar">
    <w:name w:val="Tekst opmerking Char"/>
    <w:basedOn w:val="Standaardalinea-lettertype"/>
    <w:link w:val="Tekstopmerking"/>
    <w:uiPriority w:val="99"/>
    <w:rsid w:val="00B804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041D"/>
    <w:rPr>
      <w:b/>
      <w:bCs/>
    </w:rPr>
  </w:style>
  <w:style w:type="character" w:customStyle="1" w:styleId="OnderwerpvanopmerkingChar">
    <w:name w:val="Onderwerp van opmerking Char"/>
    <w:basedOn w:val="TekstopmerkingChar"/>
    <w:link w:val="Onderwerpvanopmerking"/>
    <w:uiPriority w:val="99"/>
    <w:semiHidden/>
    <w:rsid w:val="00B8041D"/>
    <w:rPr>
      <w:rFonts w:ascii="Verdana" w:hAnsi="Verdana"/>
      <w:b/>
      <w:bCs/>
      <w:color w:val="000000"/>
    </w:rPr>
  </w:style>
  <w:style w:type="paragraph" w:styleId="Revisie">
    <w:name w:val="Revision"/>
    <w:hidden/>
    <w:uiPriority w:val="99"/>
    <w:semiHidden/>
    <w:rsid w:val="00B9037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5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471093">
      <w:bodyDiv w:val="1"/>
      <w:marLeft w:val="0"/>
      <w:marRight w:val="0"/>
      <w:marTop w:val="0"/>
      <w:marBottom w:val="0"/>
      <w:divBdr>
        <w:top w:val="none" w:sz="0" w:space="0" w:color="auto"/>
        <w:left w:val="none" w:sz="0" w:space="0" w:color="auto"/>
        <w:bottom w:val="none" w:sz="0" w:space="0" w:color="auto"/>
        <w:right w:val="none" w:sz="0" w:space="0" w:color="auto"/>
      </w:divBdr>
    </w:div>
    <w:div w:id="108534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114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1071</ap:Words>
  <ap:Characters>5896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Knelpunten bij contante exportbetalingen en bescherming van bonafide ondernemers</vt:lpstr>
    </vt:vector>
  </ap:TitlesOfParts>
  <ap:LinksUpToDate>false</ap:LinksUpToDate>
  <ap:CharactersWithSpaces>6954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2026-03-03T16:47:00.0000000Z</dcterms:created>
  <dcterms:modified xsi:type="dcterms:W3CDTF">2026-03-03T16:47:00.0000000Z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Knelpunten bij contante exportbetalingen en bescherming van bonafide ondernemers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Eerste Kamer der Staten-Generaal_x000d_Postbus 20017 _x000d_2500 EA  DEN HAAG_x000d__x000d_
</vt:lpwstr>
  </property>
  <property fmtid="{D5CDD505-2E9C-101B-9397-08002B2CF9AE}" pid="11" name="Van">
    <vt:lpwstr/>
  </property>
  <property fmtid="{D5CDD505-2E9C-101B-9397-08002B2CF9AE}" pid="12" name="Datum">
    <vt:lpwstr>1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2026-0000031419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Knelpunten bij contante exportbetalingen en bescherming van bonafide ondernemers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2026-02-01T15:16:57Z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86695ad8-000f-42e6-8319-51f649d85cde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